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footer16.xml" ContentType="application/vnd.openxmlformats-officedocument.wordprocessingml.footer+xml"/>
  <Override PartName="/word/header16.xml" ContentType="application/vnd.openxmlformats-officedocument.wordprocessingml.header+xml"/>
  <Override PartName="/word/footer17.xml" ContentType="application/vnd.openxmlformats-officedocument.wordprocessingml.footer+xml"/>
  <Override PartName="/word/header17.xml" ContentType="application/vnd.openxmlformats-officedocument.wordprocessingml.header+xml"/>
  <Override PartName="/word/footer18.xml" ContentType="application/vnd.openxmlformats-officedocument.wordprocessingml.footer+xml"/>
  <Override PartName="/word/header18.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24.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5.xml" ContentType="application/vnd.openxmlformats-officedocument.wordprocessingml.footer+xml"/>
  <Override PartName="/word/header30.xml" ContentType="application/vnd.openxmlformats-officedocument.wordprocessingml.header+xml"/>
  <Override PartName="/word/footer23.xml" ContentType="application/vnd.openxmlformats-officedocument.wordprocessingml.footer+xml"/>
  <Override PartName="/word/footer2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webSettings.xml" ContentType="application/vnd.openxmlformats-officedocument.wordprocessingml.webSetting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50D29" w:rsidP="00D96326" w:rsidRDefault="00B50D29" w14:paraId="2B1E3977" w14:textId="0B418A23">
      <w:pPr>
        <w:pStyle w:val="zGTitle14"/>
      </w:pPr>
    </w:p>
    <w:p w:rsidR="00B50D29" w:rsidP="00D96326" w:rsidRDefault="00B50D29" w14:paraId="339D481E" w14:textId="77777777">
      <w:pPr>
        <w:pStyle w:val="zGTitle14"/>
      </w:pPr>
    </w:p>
    <w:p w:rsidR="00B50D29" w:rsidP="00D96326" w:rsidRDefault="00B50D29" w14:paraId="6153B702" w14:textId="77777777">
      <w:pPr>
        <w:pStyle w:val="zGTitle14"/>
      </w:pPr>
    </w:p>
    <w:p w:rsidR="00B50D29" w:rsidP="00D96326" w:rsidRDefault="00B50D29" w14:paraId="29B2AC2E" w14:textId="77777777">
      <w:pPr>
        <w:pStyle w:val="zGTitle14"/>
      </w:pPr>
    </w:p>
    <w:p w:rsidRPr="00F10071" w:rsidR="00D96326" w:rsidP="00D96326" w:rsidRDefault="00D96326" w14:paraId="04E2A760" w14:textId="59090358">
      <w:pPr>
        <w:pStyle w:val="zGTitle14"/>
      </w:pPr>
      <w:r>
        <w:t>Pro Forma Power Purchase Agreement for</w:t>
      </w:r>
    </w:p>
    <w:p w:rsidR="00D96326" w:rsidP="00D96326" w:rsidRDefault="00D96326" w14:paraId="063BB764" w14:textId="77777777">
      <w:pPr>
        <w:pStyle w:val="zGTitle14"/>
      </w:pPr>
      <w:r>
        <w:t xml:space="preserve">Firm Capacity, Firm Energy, and Ancillary Services from a </w:t>
      </w:r>
    </w:p>
    <w:p w:rsidRPr="00F10071" w:rsidR="00D96326" w:rsidP="00D96326" w:rsidRDefault="00D96326" w14:paraId="3BF71C91" w14:textId="77777777">
      <w:pPr>
        <w:pStyle w:val="zGTitle14"/>
      </w:pPr>
      <w:r>
        <w:t>Combustion Turbine Facility</w:t>
      </w:r>
    </w:p>
    <w:p w:rsidR="00D96326" w:rsidP="00DA67C8" w:rsidRDefault="00D96326" w14:paraId="120FCB15" w14:textId="252BC245">
      <w:pPr>
        <w:pStyle w:val="zGTitle14"/>
      </w:pPr>
      <w:r>
        <w:t>for 2026 All-Source Capacity Request for Proposals for Need Years 2032–2033</w:t>
      </w:r>
    </w:p>
    <w:p w:rsidRPr="00F10071" w:rsidR="00D96326" w:rsidP="00D96326" w:rsidRDefault="00D96326" w14:paraId="02EEA765" w14:textId="77777777">
      <w:pPr>
        <w:pStyle w:val="zGTitle14"/>
      </w:pPr>
      <w:r>
        <w:t>between</w:t>
      </w:r>
    </w:p>
    <w:p w:rsidRPr="00F10071" w:rsidR="00D96326" w:rsidP="00D96326" w:rsidRDefault="00D96326" w14:paraId="18987B1A" w14:textId="77777777">
      <w:pPr>
        <w:pStyle w:val="zGTitle14"/>
      </w:pPr>
      <w:r>
        <w:t>Georgia Power Company</w:t>
      </w:r>
    </w:p>
    <w:p w:rsidRPr="00F10071" w:rsidR="00D96326" w:rsidP="00D96326" w:rsidRDefault="00D96326" w14:paraId="2CB74AC6" w14:textId="77777777">
      <w:pPr>
        <w:pStyle w:val="zGTitle14"/>
      </w:pPr>
      <w:r>
        <w:t>and</w:t>
      </w:r>
    </w:p>
    <w:p w:rsidR="00D96326" w:rsidP="00D96326" w:rsidRDefault="00D96326" w14:paraId="0EBC4C80" w14:textId="77777777">
      <w:pPr>
        <w:pStyle w:val="zGTitle14"/>
        <w:rPr>
          <w:i/>
        </w:rPr>
      </w:pPr>
      <w:r>
        <w:rPr>
          <w:color w:val="000000" w:themeColor="text1"/>
          <w:highlight w:val="yellow"/>
        </w:rPr>
        <w:t>#SellerLegalName#</w:t>
      </w:r>
      <w:r>
        <w:rPr>
          <w:bCs/>
          <w:i/>
          <w:caps/>
        </w:rPr>
        <w:t xml:space="preserve"> </w:t>
      </w:r>
    </w:p>
    <w:p w:rsidR="00D96326" w:rsidP="00D96326" w:rsidRDefault="00D96326" w14:paraId="68CF7150" w14:textId="77777777">
      <w:pPr>
        <w:suppressAutoHyphens/>
        <w:spacing w:after="720"/>
        <w:jc w:val="center"/>
        <w:outlineLvl w:val="0"/>
        <w:rPr>
          <w:rFonts w:cs="Arial"/>
        </w:rPr>
      </w:pPr>
    </w:p>
    <w:p w:rsidR="00D96326" w:rsidP="00D96326" w:rsidRDefault="00D96326" w14:paraId="793AE758" w14:textId="77777777">
      <w:pPr>
        <w:suppressAutoHyphens/>
        <w:spacing w:after="720"/>
        <w:jc w:val="center"/>
        <w:outlineLvl w:val="0"/>
        <w:rPr>
          <w:rFonts w:cs="Arial"/>
        </w:rPr>
      </w:pPr>
    </w:p>
    <w:p w:rsidR="00D96326" w:rsidP="00D96326" w:rsidRDefault="00D96326" w14:paraId="63CA20A4" w14:textId="77777777">
      <w:pPr>
        <w:suppressAutoHyphens/>
        <w:spacing w:after="720"/>
        <w:jc w:val="center"/>
        <w:outlineLvl w:val="0"/>
        <w:rPr>
          <w:rFonts w:cs="Arial"/>
        </w:rPr>
      </w:pPr>
    </w:p>
    <w:p w:rsidR="00D96326" w:rsidP="00D96326" w:rsidRDefault="00D96326" w14:paraId="5C530F37" w14:textId="77777777">
      <w:pPr>
        <w:suppressAutoHyphens/>
        <w:spacing w:after="720"/>
        <w:outlineLvl w:val="0"/>
        <w:rPr>
          <w:rFonts w:cs="Arial"/>
        </w:rPr>
      </w:pPr>
    </w:p>
    <w:p w:rsidR="00D96326" w:rsidP="00D96326" w:rsidRDefault="00D96326" w14:paraId="797B9070" w14:textId="77777777">
      <w:pPr>
        <w:suppressAutoHyphens/>
        <w:spacing w:after="720"/>
        <w:outlineLvl w:val="0"/>
        <w:rPr>
          <w:rFonts w:cs="Arial"/>
        </w:rPr>
      </w:pPr>
    </w:p>
    <w:p w:rsidR="00D96326" w:rsidP="00D96326" w:rsidRDefault="00D96326" w14:paraId="14610244" w14:textId="77777777">
      <w:pPr>
        <w:suppressAutoHyphens/>
        <w:spacing w:after="720"/>
        <w:outlineLvl w:val="0"/>
        <w:rPr>
          <w:rFonts w:cs="Arial"/>
        </w:rPr>
      </w:pPr>
    </w:p>
    <w:p w:rsidR="00D96326" w:rsidP="00D96326" w:rsidRDefault="00D96326" w14:paraId="68A09BA1" w14:textId="77777777">
      <w:pPr>
        <w:suppressAutoHyphens/>
        <w:spacing w:after="720"/>
        <w:outlineLvl w:val="0"/>
        <w:rPr>
          <w:rFonts w:cs="Arial"/>
        </w:rPr>
      </w:pPr>
    </w:p>
    <w:p w:rsidR="00D96326" w:rsidP="00D96326" w:rsidRDefault="00D96326" w14:paraId="55B0A4B5" w14:textId="017134B2">
      <w:pPr>
        <w:suppressAutoHyphens/>
        <w:spacing w:after="720"/>
        <w:outlineLvl w:val="0"/>
        <w:rPr>
          <w:rFonts w:cs="Arial"/>
        </w:rPr>
      </w:pPr>
      <w:r>
        <w:rPr>
          <w:i/>
          <w:noProof/>
        </w:rPr>
        <w:t>This agreement contains confidential information for use by Georgia Power Company, Seller, or their Affiliates only; do not disclose, copy, or scan for any other purpose, except to the extent required by law or allowed by contract.</w:t>
      </w:r>
    </w:p>
    <w:p w:rsidRPr="00F10071" w:rsidR="00D96326" w:rsidP="00D96326" w:rsidRDefault="00D96326" w14:paraId="74AB9BAD" w14:textId="77777777">
      <w:pPr>
        <w:suppressAutoHyphens/>
        <w:spacing w:after="720"/>
        <w:jc w:val="left"/>
        <w:outlineLvl w:val="0"/>
        <w:rPr>
          <w:rFonts w:cs="Arial"/>
        </w:rPr>
        <w:sectPr w:rsidRPr="00F10071" w:rsidR="00D96326" w:rsidSect="000A2525">
          <w:headerReference w:type="even" r:id="rId7"/>
          <w:headerReference w:type="default" r:id="rId8"/>
          <w:footerReference w:type="even" r:id="rId9"/>
          <w:footerReference w:type="default" r:id="rId10"/>
          <w:headerReference w:type="first" r:id="rId11"/>
          <w:footerReference w:type="first" r:id="rId12"/>
          <w:pgSz w:w="12240" w:h="15840" w:code="1"/>
          <w:pgMar w:top="1080" w:right="1080" w:bottom="936" w:left="1224" w:header="432" w:footer="576" w:gutter="0"/>
          <w:pgNumType w:start="1"/>
          <w:cols w:space="720"/>
          <w:docGrid w:linePitch="360"/>
        </w:sectPr>
      </w:pPr>
    </w:p>
    <w:p w:rsidRPr="007C4FC6" w:rsidR="00FA42FD" w:rsidP="00FA42FD" w:rsidRDefault="00FA42FD" w14:paraId="32AF67EF" w14:textId="77777777">
      <w:pPr>
        <w:pStyle w:val="zGTitle11"/>
        <w:rPr>
          <w:rFonts w:ascii="Arial Bold" w:hAnsi="Arial Bold"/>
          <w:caps/>
          <w:u w:val="single"/>
        </w:rPr>
      </w:pPr>
      <w:bookmarkStart w:name="_Toc116571546" w:id="18"/>
      <w:bookmarkStart w:name="_Toc83401224" w:id="19"/>
      <w:bookmarkStart w:name="_Toc83401297" w:id="20"/>
      <w:bookmarkStart w:name="_Toc83401370" w:id="21"/>
      <w:bookmarkStart w:name="_Toc83835562" w:id="22"/>
      <w:bookmarkStart w:name="_Toc90465575" w:id="23"/>
      <w:r w:rsidRPr="007C4FC6">
        <w:rPr>
          <w:rFonts w:ascii="Arial Bold" w:hAnsi="Arial Bold"/>
          <w:caps/>
          <w:u w:val="single"/>
        </w:rPr>
        <w:lastRenderedPageBreak/>
        <w:t>Table of Contents</w:t>
      </w:r>
    </w:p>
    <w:sdt>
      <w:sdtPr>
        <w:rPr>
          <w:rFonts w:cs="Times New Roman"/>
          <w:b w:val="0"/>
          <w:caps w:val="0"/>
          <w:kern w:val="0"/>
        </w:rPr>
        <w:id w:val="-1443527103"/>
        <w:docPartObj>
          <w:docPartGallery w:val="Table of Contents"/>
          <w:docPartUnique/>
        </w:docPartObj>
      </w:sdtPr>
      <w:sdtEndPr>
        <w:rPr>
          <w:rFonts w:cs="Arial"/>
          <w:b/>
          <w:bCs/>
          <w:caps/>
          <w:noProof/>
          <w:kern w:val="14"/>
        </w:rPr>
      </w:sdtEndPr>
      <w:sdtContent>
        <w:p w:rsidR="009F4B0B" w:rsidRDefault="00FA42FD" w14:paraId="5A77421D" w14:textId="56491720">
          <w:pPr>
            <w:pStyle w:val="TOC1"/>
            <w:rPr>
              <w:rFonts w:asciiTheme="minorHAnsi" w:hAnsiTheme="minorHAnsi" w:eastAsiaTheme="minorEastAsia" w:cstheme="minorBidi"/>
              <w:b w:val="0"/>
              <w:caps w:val="0"/>
              <w:noProof/>
              <w:kern w:val="2"/>
              <w:sz w:val="24"/>
              <w:szCs w:val="24"/>
              <w14:ligatures w14:val="standardContextual"/>
            </w:rPr>
          </w:pPr>
          <w:r w:rsidRPr="000247F7">
            <w:fldChar w:fldCharType="begin"/>
          </w:r>
          <w:r w:rsidRPr="000247F7">
            <w:instrText xml:space="preserve"> TOC \h \z \t "zGTC01,1,zGTC02,2,zGBody 1,1,zGBody 2,2,zGTitleExhibit,1" </w:instrText>
          </w:r>
          <w:r w:rsidRPr="000247F7">
            <w:fldChar w:fldCharType="separate"/>
          </w:r>
          <w:hyperlink w:history="1" w:anchor="_Toc227838332">
            <w:r w:rsidRPr="00F8043F" w:rsidR="009F4B0B">
              <w:rPr>
                <w:rStyle w:val="Hyperlink"/>
                <w:noProof/>
              </w:rPr>
              <w:t>Schedule of Defined Terms</w:t>
            </w:r>
            <w:r w:rsidR="009F4B0B">
              <w:rPr>
                <w:noProof/>
                <w:webHidden/>
              </w:rPr>
              <w:tab/>
            </w:r>
            <w:r w:rsidR="009F4B0B">
              <w:rPr>
                <w:noProof/>
                <w:webHidden/>
              </w:rPr>
              <w:fldChar w:fldCharType="begin"/>
            </w:r>
            <w:r w:rsidR="009F4B0B">
              <w:rPr>
                <w:noProof/>
                <w:webHidden/>
              </w:rPr>
              <w:instrText xml:space="preserve"> PAGEREF _Toc227838332 \h </w:instrText>
            </w:r>
            <w:r w:rsidR="009F4B0B">
              <w:rPr>
                <w:noProof/>
                <w:webHidden/>
              </w:rPr>
            </w:r>
            <w:r w:rsidR="009F4B0B">
              <w:rPr>
                <w:noProof/>
                <w:webHidden/>
              </w:rPr>
              <w:fldChar w:fldCharType="separate"/>
            </w:r>
            <w:r w:rsidR="009F4B0B">
              <w:rPr>
                <w:noProof/>
                <w:webHidden/>
              </w:rPr>
              <w:t>5</w:t>
            </w:r>
            <w:r w:rsidR="009F4B0B">
              <w:rPr>
                <w:noProof/>
                <w:webHidden/>
              </w:rPr>
              <w:fldChar w:fldCharType="end"/>
            </w:r>
          </w:hyperlink>
        </w:p>
        <w:p w:rsidR="009F4B0B" w:rsidRDefault="009F4B0B" w14:paraId="2C302D0D" w14:textId="70B0C0E1">
          <w:pPr>
            <w:pStyle w:val="TOC1"/>
            <w:rPr>
              <w:rFonts w:asciiTheme="minorHAnsi" w:hAnsiTheme="minorHAnsi" w:eastAsiaTheme="minorEastAsia" w:cstheme="minorBidi"/>
              <w:b w:val="0"/>
              <w:caps w:val="0"/>
              <w:noProof/>
              <w:kern w:val="2"/>
              <w:sz w:val="24"/>
              <w:szCs w:val="24"/>
              <w14:ligatures w14:val="standardContextual"/>
            </w:rPr>
          </w:pPr>
          <w:hyperlink w:history="1" w:anchor="_Toc227838333">
            <w:r w:rsidRPr="00F8043F">
              <w:rPr>
                <w:rStyle w:val="Hyperlink"/>
                <w:noProof/>
                <w14:scene3d>
                  <w14:camera w14:prst="orthographicFront"/>
                  <w14:lightRig w14:rig="threePt" w14:dir="t">
                    <w14:rot w14:lat="0" w14:lon="0" w14:rev="0"/>
                  </w14:lightRig>
                </w14:scene3d>
                <w14:props3d w14:extrusionH="0" w14:contourW="0" w14:prstMaterial="warmMatte"/>
              </w:rPr>
              <w:t>Part 1.</w:t>
            </w:r>
            <w:r>
              <w:rPr>
                <w:rFonts w:asciiTheme="minorHAnsi" w:hAnsiTheme="minorHAnsi" w:eastAsiaTheme="minorEastAsia" w:cstheme="minorBidi"/>
                <w:b w:val="0"/>
                <w:caps w:val="0"/>
                <w:noProof/>
                <w:kern w:val="2"/>
                <w:sz w:val="24"/>
                <w:szCs w:val="24"/>
                <w14:ligatures w14:val="standardContextual"/>
              </w:rPr>
              <w:tab/>
            </w:r>
            <w:r w:rsidRPr="00F8043F">
              <w:rPr>
                <w:rStyle w:val="Hyperlink"/>
                <w:noProof/>
              </w:rPr>
              <w:t>Term of Agreement</w:t>
            </w:r>
            <w:r>
              <w:rPr>
                <w:noProof/>
                <w:webHidden/>
              </w:rPr>
              <w:tab/>
            </w:r>
            <w:r>
              <w:rPr>
                <w:noProof/>
                <w:webHidden/>
              </w:rPr>
              <w:fldChar w:fldCharType="begin"/>
            </w:r>
            <w:r>
              <w:rPr>
                <w:noProof/>
                <w:webHidden/>
              </w:rPr>
              <w:instrText xml:space="preserve"> PAGEREF _Toc227838333 \h </w:instrText>
            </w:r>
            <w:r>
              <w:rPr>
                <w:noProof/>
                <w:webHidden/>
              </w:rPr>
            </w:r>
            <w:r>
              <w:rPr>
                <w:noProof/>
                <w:webHidden/>
              </w:rPr>
              <w:fldChar w:fldCharType="separate"/>
            </w:r>
            <w:r>
              <w:rPr>
                <w:noProof/>
                <w:webHidden/>
              </w:rPr>
              <w:t>21</w:t>
            </w:r>
            <w:r>
              <w:rPr>
                <w:noProof/>
                <w:webHidden/>
              </w:rPr>
              <w:fldChar w:fldCharType="end"/>
            </w:r>
          </w:hyperlink>
        </w:p>
        <w:p w:rsidR="009F4B0B" w:rsidRDefault="009F4B0B" w14:paraId="4F3D0F62" w14:textId="1F70519D">
          <w:pPr>
            <w:pStyle w:val="TOC2"/>
            <w:rPr>
              <w:rFonts w:asciiTheme="minorHAnsi" w:hAnsiTheme="minorHAnsi" w:eastAsiaTheme="minorEastAsia" w:cstheme="minorBidi"/>
              <w:noProof/>
              <w:kern w:val="2"/>
              <w:sz w:val="24"/>
              <w:szCs w:val="24"/>
              <w14:ligatures w14:val="standardContextual"/>
            </w:rPr>
          </w:pPr>
          <w:hyperlink w:history="1" w:anchor="_Toc227838334">
            <w:r w:rsidRPr="00F8043F">
              <w:rPr>
                <w:rStyle w:val="Hyperlink"/>
                <w:rFonts w:eastAsia="PMingLiU" w:cs="Arial"/>
                <w:caps/>
                <w:noProof/>
                <w:specVanish/>
              </w:rPr>
              <w:t>1.1</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Term.</w:t>
            </w:r>
            <w:r>
              <w:rPr>
                <w:noProof/>
                <w:webHidden/>
              </w:rPr>
              <w:tab/>
            </w:r>
            <w:r>
              <w:rPr>
                <w:noProof/>
                <w:webHidden/>
              </w:rPr>
              <w:fldChar w:fldCharType="begin"/>
            </w:r>
            <w:r>
              <w:rPr>
                <w:noProof/>
                <w:webHidden/>
              </w:rPr>
              <w:instrText xml:space="preserve"> PAGEREF _Toc227838334 \h </w:instrText>
            </w:r>
            <w:r>
              <w:rPr>
                <w:noProof/>
                <w:webHidden/>
              </w:rPr>
            </w:r>
            <w:r>
              <w:rPr>
                <w:noProof/>
                <w:webHidden/>
              </w:rPr>
              <w:fldChar w:fldCharType="separate"/>
            </w:r>
            <w:r>
              <w:rPr>
                <w:noProof/>
                <w:webHidden/>
              </w:rPr>
              <w:t>21</w:t>
            </w:r>
            <w:r>
              <w:rPr>
                <w:noProof/>
                <w:webHidden/>
              </w:rPr>
              <w:fldChar w:fldCharType="end"/>
            </w:r>
          </w:hyperlink>
        </w:p>
        <w:p w:rsidR="009F4B0B" w:rsidRDefault="009F4B0B" w14:paraId="7483FD43" w14:textId="66A2078E">
          <w:pPr>
            <w:pStyle w:val="TOC2"/>
            <w:rPr>
              <w:rFonts w:asciiTheme="minorHAnsi" w:hAnsiTheme="minorHAnsi" w:eastAsiaTheme="minorEastAsia" w:cstheme="minorBidi"/>
              <w:noProof/>
              <w:kern w:val="2"/>
              <w:sz w:val="24"/>
              <w:szCs w:val="24"/>
              <w14:ligatures w14:val="standardContextual"/>
            </w:rPr>
          </w:pPr>
          <w:hyperlink w:history="1" w:anchor="_Toc227838335">
            <w:r w:rsidRPr="00F8043F">
              <w:rPr>
                <w:rStyle w:val="Hyperlink"/>
                <w:rFonts w:eastAsia="PMingLiU" w:cs="Arial"/>
                <w:caps/>
                <w:noProof/>
                <w:specVanish/>
              </w:rPr>
              <w:t>1.2</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Survival.</w:t>
            </w:r>
            <w:r>
              <w:rPr>
                <w:noProof/>
                <w:webHidden/>
              </w:rPr>
              <w:tab/>
            </w:r>
            <w:r>
              <w:rPr>
                <w:noProof/>
                <w:webHidden/>
              </w:rPr>
              <w:fldChar w:fldCharType="begin"/>
            </w:r>
            <w:r>
              <w:rPr>
                <w:noProof/>
                <w:webHidden/>
              </w:rPr>
              <w:instrText xml:space="preserve"> PAGEREF _Toc227838335 \h </w:instrText>
            </w:r>
            <w:r>
              <w:rPr>
                <w:noProof/>
                <w:webHidden/>
              </w:rPr>
            </w:r>
            <w:r>
              <w:rPr>
                <w:noProof/>
                <w:webHidden/>
              </w:rPr>
              <w:fldChar w:fldCharType="separate"/>
            </w:r>
            <w:r>
              <w:rPr>
                <w:noProof/>
                <w:webHidden/>
              </w:rPr>
              <w:t>21</w:t>
            </w:r>
            <w:r>
              <w:rPr>
                <w:noProof/>
                <w:webHidden/>
              </w:rPr>
              <w:fldChar w:fldCharType="end"/>
            </w:r>
          </w:hyperlink>
        </w:p>
        <w:p w:rsidR="009F4B0B" w:rsidRDefault="009F4B0B" w14:paraId="0697EB4E" w14:textId="77F35EED">
          <w:pPr>
            <w:pStyle w:val="TOC2"/>
            <w:rPr>
              <w:rFonts w:asciiTheme="minorHAnsi" w:hAnsiTheme="minorHAnsi" w:eastAsiaTheme="minorEastAsia" w:cstheme="minorBidi"/>
              <w:noProof/>
              <w:kern w:val="2"/>
              <w:sz w:val="24"/>
              <w:szCs w:val="24"/>
              <w14:ligatures w14:val="standardContextual"/>
            </w:rPr>
          </w:pPr>
          <w:hyperlink w:history="1" w:anchor="_Toc227838336">
            <w:r w:rsidRPr="00F8043F">
              <w:rPr>
                <w:rStyle w:val="Hyperlink"/>
                <w:rFonts w:eastAsia="PMingLiU" w:cs="Arial"/>
                <w:caps/>
                <w:noProof/>
                <w:specVanish/>
              </w:rPr>
              <w:t>1.3</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Conditions Subsequent.</w:t>
            </w:r>
            <w:r>
              <w:rPr>
                <w:noProof/>
                <w:webHidden/>
              </w:rPr>
              <w:tab/>
            </w:r>
            <w:r>
              <w:rPr>
                <w:noProof/>
                <w:webHidden/>
              </w:rPr>
              <w:fldChar w:fldCharType="begin"/>
            </w:r>
            <w:r>
              <w:rPr>
                <w:noProof/>
                <w:webHidden/>
              </w:rPr>
              <w:instrText xml:space="preserve"> PAGEREF _Toc227838336 \h </w:instrText>
            </w:r>
            <w:r>
              <w:rPr>
                <w:noProof/>
                <w:webHidden/>
              </w:rPr>
            </w:r>
            <w:r>
              <w:rPr>
                <w:noProof/>
                <w:webHidden/>
              </w:rPr>
              <w:fldChar w:fldCharType="separate"/>
            </w:r>
            <w:r>
              <w:rPr>
                <w:noProof/>
                <w:webHidden/>
              </w:rPr>
              <w:t>21</w:t>
            </w:r>
            <w:r>
              <w:rPr>
                <w:noProof/>
                <w:webHidden/>
              </w:rPr>
              <w:fldChar w:fldCharType="end"/>
            </w:r>
          </w:hyperlink>
        </w:p>
        <w:p w:rsidR="009F4B0B" w:rsidRDefault="009F4B0B" w14:paraId="0D2ABB79" w14:textId="2AABAAA7">
          <w:pPr>
            <w:pStyle w:val="TOC1"/>
            <w:rPr>
              <w:rFonts w:asciiTheme="minorHAnsi" w:hAnsiTheme="minorHAnsi" w:eastAsiaTheme="minorEastAsia" w:cstheme="minorBidi"/>
              <w:b w:val="0"/>
              <w:caps w:val="0"/>
              <w:noProof/>
              <w:kern w:val="2"/>
              <w:sz w:val="24"/>
              <w:szCs w:val="24"/>
              <w14:ligatures w14:val="standardContextual"/>
            </w:rPr>
          </w:pPr>
          <w:hyperlink w:history="1" w:anchor="_Toc227838337">
            <w:r w:rsidRPr="00F8043F">
              <w:rPr>
                <w:rStyle w:val="Hyperlink"/>
                <w:noProof/>
                <w14:scene3d>
                  <w14:camera w14:prst="orthographicFront"/>
                  <w14:lightRig w14:rig="threePt" w14:dir="t">
                    <w14:rot w14:lat="0" w14:lon="0" w14:rev="0"/>
                  </w14:lightRig>
                </w14:scene3d>
                <w14:props3d w14:extrusionH="0" w14:contourW="0" w14:prstMaterial="warmMatte"/>
              </w:rPr>
              <w:t>Part 2.</w:t>
            </w:r>
            <w:r>
              <w:rPr>
                <w:rFonts w:asciiTheme="minorHAnsi" w:hAnsiTheme="minorHAnsi" w:eastAsiaTheme="minorEastAsia" w:cstheme="minorBidi"/>
                <w:b w:val="0"/>
                <w:caps w:val="0"/>
                <w:noProof/>
                <w:kern w:val="2"/>
                <w:sz w:val="24"/>
                <w:szCs w:val="24"/>
                <w14:ligatures w14:val="standardContextual"/>
              </w:rPr>
              <w:tab/>
            </w:r>
            <w:r w:rsidRPr="00F8043F">
              <w:rPr>
                <w:rStyle w:val="Hyperlink"/>
                <w:noProof/>
              </w:rPr>
              <w:t>Representations, Warranties, and Covenants</w:t>
            </w:r>
            <w:r>
              <w:rPr>
                <w:noProof/>
                <w:webHidden/>
              </w:rPr>
              <w:tab/>
            </w:r>
            <w:r>
              <w:rPr>
                <w:noProof/>
                <w:webHidden/>
              </w:rPr>
              <w:fldChar w:fldCharType="begin"/>
            </w:r>
            <w:r>
              <w:rPr>
                <w:noProof/>
                <w:webHidden/>
              </w:rPr>
              <w:instrText xml:space="preserve"> PAGEREF _Toc227838337 \h </w:instrText>
            </w:r>
            <w:r>
              <w:rPr>
                <w:noProof/>
                <w:webHidden/>
              </w:rPr>
            </w:r>
            <w:r>
              <w:rPr>
                <w:noProof/>
                <w:webHidden/>
              </w:rPr>
              <w:fldChar w:fldCharType="separate"/>
            </w:r>
            <w:r>
              <w:rPr>
                <w:noProof/>
                <w:webHidden/>
              </w:rPr>
              <w:t>23</w:t>
            </w:r>
            <w:r>
              <w:rPr>
                <w:noProof/>
                <w:webHidden/>
              </w:rPr>
              <w:fldChar w:fldCharType="end"/>
            </w:r>
          </w:hyperlink>
        </w:p>
        <w:p w:rsidR="009F4B0B" w:rsidRDefault="009F4B0B" w14:paraId="3B66C3E9" w14:textId="29EBCCB8">
          <w:pPr>
            <w:pStyle w:val="TOC2"/>
            <w:rPr>
              <w:rFonts w:asciiTheme="minorHAnsi" w:hAnsiTheme="minorHAnsi" w:eastAsiaTheme="minorEastAsia" w:cstheme="minorBidi"/>
              <w:noProof/>
              <w:kern w:val="2"/>
              <w:sz w:val="24"/>
              <w:szCs w:val="24"/>
              <w14:ligatures w14:val="standardContextual"/>
            </w:rPr>
          </w:pPr>
          <w:hyperlink w:history="1" w:anchor="_Toc227838338">
            <w:r w:rsidRPr="00F8043F">
              <w:rPr>
                <w:rStyle w:val="Hyperlink"/>
                <w:rFonts w:eastAsia="PMingLiU" w:cs="Arial"/>
                <w:caps/>
                <w:noProof/>
                <w:specVanish/>
              </w:rPr>
              <w:t>2.1</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Seller Representations, Warranties, and Covenants.</w:t>
            </w:r>
            <w:r>
              <w:rPr>
                <w:noProof/>
                <w:webHidden/>
              </w:rPr>
              <w:tab/>
            </w:r>
            <w:r>
              <w:rPr>
                <w:noProof/>
                <w:webHidden/>
              </w:rPr>
              <w:fldChar w:fldCharType="begin"/>
            </w:r>
            <w:r>
              <w:rPr>
                <w:noProof/>
                <w:webHidden/>
              </w:rPr>
              <w:instrText xml:space="preserve"> PAGEREF _Toc227838338 \h </w:instrText>
            </w:r>
            <w:r>
              <w:rPr>
                <w:noProof/>
                <w:webHidden/>
              </w:rPr>
            </w:r>
            <w:r>
              <w:rPr>
                <w:noProof/>
                <w:webHidden/>
              </w:rPr>
              <w:fldChar w:fldCharType="separate"/>
            </w:r>
            <w:r>
              <w:rPr>
                <w:noProof/>
                <w:webHidden/>
              </w:rPr>
              <w:t>23</w:t>
            </w:r>
            <w:r>
              <w:rPr>
                <w:noProof/>
                <w:webHidden/>
              </w:rPr>
              <w:fldChar w:fldCharType="end"/>
            </w:r>
          </w:hyperlink>
        </w:p>
        <w:p w:rsidR="009F4B0B" w:rsidRDefault="009F4B0B" w14:paraId="707688E6" w14:textId="2B97DF04">
          <w:pPr>
            <w:pStyle w:val="TOC2"/>
            <w:rPr>
              <w:rFonts w:asciiTheme="minorHAnsi" w:hAnsiTheme="minorHAnsi" w:eastAsiaTheme="minorEastAsia" w:cstheme="minorBidi"/>
              <w:noProof/>
              <w:kern w:val="2"/>
              <w:sz w:val="24"/>
              <w:szCs w:val="24"/>
              <w14:ligatures w14:val="standardContextual"/>
            </w:rPr>
          </w:pPr>
          <w:hyperlink w:history="1" w:anchor="_Toc227838339">
            <w:r w:rsidRPr="00F8043F">
              <w:rPr>
                <w:rStyle w:val="Hyperlink"/>
                <w:rFonts w:eastAsia="PMingLiU" w:cs="Arial"/>
                <w:caps/>
                <w:noProof/>
                <w:specVanish/>
              </w:rPr>
              <w:t>2.2</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GPC Representations, Warranties, and Covenants.</w:t>
            </w:r>
            <w:r>
              <w:rPr>
                <w:noProof/>
                <w:webHidden/>
              </w:rPr>
              <w:tab/>
            </w:r>
            <w:r>
              <w:rPr>
                <w:noProof/>
                <w:webHidden/>
              </w:rPr>
              <w:fldChar w:fldCharType="begin"/>
            </w:r>
            <w:r>
              <w:rPr>
                <w:noProof/>
                <w:webHidden/>
              </w:rPr>
              <w:instrText xml:space="preserve"> PAGEREF _Toc227838339 \h </w:instrText>
            </w:r>
            <w:r>
              <w:rPr>
                <w:noProof/>
                <w:webHidden/>
              </w:rPr>
            </w:r>
            <w:r>
              <w:rPr>
                <w:noProof/>
                <w:webHidden/>
              </w:rPr>
              <w:fldChar w:fldCharType="separate"/>
            </w:r>
            <w:r>
              <w:rPr>
                <w:noProof/>
                <w:webHidden/>
              </w:rPr>
              <w:t>26</w:t>
            </w:r>
            <w:r>
              <w:rPr>
                <w:noProof/>
                <w:webHidden/>
              </w:rPr>
              <w:fldChar w:fldCharType="end"/>
            </w:r>
          </w:hyperlink>
        </w:p>
        <w:p w:rsidR="009F4B0B" w:rsidRDefault="009F4B0B" w14:paraId="0E6ED5CB" w14:textId="27921C91">
          <w:pPr>
            <w:pStyle w:val="TOC1"/>
            <w:rPr>
              <w:rFonts w:asciiTheme="minorHAnsi" w:hAnsiTheme="minorHAnsi" w:eastAsiaTheme="minorEastAsia" w:cstheme="minorBidi"/>
              <w:b w:val="0"/>
              <w:caps w:val="0"/>
              <w:noProof/>
              <w:kern w:val="2"/>
              <w:sz w:val="24"/>
              <w:szCs w:val="24"/>
              <w14:ligatures w14:val="standardContextual"/>
            </w:rPr>
          </w:pPr>
          <w:hyperlink w:history="1" w:anchor="_Toc227838340">
            <w:r w:rsidRPr="00F8043F">
              <w:rPr>
                <w:rStyle w:val="Hyperlink"/>
                <w:noProof/>
                <w14:scene3d>
                  <w14:camera w14:prst="orthographicFront"/>
                  <w14:lightRig w14:rig="threePt" w14:dir="t">
                    <w14:rot w14:lat="0" w14:lon="0" w14:rev="0"/>
                  </w14:lightRig>
                </w14:scene3d>
                <w14:props3d w14:extrusionH="0" w14:contourW="0" w14:prstMaterial="warmMatte"/>
              </w:rPr>
              <w:t>Part 3.</w:t>
            </w:r>
            <w:r>
              <w:rPr>
                <w:rFonts w:asciiTheme="minorHAnsi" w:hAnsiTheme="minorHAnsi" w:eastAsiaTheme="minorEastAsia" w:cstheme="minorBidi"/>
                <w:b w:val="0"/>
                <w:caps w:val="0"/>
                <w:noProof/>
                <w:kern w:val="2"/>
                <w:sz w:val="24"/>
                <w:szCs w:val="24"/>
                <w14:ligatures w14:val="standardContextual"/>
              </w:rPr>
              <w:tab/>
            </w:r>
            <w:r w:rsidRPr="00F8043F">
              <w:rPr>
                <w:rStyle w:val="Hyperlink"/>
                <w:noProof/>
              </w:rPr>
              <w:t>Preservation of Terms; Consents; Taxes</w:t>
            </w:r>
            <w:r>
              <w:rPr>
                <w:noProof/>
                <w:webHidden/>
              </w:rPr>
              <w:tab/>
            </w:r>
            <w:r>
              <w:rPr>
                <w:noProof/>
                <w:webHidden/>
              </w:rPr>
              <w:fldChar w:fldCharType="begin"/>
            </w:r>
            <w:r>
              <w:rPr>
                <w:noProof/>
                <w:webHidden/>
              </w:rPr>
              <w:instrText xml:space="preserve"> PAGEREF _Toc227838340 \h </w:instrText>
            </w:r>
            <w:r>
              <w:rPr>
                <w:noProof/>
                <w:webHidden/>
              </w:rPr>
            </w:r>
            <w:r>
              <w:rPr>
                <w:noProof/>
                <w:webHidden/>
              </w:rPr>
              <w:fldChar w:fldCharType="separate"/>
            </w:r>
            <w:r>
              <w:rPr>
                <w:noProof/>
                <w:webHidden/>
              </w:rPr>
              <w:t>26</w:t>
            </w:r>
            <w:r>
              <w:rPr>
                <w:noProof/>
                <w:webHidden/>
              </w:rPr>
              <w:fldChar w:fldCharType="end"/>
            </w:r>
          </w:hyperlink>
        </w:p>
        <w:p w:rsidR="009F4B0B" w:rsidRDefault="009F4B0B" w14:paraId="4D0C9880" w14:textId="6CFB1A66">
          <w:pPr>
            <w:pStyle w:val="TOC2"/>
            <w:rPr>
              <w:rFonts w:asciiTheme="minorHAnsi" w:hAnsiTheme="minorHAnsi" w:eastAsiaTheme="minorEastAsia" w:cstheme="minorBidi"/>
              <w:noProof/>
              <w:kern w:val="2"/>
              <w:sz w:val="24"/>
              <w:szCs w:val="24"/>
              <w14:ligatures w14:val="standardContextual"/>
            </w:rPr>
          </w:pPr>
          <w:hyperlink w:history="1" w:anchor="_Toc227838341">
            <w:r w:rsidRPr="00F8043F">
              <w:rPr>
                <w:rStyle w:val="Hyperlink"/>
                <w:rFonts w:eastAsia="PMingLiU" w:cs="Arial"/>
                <w:caps/>
                <w:noProof/>
                <w:specVanish/>
              </w:rPr>
              <w:t>3.1</w:t>
            </w:r>
            <w:r>
              <w:rPr>
                <w:rFonts w:asciiTheme="minorHAnsi" w:hAnsiTheme="minorHAnsi" w:eastAsiaTheme="minorEastAsia" w:cstheme="minorBidi"/>
                <w:noProof/>
                <w:kern w:val="2"/>
                <w:sz w:val="24"/>
                <w:szCs w:val="24"/>
                <w14:ligatures w14:val="standardContextual"/>
              </w:rPr>
              <w:tab/>
            </w:r>
            <w:r w:rsidRPr="00F8043F">
              <w:rPr>
                <w:rStyle w:val="Hyperlink"/>
                <w:noProof/>
              </w:rPr>
              <w:t>Preservation of Terms.</w:t>
            </w:r>
            <w:r>
              <w:rPr>
                <w:noProof/>
                <w:webHidden/>
              </w:rPr>
              <w:tab/>
            </w:r>
            <w:r>
              <w:rPr>
                <w:noProof/>
                <w:webHidden/>
              </w:rPr>
              <w:fldChar w:fldCharType="begin"/>
            </w:r>
            <w:r>
              <w:rPr>
                <w:noProof/>
                <w:webHidden/>
              </w:rPr>
              <w:instrText xml:space="preserve"> PAGEREF _Toc227838341 \h </w:instrText>
            </w:r>
            <w:r>
              <w:rPr>
                <w:noProof/>
                <w:webHidden/>
              </w:rPr>
            </w:r>
            <w:r>
              <w:rPr>
                <w:noProof/>
                <w:webHidden/>
              </w:rPr>
              <w:fldChar w:fldCharType="separate"/>
            </w:r>
            <w:r>
              <w:rPr>
                <w:noProof/>
                <w:webHidden/>
              </w:rPr>
              <w:t>26</w:t>
            </w:r>
            <w:r>
              <w:rPr>
                <w:noProof/>
                <w:webHidden/>
              </w:rPr>
              <w:fldChar w:fldCharType="end"/>
            </w:r>
          </w:hyperlink>
        </w:p>
        <w:p w:rsidR="009F4B0B" w:rsidRDefault="009F4B0B" w14:paraId="77433279" w14:textId="7E703D08">
          <w:pPr>
            <w:pStyle w:val="TOC2"/>
            <w:rPr>
              <w:rFonts w:asciiTheme="minorHAnsi" w:hAnsiTheme="minorHAnsi" w:eastAsiaTheme="minorEastAsia" w:cstheme="minorBidi"/>
              <w:noProof/>
              <w:kern w:val="2"/>
              <w:sz w:val="24"/>
              <w:szCs w:val="24"/>
              <w14:ligatures w14:val="standardContextual"/>
            </w:rPr>
          </w:pPr>
          <w:hyperlink w:history="1" w:anchor="_Toc227838342">
            <w:r w:rsidRPr="00F8043F">
              <w:rPr>
                <w:rStyle w:val="Hyperlink"/>
                <w:rFonts w:eastAsia="PMingLiU" w:cs="Arial"/>
                <w:caps/>
                <w:noProof/>
                <w:specVanish/>
              </w:rPr>
              <w:t>3.2</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Other Approvals.</w:t>
            </w:r>
            <w:r>
              <w:rPr>
                <w:noProof/>
                <w:webHidden/>
              </w:rPr>
              <w:tab/>
            </w:r>
            <w:r>
              <w:rPr>
                <w:noProof/>
                <w:webHidden/>
              </w:rPr>
              <w:fldChar w:fldCharType="begin"/>
            </w:r>
            <w:r>
              <w:rPr>
                <w:noProof/>
                <w:webHidden/>
              </w:rPr>
              <w:instrText xml:space="preserve"> PAGEREF _Toc227838342 \h </w:instrText>
            </w:r>
            <w:r>
              <w:rPr>
                <w:noProof/>
                <w:webHidden/>
              </w:rPr>
            </w:r>
            <w:r>
              <w:rPr>
                <w:noProof/>
                <w:webHidden/>
              </w:rPr>
              <w:fldChar w:fldCharType="separate"/>
            </w:r>
            <w:r>
              <w:rPr>
                <w:noProof/>
                <w:webHidden/>
              </w:rPr>
              <w:t>27</w:t>
            </w:r>
            <w:r>
              <w:rPr>
                <w:noProof/>
                <w:webHidden/>
              </w:rPr>
              <w:fldChar w:fldCharType="end"/>
            </w:r>
          </w:hyperlink>
        </w:p>
        <w:p w:rsidR="009F4B0B" w:rsidRDefault="009F4B0B" w14:paraId="67F45333" w14:textId="3310D79B">
          <w:pPr>
            <w:pStyle w:val="TOC2"/>
            <w:rPr>
              <w:rFonts w:asciiTheme="minorHAnsi" w:hAnsiTheme="minorHAnsi" w:eastAsiaTheme="minorEastAsia" w:cstheme="minorBidi"/>
              <w:noProof/>
              <w:kern w:val="2"/>
              <w:sz w:val="24"/>
              <w:szCs w:val="24"/>
              <w14:ligatures w14:val="standardContextual"/>
            </w:rPr>
          </w:pPr>
          <w:hyperlink w:history="1" w:anchor="_Toc227838343">
            <w:r w:rsidRPr="00F8043F">
              <w:rPr>
                <w:rStyle w:val="Hyperlink"/>
                <w:rFonts w:eastAsia="PMingLiU" w:cs="Arial"/>
                <w:caps/>
                <w:noProof/>
              </w:rPr>
              <w:t>3.3</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Taxes.</w:t>
            </w:r>
            <w:r>
              <w:rPr>
                <w:noProof/>
                <w:webHidden/>
              </w:rPr>
              <w:tab/>
            </w:r>
            <w:r>
              <w:rPr>
                <w:noProof/>
                <w:webHidden/>
              </w:rPr>
              <w:fldChar w:fldCharType="begin"/>
            </w:r>
            <w:r>
              <w:rPr>
                <w:noProof/>
                <w:webHidden/>
              </w:rPr>
              <w:instrText xml:space="preserve"> PAGEREF _Toc227838343 \h </w:instrText>
            </w:r>
            <w:r>
              <w:rPr>
                <w:noProof/>
                <w:webHidden/>
              </w:rPr>
            </w:r>
            <w:r>
              <w:rPr>
                <w:noProof/>
                <w:webHidden/>
              </w:rPr>
              <w:fldChar w:fldCharType="separate"/>
            </w:r>
            <w:r>
              <w:rPr>
                <w:noProof/>
                <w:webHidden/>
              </w:rPr>
              <w:t>27</w:t>
            </w:r>
            <w:r>
              <w:rPr>
                <w:noProof/>
                <w:webHidden/>
              </w:rPr>
              <w:fldChar w:fldCharType="end"/>
            </w:r>
          </w:hyperlink>
        </w:p>
        <w:p w:rsidR="009F4B0B" w:rsidRDefault="009F4B0B" w14:paraId="2328C67D" w14:textId="41F43828">
          <w:pPr>
            <w:pStyle w:val="TOC1"/>
            <w:rPr>
              <w:rFonts w:asciiTheme="minorHAnsi" w:hAnsiTheme="minorHAnsi" w:eastAsiaTheme="minorEastAsia" w:cstheme="minorBidi"/>
              <w:b w:val="0"/>
              <w:caps w:val="0"/>
              <w:noProof/>
              <w:kern w:val="2"/>
              <w:sz w:val="24"/>
              <w:szCs w:val="24"/>
              <w14:ligatures w14:val="standardContextual"/>
            </w:rPr>
          </w:pPr>
          <w:hyperlink w:history="1" w:anchor="_Toc227838344">
            <w:r w:rsidRPr="00F8043F">
              <w:rPr>
                <w:rStyle w:val="Hyperlink"/>
                <w:noProof/>
                <w14:scene3d>
                  <w14:camera w14:prst="orthographicFront"/>
                  <w14:lightRig w14:rig="threePt" w14:dir="t">
                    <w14:rot w14:lat="0" w14:lon="0" w14:rev="0"/>
                  </w14:lightRig>
                </w14:scene3d>
                <w14:props3d w14:extrusionH="0" w14:contourW="0" w14:prstMaterial="warmMatte"/>
              </w:rPr>
              <w:t>Part 4.</w:t>
            </w:r>
            <w:r>
              <w:rPr>
                <w:rFonts w:asciiTheme="minorHAnsi" w:hAnsiTheme="minorHAnsi" w:eastAsiaTheme="minorEastAsia" w:cstheme="minorBidi"/>
                <w:b w:val="0"/>
                <w:caps w:val="0"/>
                <w:noProof/>
                <w:kern w:val="2"/>
                <w:sz w:val="24"/>
                <w:szCs w:val="24"/>
                <w14:ligatures w14:val="standardContextual"/>
              </w:rPr>
              <w:tab/>
            </w:r>
            <w:r w:rsidRPr="00F8043F">
              <w:rPr>
                <w:rStyle w:val="Hyperlink"/>
                <w:noProof/>
              </w:rPr>
              <w:t>Sale and Delivery of Capacity and Energy</w:t>
            </w:r>
            <w:r>
              <w:rPr>
                <w:noProof/>
                <w:webHidden/>
              </w:rPr>
              <w:tab/>
            </w:r>
            <w:r>
              <w:rPr>
                <w:noProof/>
                <w:webHidden/>
              </w:rPr>
              <w:fldChar w:fldCharType="begin"/>
            </w:r>
            <w:r>
              <w:rPr>
                <w:noProof/>
                <w:webHidden/>
              </w:rPr>
              <w:instrText xml:space="preserve"> PAGEREF _Toc227838344 \h </w:instrText>
            </w:r>
            <w:r>
              <w:rPr>
                <w:noProof/>
                <w:webHidden/>
              </w:rPr>
            </w:r>
            <w:r>
              <w:rPr>
                <w:noProof/>
                <w:webHidden/>
              </w:rPr>
              <w:fldChar w:fldCharType="separate"/>
            </w:r>
            <w:r>
              <w:rPr>
                <w:noProof/>
                <w:webHidden/>
              </w:rPr>
              <w:t>27</w:t>
            </w:r>
            <w:r>
              <w:rPr>
                <w:noProof/>
                <w:webHidden/>
              </w:rPr>
              <w:fldChar w:fldCharType="end"/>
            </w:r>
          </w:hyperlink>
        </w:p>
        <w:p w:rsidR="009F4B0B" w:rsidRDefault="009F4B0B" w14:paraId="6E535FA8" w14:textId="1D51C4B5">
          <w:pPr>
            <w:pStyle w:val="TOC2"/>
            <w:rPr>
              <w:rFonts w:asciiTheme="minorHAnsi" w:hAnsiTheme="minorHAnsi" w:eastAsiaTheme="minorEastAsia" w:cstheme="minorBidi"/>
              <w:noProof/>
              <w:kern w:val="2"/>
              <w:sz w:val="24"/>
              <w:szCs w:val="24"/>
              <w14:ligatures w14:val="standardContextual"/>
            </w:rPr>
          </w:pPr>
          <w:hyperlink w:history="1" w:anchor="_Toc227838345">
            <w:r w:rsidRPr="00F8043F">
              <w:rPr>
                <w:rStyle w:val="Hyperlink"/>
                <w:rFonts w:eastAsia="PMingLiU" w:cs="Arial"/>
                <w:caps/>
                <w:noProof/>
              </w:rPr>
              <w:t>4.1</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Agreement to Sell and Purchase.</w:t>
            </w:r>
            <w:r>
              <w:rPr>
                <w:noProof/>
                <w:webHidden/>
              </w:rPr>
              <w:tab/>
            </w:r>
            <w:r>
              <w:rPr>
                <w:noProof/>
                <w:webHidden/>
              </w:rPr>
              <w:fldChar w:fldCharType="begin"/>
            </w:r>
            <w:r>
              <w:rPr>
                <w:noProof/>
                <w:webHidden/>
              </w:rPr>
              <w:instrText xml:space="preserve"> PAGEREF _Toc227838345 \h </w:instrText>
            </w:r>
            <w:r>
              <w:rPr>
                <w:noProof/>
                <w:webHidden/>
              </w:rPr>
            </w:r>
            <w:r>
              <w:rPr>
                <w:noProof/>
                <w:webHidden/>
              </w:rPr>
              <w:fldChar w:fldCharType="separate"/>
            </w:r>
            <w:r>
              <w:rPr>
                <w:noProof/>
                <w:webHidden/>
              </w:rPr>
              <w:t>27</w:t>
            </w:r>
            <w:r>
              <w:rPr>
                <w:noProof/>
                <w:webHidden/>
              </w:rPr>
              <w:fldChar w:fldCharType="end"/>
            </w:r>
          </w:hyperlink>
        </w:p>
        <w:p w:rsidR="009F4B0B" w:rsidRDefault="009F4B0B" w14:paraId="0F899D5B" w14:textId="05861D68">
          <w:pPr>
            <w:pStyle w:val="TOC2"/>
            <w:rPr>
              <w:rFonts w:asciiTheme="minorHAnsi" w:hAnsiTheme="minorHAnsi" w:eastAsiaTheme="minorEastAsia" w:cstheme="minorBidi"/>
              <w:noProof/>
              <w:kern w:val="2"/>
              <w:sz w:val="24"/>
              <w:szCs w:val="24"/>
              <w14:ligatures w14:val="standardContextual"/>
            </w:rPr>
          </w:pPr>
          <w:hyperlink w:history="1" w:anchor="_Toc227838346">
            <w:r w:rsidRPr="00F8043F">
              <w:rPr>
                <w:rStyle w:val="Hyperlink"/>
                <w:rFonts w:eastAsia="PMingLiU" w:cs="Arial"/>
                <w:caps/>
                <w:noProof/>
                <w:specVanish/>
              </w:rPr>
              <w:t>4.2</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Calculation of Monthly Capacity Payments.</w:t>
            </w:r>
            <w:r>
              <w:rPr>
                <w:noProof/>
                <w:webHidden/>
              </w:rPr>
              <w:tab/>
            </w:r>
            <w:r>
              <w:rPr>
                <w:noProof/>
                <w:webHidden/>
              </w:rPr>
              <w:fldChar w:fldCharType="begin"/>
            </w:r>
            <w:r>
              <w:rPr>
                <w:noProof/>
                <w:webHidden/>
              </w:rPr>
              <w:instrText xml:space="preserve"> PAGEREF _Toc227838346 \h </w:instrText>
            </w:r>
            <w:r>
              <w:rPr>
                <w:noProof/>
                <w:webHidden/>
              </w:rPr>
            </w:r>
            <w:r>
              <w:rPr>
                <w:noProof/>
                <w:webHidden/>
              </w:rPr>
              <w:fldChar w:fldCharType="separate"/>
            </w:r>
            <w:r>
              <w:rPr>
                <w:noProof/>
                <w:webHidden/>
              </w:rPr>
              <w:t>30</w:t>
            </w:r>
            <w:r>
              <w:rPr>
                <w:noProof/>
                <w:webHidden/>
              </w:rPr>
              <w:fldChar w:fldCharType="end"/>
            </w:r>
          </w:hyperlink>
        </w:p>
        <w:p w:rsidR="009F4B0B" w:rsidRDefault="009F4B0B" w14:paraId="2D666023" w14:textId="2150FD86">
          <w:pPr>
            <w:pStyle w:val="TOC2"/>
            <w:rPr>
              <w:rFonts w:asciiTheme="minorHAnsi" w:hAnsiTheme="minorHAnsi" w:eastAsiaTheme="minorEastAsia" w:cstheme="minorBidi"/>
              <w:noProof/>
              <w:kern w:val="2"/>
              <w:sz w:val="24"/>
              <w:szCs w:val="24"/>
              <w14:ligatures w14:val="standardContextual"/>
            </w:rPr>
          </w:pPr>
          <w:hyperlink w:history="1" w:anchor="_Toc227838347">
            <w:r w:rsidRPr="00F8043F">
              <w:rPr>
                <w:rStyle w:val="Hyperlink"/>
                <w:rFonts w:eastAsia="PMingLiU" w:cs="Arial"/>
                <w:caps/>
                <w:noProof/>
                <w:specVanish/>
              </w:rPr>
              <w:t>4.3</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Calculation of Monthly Energy Payments.</w:t>
            </w:r>
            <w:r>
              <w:rPr>
                <w:noProof/>
                <w:webHidden/>
              </w:rPr>
              <w:tab/>
            </w:r>
            <w:r>
              <w:rPr>
                <w:noProof/>
                <w:webHidden/>
              </w:rPr>
              <w:fldChar w:fldCharType="begin"/>
            </w:r>
            <w:r>
              <w:rPr>
                <w:noProof/>
                <w:webHidden/>
              </w:rPr>
              <w:instrText xml:space="preserve"> PAGEREF _Toc227838347 \h </w:instrText>
            </w:r>
            <w:r>
              <w:rPr>
                <w:noProof/>
                <w:webHidden/>
              </w:rPr>
            </w:r>
            <w:r>
              <w:rPr>
                <w:noProof/>
                <w:webHidden/>
              </w:rPr>
              <w:fldChar w:fldCharType="separate"/>
            </w:r>
            <w:r>
              <w:rPr>
                <w:noProof/>
                <w:webHidden/>
              </w:rPr>
              <w:t>30</w:t>
            </w:r>
            <w:r>
              <w:rPr>
                <w:noProof/>
                <w:webHidden/>
              </w:rPr>
              <w:fldChar w:fldCharType="end"/>
            </w:r>
          </w:hyperlink>
        </w:p>
        <w:p w:rsidR="009F4B0B" w:rsidRDefault="009F4B0B" w14:paraId="4B82DB68" w14:textId="0EA8880E">
          <w:pPr>
            <w:pStyle w:val="TOC2"/>
            <w:rPr>
              <w:rFonts w:asciiTheme="minorHAnsi" w:hAnsiTheme="minorHAnsi" w:eastAsiaTheme="minorEastAsia" w:cstheme="minorBidi"/>
              <w:noProof/>
              <w:kern w:val="2"/>
              <w:sz w:val="24"/>
              <w:szCs w:val="24"/>
              <w14:ligatures w14:val="standardContextual"/>
            </w:rPr>
          </w:pPr>
          <w:hyperlink w:history="1" w:anchor="_Toc227838348">
            <w:r w:rsidRPr="00F8043F">
              <w:rPr>
                <w:rStyle w:val="Hyperlink"/>
                <w:rFonts w:eastAsia="PMingLiU" w:cs="Arial"/>
                <w:caps/>
                <w:noProof/>
                <w:specVanish/>
              </w:rPr>
              <w:t>4.4</w:t>
            </w:r>
            <w:r>
              <w:rPr>
                <w:rFonts w:asciiTheme="minorHAnsi" w:hAnsiTheme="minorHAnsi" w:eastAsiaTheme="minorEastAsia" w:cstheme="minorBidi"/>
                <w:noProof/>
                <w:kern w:val="2"/>
                <w:sz w:val="24"/>
                <w:szCs w:val="24"/>
                <w14:ligatures w14:val="standardContextual"/>
              </w:rPr>
              <w:tab/>
            </w:r>
            <w:r w:rsidRPr="00F8043F">
              <w:rPr>
                <w:rStyle w:val="Hyperlink"/>
                <w:noProof/>
              </w:rPr>
              <w:t>Substitution of a Unit at the Site.</w:t>
            </w:r>
            <w:r>
              <w:rPr>
                <w:noProof/>
                <w:webHidden/>
              </w:rPr>
              <w:tab/>
            </w:r>
            <w:r>
              <w:rPr>
                <w:noProof/>
                <w:webHidden/>
              </w:rPr>
              <w:fldChar w:fldCharType="begin"/>
            </w:r>
            <w:r>
              <w:rPr>
                <w:noProof/>
                <w:webHidden/>
              </w:rPr>
              <w:instrText xml:space="preserve"> PAGEREF _Toc227838348 \h </w:instrText>
            </w:r>
            <w:r>
              <w:rPr>
                <w:noProof/>
                <w:webHidden/>
              </w:rPr>
            </w:r>
            <w:r>
              <w:rPr>
                <w:noProof/>
                <w:webHidden/>
              </w:rPr>
              <w:fldChar w:fldCharType="separate"/>
            </w:r>
            <w:r>
              <w:rPr>
                <w:noProof/>
                <w:webHidden/>
              </w:rPr>
              <w:t>30</w:t>
            </w:r>
            <w:r>
              <w:rPr>
                <w:noProof/>
                <w:webHidden/>
              </w:rPr>
              <w:fldChar w:fldCharType="end"/>
            </w:r>
          </w:hyperlink>
        </w:p>
        <w:p w:rsidR="009F4B0B" w:rsidRDefault="009F4B0B" w14:paraId="76280390" w14:textId="0796B4B9">
          <w:pPr>
            <w:pStyle w:val="TOC1"/>
            <w:rPr>
              <w:rFonts w:asciiTheme="minorHAnsi" w:hAnsiTheme="minorHAnsi" w:eastAsiaTheme="minorEastAsia" w:cstheme="minorBidi"/>
              <w:b w:val="0"/>
              <w:caps w:val="0"/>
              <w:noProof/>
              <w:kern w:val="2"/>
              <w:sz w:val="24"/>
              <w:szCs w:val="24"/>
              <w14:ligatures w14:val="standardContextual"/>
            </w:rPr>
          </w:pPr>
          <w:hyperlink w:history="1" w:anchor="_Toc227838349">
            <w:r w:rsidRPr="00F8043F">
              <w:rPr>
                <w:rStyle w:val="Hyperlink"/>
                <w:noProof/>
                <w14:scene3d>
                  <w14:camera w14:prst="orthographicFront"/>
                  <w14:lightRig w14:rig="threePt" w14:dir="t">
                    <w14:rot w14:lat="0" w14:lon="0" w14:rev="0"/>
                  </w14:lightRig>
                </w14:scene3d>
                <w14:props3d w14:extrusionH="0" w14:contourW="0" w14:prstMaterial="warmMatte"/>
              </w:rPr>
              <w:t>Part 5.</w:t>
            </w:r>
            <w:r>
              <w:rPr>
                <w:rFonts w:asciiTheme="minorHAnsi" w:hAnsiTheme="minorHAnsi" w:eastAsiaTheme="minorEastAsia" w:cstheme="minorBidi"/>
                <w:b w:val="0"/>
                <w:caps w:val="0"/>
                <w:noProof/>
                <w:kern w:val="2"/>
                <w:sz w:val="24"/>
                <w:szCs w:val="24"/>
                <w14:ligatures w14:val="standardContextual"/>
              </w:rPr>
              <w:tab/>
            </w:r>
            <w:r w:rsidRPr="00F8043F">
              <w:rPr>
                <w:rStyle w:val="Hyperlink"/>
                <w:noProof/>
              </w:rPr>
              <w:t>Billing and Collections</w:t>
            </w:r>
            <w:r>
              <w:rPr>
                <w:noProof/>
                <w:webHidden/>
              </w:rPr>
              <w:tab/>
            </w:r>
            <w:r>
              <w:rPr>
                <w:noProof/>
                <w:webHidden/>
              </w:rPr>
              <w:fldChar w:fldCharType="begin"/>
            </w:r>
            <w:r>
              <w:rPr>
                <w:noProof/>
                <w:webHidden/>
              </w:rPr>
              <w:instrText xml:space="preserve"> PAGEREF _Toc227838349 \h </w:instrText>
            </w:r>
            <w:r>
              <w:rPr>
                <w:noProof/>
                <w:webHidden/>
              </w:rPr>
            </w:r>
            <w:r>
              <w:rPr>
                <w:noProof/>
                <w:webHidden/>
              </w:rPr>
              <w:fldChar w:fldCharType="separate"/>
            </w:r>
            <w:r>
              <w:rPr>
                <w:noProof/>
                <w:webHidden/>
              </w:rPr>
              <w:t>31</w:t>
            </w:r>
            <w:r>
              <w:rPr>
                <w:noProof/>
                <w:webHidden/>
              </w:rPr>
              <w:fldChar w:fldCharType="end"/>
            </w:r>
          </w:hyperlink>
        </w:p>
        <w:p w:rsidR="009F4B0B" w:rsidRDefault="009F4B0B" w14:paraId="781DA2E5" w14:textId="7C8BA173">
          <w:pPr>
            <w:pStyle w:val="TOC2"/>
            <w:rPr>
              <w:rFonts w:asciiTheme="minorHAnsi" w:hAnsiTheme="minorHAnsi" w:eastAsiaTheme="minorEastAsia" w:cstheme="minorBidi"/>
              <w:noProof/>
              <w:kern w:val="2"/>
              <w:sz w:val="24"/>
              <w:szCs w:val="24"/>
              <w14:ligatures w14:val="standardContextual"/>
            </w:rPr>
          </w:pPr>
          <w:hyperlink w:history="1" w:anchor="_Toc227838350">
            <w:r w:rsidRPr="00F8043F">
              <w:rPr>
                <w:rStyle w:val="Hyperlink"/>
                <w:rFonts w:eastAsia="PMingLiU" w:cs="Arial"/>
                <w:caps/>
                <w:noProof/>
                <w:specVanish/>
              </w:rPr>
              <w:t>5.1</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Capacity and Energy Billing and Payment.</w:t>
            </w:r>
            <w:r>
              <w:rPr>
                <w:noProof/>
                <w:webHidden/>
              </w:rPr>
              <w:tab/>
            </w:r>
            <w:r>
              <w:rPr>
                <w:noProof/>
                <w:webHidden/>
              </w:rPr>
              <w:fldChar w:fldCharType="begin"/>
            </w:r>
            <w:r>
              <w:rPr>
                <w:noProof/>
                <w:webHidden/>
              </w:rPr>
              <w:instrText xml:space="preserve"> PAGEREF _Toc227838350 \h </w:instrText>
            </w:r>
            <w:r>
              <w:rPr>
                <w:noProof/>
                <w:webHidden/>
              </w:rPr>
            </w:r>
            <w:r>
              <w:rPr>
                <w:noProof/>
                <w:webHidden/>
              </w:rPr>
              <w:fldChar w:fldCharType="separate"/>
            </w:r>
            <w:r>
              <w:rPr>
                <w:noProof/>
                <w:webHidden/>
              </w:rPr>
              <w:t>31</w:t>
            </w:r>
            <w:r>
              <w:rPr>
                <w:noProof/>
                <w:webHidden/>
              </w:rPr>
              <w:fldChar w:fldCharType="end"/>
            </w:r>
          </w:hyperlink>
        </w:p>
        <w:p w:rsidR="009F4B0B" w:rsidRDefault="009F4B0B" w14:paraId="23FF2780" w14:textId="7142FD5C">
          <w:pPr>
            <w:pStyle w:val="TOC2"/>
            <w:rPr>
              <w:rFonts w:asciiTheme="minorHAnsi" w:hAnsiTheme="minorHAnsi" w:eastAsiaTheme="minorEastAsia" w:cstheme="minorBidi"/>
              <w:noProof/>
              <w:kern w:val="2"/>
              <w:sz w:val="24"/>
              <w:szCs w:val="24"/>
              <w14:ligatures w14:val="standardContextual"/>
            </w:rPr>
          </w:pPr>
          <w:hyperlink w:history="1" w:anchor="_Toc227838351">
            <w:r w:rsidRPr="00F8043F">
              <w:rPr>
                <w:rStyle w:val="Hyperlink"/>
                <w:rFonts w:eastAsia="PMingLiU" w:cs="Arial"/>
                <w:caps/>
                <w:noProof/>
                <w:specVanish/>
              </w:rPr>
              <w:t>5.2</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Billing Disputes and Final Accounting.</w:t>
            </w:r>
            <w:r>
              <w:rPr>
                <w:noProof/>
                <w:webHidden/>
              </w:rPr>
              <w:tab/>
            </w:r>
            <w:r>
              <w:rPr>
                <w:noProof/>
                <w:webHidden/>
              </w:rPr>
              <w:fldChar w:fldCharType="begin"/>
            </w:r>
            <w:r>
              <w:rPr>
                <w:noProof/>
                <w:webHidden/>
              </w:rPr>
              <w:instrText xml:space="preserve"> PAGEREF _Toc227838351 \h </w:instrText>
            </w:r>
            <w:r>
              <w:rPr>
                <w:noProof/>
                <w:webHidden/>
              </w:rPr>
            </w:r>
            <w:r>
              <w:rPr>
                <w:noProof/>
                <w:webHidden/>
              </w:rPr>
              <w:fldChar w:fldCharType="separate"/>
            </w:r>
            <w:r>
              <w:rPr>
                <w:noProof/>
                <w:webHidden/>
              </w:rPr>
              <w:t>32</w:t>
            </w:r>
            <w:r>
              <w:rPr>
                <w:noProof/>
                <w:webHidden/>
              </w:rPr>
              <w:fldChar w:fldCharType="end"/>
            </w:r>
          </w:hyperlink>
        </w:p>
        <w:p w:rsidR="009F4B0B" w:rsidRDefault="009F4B0B" w14:paraId="0E9B1A2B" w14:textId="0E9C8967">
          <w:pPr>
            <w:pStyle w:val="TOC2"/>
            <w:rPr>
              <w:rFonts w:asciiTheme="minorHAnsi" w:hAnsiTheme="minorHAnsi" w:eastAsiaTheme="minorEastAsia" w:cstheme="minorBidi"/>
              <w:noProof/>
              <w:kern w:val="2"/>
              <w:sz w:val="24"/>
              <w:szCs w:val="24"/>
              <w14:ligatures w14:val="standardContextual"/>
            </w:rPr>
          </w:pPr>
          <w:hyperlink w:history="1" w:anchor="_Toc227838352">
            <w:r w:rsidRPr="00F8043F">
              <w:rPr>
                <w:rStyle w:val="Hyperlink"/>
                <w:rFonts w:eastAsia="PMingLiU" w:cs="Arial"/>
                <w:caps/>
                <w:noProof/>
                <w:specVanish/>
              </w:rPr>
              <w:t>5.3</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Interest.</w:t>
            </w:r>
            <w:r>
              <w:rPr>
                <w:noProof/>
                <w:webHidden/>
              </w:rPr>
              <w:tab/>
            </w:r>
            <w:r>
              <w:rPr>
                <w:noProof/>
                <w:webHidden/>
              </w:rPr>
              <w:fldChar w:fldCharType="begin"/>
            </w:r>
            <w:r>
              <w:rPr>
                <w:noProof/>
                <w:webHidden/>
              </w:rPr>
              <w:instrText xml:space="preserve"> PAGEREF _Toc227838352 \h </w:instrText>
            </w:r>
            <w:r>
              <w:rPr>
                <w:noProof/>
                <w:webHidden/>
              </w:rPr>
            </w:r>
            <w:r>
              <w:rPr>
                <w:noProof/>
                <w:webHidden/>
              </w:rPr>
              <w:fldChar w:fldCharType="separate"/>
            </w:r>
            <w:r>
              <w:rPr>
                <w:noProof/>
                <w:webHidden/>
              </w:rPr>
              <w:t>32</w:t>
            </w:r>
            <w:r>
              <w:rPr>
                <w:noProof/>
                <w:webHidden/>
              </w:rPr>
              <w:fldChar w:fldCharType="end"/>
            </w:r>
          </w:hyperlink>
        </w:p>
        <w:p w:rsidR="009F4B0B" w:rsidRDefault="009F4B0B" w14:paraId="6F478DBA" w14:textId="61A2B7D2">
          <w:pPr>
            <w:pStyle w:val="TOC2"/>
            <w:rPr>
              <w:rFonts w:asciiTheme="minorHAnsi" w:hAnsiTheme="minorHAnsi" w:eastAsiaTheme="minorEastAsia" w:cstheme="minorBidi"/>
              <w:noProof/>
              <w:kern w:val="2"/>
              <w:sz w:val="24"/>
              <w:szCs w:val="24"/>
              <w14:ligatures w14:val="standardContextual"/>
            </w:rPr>
          </w:pPr>
          <w:hyperlink w:history="1" w:anchor="_Toc227838353">
            <w:r w:rsidRPr="00F8043F">
              <w:rPr>
                <w:rStyle w:val="Hyperlink"/>
                <w:rFonts w:eastAsia="PMingLiU" w:cs="Arial"/>
                <w:caps/>
                <w:noProof/>
                <w:specVanish/>
              </w:rPr>
              <w:t>5.4</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Billing and Payment Records.</w:t>
            </w:r>
            <w:r>
              <w:rPr>
                <w:noProof/>
                <w:webHidden/>
              </w:rPr>
              <w:tab/>
            </w:r>
            <w:r>
              <w:rPr>
                <w:noProof/>
                <w:webHidden/>
              </w:rPr>
              <w:fldChar w:fldCharType="begin"/>
            </w:r>
            <w:r>
              <w:rPr>
                <w:noProof/>
                <w:webHidden/>
              </w:rPr>
              <w:instrText xml:space="preserve"> PAGEREF _Toc227838353 \h </w:instrText>
            </w:r>
            <w:r>
              <w:rPr>
                <w:noProof/>
                <w:webHidden/>
              </w:rPr>
            </w:r>
            <w:r>
              <w:rPr>
                <w:noProof/>
                <w:webHidden/>
              </w:rPr>
              <w:fldChar w:fldCharType="separate"/>
            </w:r>
            <w:r>
              <w:rPr>
                <w:noProof/>
                <w:webHidden/>
              </w:rPr>
              <w:t>33</w:t>
            </w:r>
            <w:r>
              <w:rPr>
                <w:noProof/>
                <w:webHidden/>
              </w:rPr>
              <w:fldChar w:fldCharType="end"/>
            </w:r>
          </w:hyperlink>
        </w:p>
        <w:p w:rsidR="009F4B0B" w:rsidRDefault="009F4B0B" w14:paraId="27151BEC" w14:textId="62B28B75">
          <w:pPr>
            <w:pStyle w:val="TOC1"/>
            <w:rPr>
              <w:rFonts w:asciiTheme="minorHAnsi" w:hAnsiTheme="minorHAnsi" w:eastAsiaTheme="minorEastAsia" w:cstheme="minorBidi"/>
              <w:b w:val="0"/>
              <w:caps w:val="0"/>
              <w:noProof/>
              <w:kern w:val="2"/>
              <w:sz w:val="24"/>
              <w:szCs w:val="24"/>
              <w14:ligatures w14:val="standardContextual"/>
            </w:rPr>
          </w:pPr>
          <w:hyperlink w:history="1" w:anchor="_Toc227838354">
            <w:r w:rsidRPr="00F8043F">
              <w:rPr>
                <w:rStyle w:val="Hyperlink"/>
                <w:noProof/>
                <w14:scene3d>
                  <w14:camera w14:prst="orthographicFront"/>
                  <w14:lightRig w14:rig="threePt" w14:dir="t">
                    <w14:rot w14:lat="0" w14:lon="0" w14:rev="0"/>
                  </w14:lightRig>
                </w14:scene3d>
                <w14:props3d w14:extrusionH="0" w14:contourW="0" w14:prstMaterial="warmMatte"/>
              </w:rPr>
              <w:t>Part 6.</w:t>
            </w:r>
            <w:r>
              <w:rPr>
                <w:rFonts w:asciiTheme="minorHAnsi" w:hAnsiTheme="minorHAnsi" w:eastAsiaTheme="minorEastAsia" w:cstheme="minorBidi"/>
                <w:b w:val="0"/>
                <w:caps w:val="0"/>
                <w:noProof/>
                <w:kern w:val="2"/>
                <w:sz w:val="24"/>
                <w:szCs w:val="24"/>
                <w14:ligatures w14:val="standardContextual"/>
              </w:rPr>
              <w:tab/>
            </w:r>
            <w:r w:rsidRPr="00F8043F">
              <w:rPr>
                <w:rStyle w:val="Hyperlink"/>
                <w:noProof/>
              </w:rPr>
              <w:t>Performance Security</w:t>
            </w:r>
            <w:r>
              <w:rPr>
                <w:noProof/>
                <w:webHidden/>
              </w:rPr>
              <w:tab/>
            </w:r>
            <w:r>
              <w:rPr>
                <w:noProof/>
                <w:webHidden/>
              </w:rPr>
              <w:fldChar w:fldCharType="begin"/>
            </w:r>
            <w:r>
              <w:rPr>
                <w:noProof/>
                <w:webHidden/>
              </w:rPr>
              <w:instrText xml:space="preserve"> PAGEREF _Toc227838354 \h </w:instrText>
            </w:r>
            <w:r>
              <w:rPr>
                <w:noProof/>
                <w:webHidden/>
              </w:rPr>
            </w:r>
            <w:r>
              <w:rPr>
                <w:noProof/>
                <w:webHidden/>
              </w:rPr>
              <w:fldChar w:fldCharType="separate"/>
            </w:r>
            <w:r>
              <w:rPr>
                <w:noProof/>
                <w:webHidden/>
              </w:rPr>
              <w:t>33</w:t>
            </w:r>
            <w:r>
              <w:rPr>
                <w:noProof/>
                <w:webHidden/>
              </w:rPr>
              <w:fldChar w:fldCharType="end"/>
            </w:r>
          </w:hyperlink>
        </w:p>
        <w:p w:rsidR="009F4B0B" w:rsidRDefault="009F4B0B" w14:paraId="6FDCF03E" w14:textId="7F85B036">
          <w:pPr>
            <w:pStyle w:val="TOC2"/>
            <w:rPr>
              <w:rFonts w:asciiTheme="minorHAnsi" w:hAnsiTheme="minorHAnsi" w:eastAsiaTheme="minorEastAsia" w:cstheme="minorBidi"/>
              <w:noProof/>
              <w:kern w:val="2"/>
              <w:sz w:val="24"/>
              <w:szCs w:val="24"/>
              <w14:ligatures w14:val="standardContextual"/>
            </w:rPr>
          </w:pPr>
          <w:hyperlink w:history="1" w:anchor="_Toc227838355">
            <w:r w:rsidRPr="00F8043F">
              <w:rPr>
                <w:rStyle w:val="Hyperlink"/>
                <w:rFonts w:eastAsia="PMingLiU" w:cs="Arial"/>
                <w:caps/>
                <w:noProof/>
                <w:specVanish/>
              </w:rPr>
              <w:t>6.1</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Performance Security.</w:t>
            </w:r>
            <w:r>
              <w:rPr>
                <w:noProof/>
                <w:webHidden/>
              </w:rPr>
              <w:tab/>
            </w:r>
            <w:r>
              <w:rPr>
                <w:noProof/>
                <w:webHidden/>
              </w:rPr>
              <w:fldChar w:fldCharType="begin"/>
            </w:r>
            <w:r>
              <w:rPr>
                <w:noProof/>
                <w:webHidden/>
              </w:rPr>
              <w:instrText xml:space="preserve"> PAGEREF _Toc227838355 \h </w:instrText>
            </w:r>
            <w:r>
              <w:rPr>
                <w:noProof/>
                <w:webHidden/>
              </w:rPr>
            </w:r>
            <w:r>
              <w:rPr>
                <w:noProof/>
                <w:webHidden/>
              </w:rPr>
              <w:fldChar w:fldCharType="separate"/>
            </w:r>
            <w:r>
              <w:rPr>
                <w:noProof/>
                <w:webHidden/>
              </w:rPr>
              <w:t>33</w:t>
            </w:r>
            <w:r>
              <w:rPr>
                <w:noProof/>
                <w:webHidden/>
              </w:rPr>
              <w:fldChar w:fldCharType="end"/>
            </w:r>
          </w:hyperlink>
        </w:p>
        <w:p w:rsidR="009F4B0B" w:rsidRDefault="009F4B0B" w14:paraId="09F96D9E" w14:textId="32D9BB0F">
          <w:pPr>
            <w:pStyle w:val="TOC2"/>
            <w:rPr>
              <w:rFonts w:asciiTheme="minorHAnsi" w:hAnsiTheme="minorHAnsi" w:eastAsiaTheme="minorEastAsia" w:cstheme="minorBidi"/>
              <w:noProof/>
              <w:kern w:val="2"/>
              <w:sz w:val="24"/>
              <w:szCs w:val="24"/>
              <w14:ligatures w14:val="standardContextual"/>
            </w:rPr>
          </w:pPr>
          <w:hyperlink w:history="1" w:anchor="_Toc227838356">
            <w:r w:rsidRPr="00F8043F">
              <w:rPr>
                <w:rStyle w:val="Hyperlink"/>
                <w:rFonts w:eastAsia="PMingLiU" w:cs="Arial"/>
                <w:caps/>
                <w:noProof/>
                <w:specVanish/>
              </w:rPr>
              <w:t>6.2</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Replacement Collateral; Substituted Collateral; Release of Collateral.</w:t>
            </w:r>
            <w:r>
              <w:rPr>
                <w:noProof/>
                <w:webHidden/>
              </w:rPr>
              <w:tab/>
            </w:r>
            <w:r>
              <w:rPr>
                <w:noProof/>
                <w:webHidden/>
              </w:rPr>
              <w:fldChar w:fldCharType="begin"/>
            </w:r>
            <w:r>
              <w:rPr>
                <w:noProof/>
                <w:webHidden/>
              </w:rPr>
              <w:instrText xml:space="preserve"> PAGEREF _Toc227838356 \h </w:instrText>
            </w:r>
            <w:r>
              <w:rPr>
                <w:noProof/>
                <w:webHidden/>
              </w:rPr>
            </w:r>
            <w:r>
              <w:rPr>
                <w:noProof/>
                <w:webHidden/>
              </w:rPr>
              <w:fldChar w:fldCharType="separate"/>
            </w:r>
            <w:r>
              <w:rPr>
                <w:noProof/>
                <w:webHidden/>
              </w:rPr>
              <w:t>33</w:t>
            </w:r>
            <w:r>
              <w:rPr>
                <w:noProof/>
                <w:webHidden/>
              </w:rPr>
              <w:fldChar w:fldCharType="end"/>
            </w:r>
          </w:hyperlink>
        </w:p>
        <w:p w:rsidR="009F4B0B" w:rsidRDefault="009F4B0B" w14:paraId="40EEF9E0" w14:textId="5CDFC0FA">
          <w:pPr>
            <w:pStyle w:val="TOC2"/>
            <w:rPr>
              <w:rFonts w:asciiTheme="minorHAnsi" w:hAnsiTheme="minorHAnsi" w:eastAsiaTheme="minorEastAsia" w:cstheme="minorBidi"/>
              <w:noProof/>
              <w:kern w:val="2"/>
              <w:sz w:val="24"/>
              <w:szCs w:val="24"/>
              <w14:ligatures w14:val="standardContextual"/>
            </w:rPr>
          </w:pPr>
          <w:hyperlink w:history="1" w:anchor="_Toc227838357">
            <w:r w:rsidRPr="00F8043F">
              <w:rPr>
                <w:rStyle w:val="Hyperlink"/>
                <w:rFonts w:eastAsia="PMingLiU" w:cs="Arial"/>
                <w:caps/>
                <w:noProof/>
                <w:specVanish/>
              </w:rPr>
              <w:t>6.3</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Draws; Replenishment.</w:t>
            </w:r>
            <w:r>
              <w:rPr>
                <w:noProof/>
                <w:webHidden/>
              </w:rPr>
              <w:tab/>
            </w:r>
            <w:r>
              <w:rPr>
                <w:noProof/>
                <w:webHidden/>
              </w:rPr>
              <w:fldChar w:fldCharType="begin"/>
            </w:r>
            <w:r>
              <w:rPr>
                <w:noProof/>
                <w:webHidden/>
              </w:rPr>
              <w:instrText xml:space="preserve"> PAGEREF _Toc227838357 \h </w:instrText>
            </w:r>
            <w:r>
              <w:rPr>
                <w:noProof/>
                <w:webHidden/>
              </w:rPr>
            </w:r>
            <w:r>
              <w:rPr>
                <w:noProof/>
                <w:webHidden/>
              </w:rPr>
              <w:fldChar w:fldCharType="separate"/>
            </w:r>
            <w:r>
              <w:rPr>
                <w:noProof/>
                <w:webHidden/>
              </w:rPr>
              <w:t>34</w:t>
            </w:r>
            <w:r>
              <w:rPr>
                <w:noProof/>
                <w:webHidden/>
              </w:rPr>
              <w:fldChar w:fldCharType="end"/>
            </w:r>
          </w:hyperlink>
        </w:p>
        <w:p w:rsidR="009F4B0B" w:rsidRDefault="009F4B0B" w14:paraId="2AF4D80C" w14:textId="545B6B4B">
          <w:pPr>
            <w:pStyle w:val="TOC2"/>
            <w:rPr>
              <w:rFonts w:asciiTheme="minorHAnsi" w:hAnsiTheme="minorHAnsi" w:eastAsiaTheme="minorEastAsia" w:cstheme="minorBidi"/>
              <w:noProof/>
              <w:kern w:val="2"/>
              <w:sz w:val="24"/>
              <w:szCs w:val="24"/>
              <w14:ligatures w14:val="standardContextual"/>
            </w:rPr>
          </w:pPr>
          <w:hyperlink w:history="1" w:anchor="_Toc227838358">
            <w:r w:rsidRPr="00F8043F">
              <w:rPr>
                <w:rStyle w:val="Hyperlink"/>
                <w:rFonts w:eastAsia="PMingLiU" w:cs="Arial"/>
                <w:caps/>
                <w:noProof/>
                <w:specVanish/>
              </w:rPr>
              <w:t>6.4</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Reporting.</w:t>
            </w:r>
            <w:r>
              <w:rPr>
                <w:noProof/>
                <w:webHidden/>
              </w:rPr>
              <w:tab/>
            </w:r>
            <w:r>
              <w:rPr>
                <w:noProof/>
                <w:webHidden/>
              </w:rPr>
              <w:fldChar w:fldCharType="begin"/>
            </w:r>
            <w:r>
              <w:rPr>
                <w:noProof/>
                <w:webHidden/>
              </w:rPr>
              <w:instrText xml:space="preserve"> PAGEREF _Toc227838358 \h </w:instrText>
            </w:r>
            <w:r>
              <w:rPr>
                <w:noProof/>
                <w:webHidden/>
              </w:rPr>
            </w:r>
            <w:r>
              <w:rPr>
                <w:noProof/>
                <w:webHidden/>
              </w:rPr>
              <w:fldChar w:fldCharType="separate"/>
            </w:r>
            <w:r>
              <w:rPr>
                <w:noProof/>
                <w:webHidden/>
              </w:rPr>
              <w:t>34</w:t>
            </w:r>
            <w:r>
              <w:rPr>
                <w:noProof/>
                <w:webHidden/>
              </w:rPr>
              <w:fldChar w:fldCharType="end"/>
            </w:r>
          </w:hyperlink>
        </w:p>
        <w:p w:rsidR="009F4B0B" w:rsidRDefault="009F4B0B" w14:paraId="0E111DC1" w14:textId="16ACC866">
          <w:pPr>
            <w:pStyle w:val="TOC2"/>
            <w:rPr>
              <w:rFonts w:asciiTheme="minorHAnsi" w:hAnsiTheme="minorHAnsi" w:eastAsiaTheme="minorEastAsia" w:cstheme="minorBidi"/>
              <w:noProof/>
              <w:kern w:val="2"/>
              <w:sz w:val="24"/>
              <w:szCs w:val="24"/>
              <w14:ligatures w14:val="standardContextual"/>
            </w:rPr>
          </w:pPr>
          <w:hyperlink w:history="1" w:anchor="_Toc227838359">
            <w:r w:rsidRPr="00F8043F">
              <w:rPr>
                <w:rStyle w:val="Hyperlink"/>
                <w:rFonts w:eastAsia="PMingLiU" w:cs="Arial"/>
                <w:caps/>
                <w:noProof/>
                <w:specVanish/>
              </w:rPr>
              <w:t>6.5</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Pre-Approval of Non-Cash Eligible Collateral.</w:t>
            </w:r>
            <w:r>
              <w:rPr>
                <w:noProof/>
                <w:webHidden/>
              </w:rPr>
              <w:tab/>
            </w:r>
            <w:r>
              <w:rPr>
                <w:noProof/>
                <w:webHidden/>
              </w:rPr>
              <w:fldChar w:fldCharType="begin"/>
            </w:r>
            <w:r>
              <w:rPr>
                <w:noProof/>
                <w:webHidden/>
              </w:rPr>
              <w:instrText xml:space="preserve"> PAGEREF _Toc227838359 \h </w:instrText>
            </w:r>
            <w:r>
              <w:rPr>
                <w:noProof/>
                <w:webHidden/>
              </w:rPr>
            </w:r>
            <w:r>
              <w:rPr>
                <w:noProof/>
                <w:webHidden/>
              </w:rPr>
              <w:fldChar w:fldCharType="separate"/>
            </w:r>
            <w:r>
              <w:rPr>
                <w:noProof/>
                <w:webHidden/>
              </w:rPr>
              <w:t>34</w:t>
            </w:r>
            <w:r>
              <w:rPr>
                <w:noProof/>
                <w:webHidden/>
              </w:rPr>
              <w:fldChar w:fldCharType="end"/>
            </w:r>
          </w:hyperlink>
        </w:p>
        <w:p w:rsidR="009F4B0B" w:rsidRDefault="009F4B0B" w14:paraId="41AF1CFA" w14:textId="30EAE83E">
          <w:pPr>
            <w:pStyle w:val="TOC2"/>
            <w:rPr>
              <w:rFonts w:asciiTheme="minorHAnsi" w:hAnsiTheme="minorHAnsi" w:eastAsiaTheme="minorEastAsia" w:cstheme="minorBidi"/>
              <w:noProof/>
              <w:kern w:val="2"/>
              <w:sz w:val="24"/>
              <w:szCs w:val="24"/>
              <w14:ligatures w14:val="standardContextual"/>
            </w:rPr>
          </w:pPr>
          <w:hyperlink w:history="1" w:anchor="_Toc227838360">
            <w:r w:rsidRPr="00F8043F">
              <w:rPr>
                <w:rStyle w:val="Hyperlink"/>
                <w:rFonts w:eastAsia="PMingLiU" w:cs="Arial"/>
                <w:caps/>
                <w:noProof/>
                <w:specVanish/>
              </w:rPr>
              <w:t>6.6</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Delivery of Eligible Collateral for Performance Security.</w:t>
            </w:r>
            <w:r>
              <w:rPr>
                <w:noProof/>
                <w:webHidden/>
              </w:rPr>
              <w:tab/>
            </w:r>
            <w:r>
              <w:rPr>
                <w:noProof/>
                <w:webHidden/>
              </w:rPr>
              <w:fldChar w:fldCharType="begin"/>
            </w:r>
            <w:r>
              <w:rPr>
                <w:noProof/>
                <w:webHidden/>
              </w:rPr>
              <w:instrText xml:space="preserve"> PAGEREF _Toc227838360 \h </w:instrText>
            </w:r>
            <w:r>
              <w:rPr>
                <w:noProof/>
                <w:webHidden/>
              </w:rPr>
            </w:r>
            <w:r>
              <w:rPr>
                <w:noProof/>
                <w:webHidden/>
              </w:rPr>
              <w:fldChar w:fldCharType="separate"/>
            </w:r>
            <w:r>
              <w:rPr>
                <w:noProof/>
                <w:webHidden/>
              </w:rPr>
              <w:t>34</w:t>
            </w:r>
            <w:r>
              <w:rPr>
                <w:noProof/>
                <w:webHidden/>
              </w:rPr>
              <w:fldChar w:fldCharType="end"/>
            </w:r>
          </w:hyperlink>
        </w:p>
        <w:p w:rsidR="009F4B0B" w:rsidRDefault="009F4B0B" w14:paraId="75F76E92" w14:textId="28F6C04E">
          <w:pPr>
            <w:pStyle w:val="TOC1"/>
            <w:rPr>
              <w:rFonts w:asciiTheme="minorHAnsi" w:hAnsiTheme="minorHAnsi" w:eastAsiaTheme="minorEastAsia" w:cstheme="minorBidi"/>
              <w:b w:val="0"/>
              <w:caps w:val="0"/>
              <w:noProof/>
              <w:kern w:val="2"/>
              <w:sz w:val="24"/>
              <w:szCs w:val="24"/>
              <w14:ligatures w14:val="standardContextual"/>
            </w:rPr>
          </w:pPr>
          <w:hyperlink w:history="1" w:anchor="_Toc227838361">
            <w:r w:rsidRPr="00F8043F">
              <w:rPr>
                <w:rStyle w:val="Hyperlink"/>
                <w:noProof/>
                <w14:scene3d>
                  <w14:camera w14:prst="orthographicFront"/>
                  <w14:lightRig w14:rig="threePt" w14:dir="t">
                    <w14:rot w14:lat="0" w14:lon="0" w14:rev="0"/>
                  </w14:lightRig>
                </w14:scene3d>
                <w14:props3d w14:extrusionH="0" w14:contourW="0" w14:prstMaterial="warmMatte"/>
              </w:rPr>
              <w:t>Part 7.</w:t>
            </w:r>
            <w:r>
              <w:rPr>
                <w:rFonts w:asciiTheme="minorHAnsi" w:hAnsiTheme="minorHAnsi" w:eastAsiaTheme="minorEastAsia" w:cstheme="minorBidi"/>
                <w:b w:val="0"/>
                <w:caps w:val="0"/>
                <w:noProof/>
                <w:kern w:val="2"/>
                <w:sz w:val="24"/>
                <w:szCs w:val="24"/>
                <w14:ligatures w14:val="standardContextual"/>
              </w:rPr>
              <w:tab/>
            </w:r>
            <w:r w:rsidRPr="00F8043F">
              <w:rPr>
                <w:rStyle w:val="Hyperlink"/>
                <w:noProof/>
              </w:rPr>
              <w:t>Facility Design and Construction; Achieving Commercial Operation</w:t>
            </w:r>
            <w:r>
              <w:rPr>
                <w:noProof/>
                <w:webHidden/>
              </w:rPr>
              <w:tab/>
            </w:r>
            <w:r>
              <w:rPr>
                <w:noProof/>
                <w:webHidden/>
              </w:rPr>
              <w:fldChar w:fldCharType="begin"/>
            </w:r>
            <w:r>
              <w:rPr>
                <w:noProof/>
                <w:webHidden/>
              </w:rPr>
              <w:instrText xml:space="preserve"> PAGEREF _Toc227838361 \h </w:instrText>
            </w:r>
            <w:r>
              <w:rPr>
                <w:noProof/>
                <w:webHidden/>
              </w:rPr>
            </w:r>
            <w:r>
              <w:rPr>
                <w:noProof/>
                <w:webHidden/>
              </w:rPr>
              <w:fldChar w:fldCharType="separate"/>
            </w:r>
            <w:r>
              <w:rPr>
                <w:noProof/>
                <w:webHidden/>
              </w:rPr>
              <w:t>34</w:t>
            </w:r>
            <w:r>
              <w:rPr>
                <w:noProof/>
                <w:webHidden/>
              </w:rPr>
              <w:fldChar w:fldCharType="end"/>
            </w:r>
          </w:hyperlink>
        </w:p>
        <w:p w:rsidR="009F4B0B" w:rsidRDefault="009F4B0B" w14:paraId="3059C962" w14:textId="293C1CF5">
          <w:pPr>
            <w:pStyle w:val="TOC2"/>
            <w:rPr>
              <w:rFonts w:asciiTheme="minorHAnsi" w:hAnsiTheme="minorHAnsi" w:eastAsiaTheme="minorEastAsia" w:cstheme="minorBidi"/>
              <w:noProof/>
              <w:kern w:val="2"/>
              <w:sz w:val="24"/>
              <w:szCs w:val="24"/>
              <w14:ligatures w14:val="standardContextual"/>
            </w:rPr>
          </w:pPr>
          <w:hyperlink w:history="1" w:anchor="_Toc227838362">
            <w:r w:rsidRPr="00F8043F">
              <w:rPr>
                <w:rStyle w:val="Hyperlink"/>
                <w:rFonts w:eastAsia="PMingLiU" w:cs="Arial"/>
                <w:caps/>
                <w:noProof/>
                <w:specVanish/>
              </w:rPr>
              <w:t>7.1</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Design and Construction of the Facility.</w:t>
            </w:r>
            <w:r>
              <w:rPr>
                <w:noProof/>
                <w:webHidden/>
              </w:rPr>
              <w:tab/>
            </w:r>
            <w:r>
              <w:rPr>
                <w:noProof/>
                <w:webHidden/>
              </w:rPr>
              <w:fldChar w:fldCharType="begin"/>
            </w:r>
            <w:r>
              <w:rPr>
                <w:noProof/>
                <w:webHidden/>
              </w:rPr>
              <w:instrText xml:space="preserve"> PAGEREF _Toc227838362 \h </w:instrText>
            </w:r>
            <w:r>
              <w:rPr>
                <w:noProof/>
                <w:webHidden/>
              </w:rPr>
            </w:r>
            <w:r>
              <w:rPr>
                <w:noProof/>
                <w:webHidden/>
              </w:rPr>
              <w:fldChar w:fldCharType="separate"/>
            </w:r>
            <w:r>
              <w:rPr>
                <w:noProof/>
                <w:webHidden/>
              </w:rPr>
              <w:t>34</w:t>
            </w:r>
            <w:r>
              <w:rPr>
                <w:noProof/>
                <w:webHidden/>
              </w:rPr>
              <w:fldChar w:fldCharType="end"/>
            </w:r>
          </w:hyperlink>
        </w:p>
        <w:p w:rsidR="009F4B0B" w:rsidRDefault="009F4B0B" w14:paraId="7F8F6F44" w14:textId="7A6CD328">
          <w:pPr>
            <w:pStyle w:val="TOC2"/>
            <w:rPr>
              <w:rFonts w:asciiTheme="minorHAnsi" w:hAnsiTheme="minorHAnsi" w:eastAsiaTheme="minorEastAsia" w:cstheme="minorBidi"/>
              <w:noProof/>
              <w:kern w:val="2"/>
              <w:sz w:val="24"/>
              <w:szCs w:val="24"/>
              <w14:ligatures w14:val="standardContextual"/>
            </w:rPr>
          </w:pPr>
          <w:hyperlink w:history="1" w:anchor="_Toc227838363">
            <w:r w:rsidRPr="00F8043F">
              <w:rPr>
                <w:rStyle w:val="Hyperlink"/>
                <w:rFonts w:eastAsia="PMingLiU" w:cs="Arial"/>
                <w:caps/>
                <w:noProof/>
                <w:specVanish/>
              </w:rPr>
              <w:t>7.2</w:t>
            </w:r>
            <w:r>
              <w:rPr>
                <w:rFonts w:asciiTheme="minorHAnsi" w:hAnsiTheme="minorHAnsi" w:eastAsiaTheme="minorEastAsia" w:cstheme="minorBidi"/>
                <w:noProof/>
                <w:kern w:val="2"/>
                <w:sz w:val="24"/>
                <w:szCs w:val="24"/>
                <w14:ligatures w14:val="standardContextual"/>
              </w:rPr>
              <w:tab/>
            </w:r>
            <w:r w:rsidRPr="00F8043F">
              <w:rPr>
                <w:rStyle w:val="Hyperlink"/>
                <w:rFonts w:cs="Arial"/>
                <w:bCs/>
                <w:noProof/>
              </w:rPr>
              <w:t>Key Milestones and Milestone Schedule.</w:t>
            </w:r>
            <w:r>
              <w:rPr>
                <w:noProof/>
                <w:webHidden/>
              </w:rPr>
              <w:tab/>
            </w:r>
            <w:r>
              <w:rPr>
                <w:noProof/>
                <w:webHidden/>
              </w:rPr>
              <w:fldChar w:fldCharType="begin"/>
            </w:r>
            <w:r>
              <w:rPr>
                <w:noProof/>
                <w:webHidden/>
              </w:rPr>
              <w:instrText xml:space="preserve"> PAGEREF _Toc227838363 \h </w:instrText>
            </w:r>
            <w:r>
              <w:rPr>
                <w:noProof/>
                <w:webHidden/>
              </w:rPr>
            </w:r>
            <w:r>
              <w:rPr>
                <w:noProof/>
                <w:webHidden/>
              </w:rPr>
              <w:fldChar w:fldCharType="separate"/>
            </w:r>
            <w:r>
              <w:rPr>
                <w:noProof/>
                <w:webHidden/>
              </w:rPr>
              <w:t>36</w:t>
            </w:r>
            <w:r>
              <w:rPr>
                <w:noProof/>
                <w:webHidden/>
              </w:rPr>
              <w:fldChar w:fldCharType="end"/>
            </w:r>
          </w:hyperlink>
        </w:p>
        <w:p w:rsidR="009F4B0B" w:rsidRDefault="009F4B0B" w14:paraId="3CAC8C86" w14:textId="279CFEBB">
          <w:pPr>
            <w:pStyle w:val="TOC2"/>
            <w:rPr>
              <w:rFonts w:asciiTheme="minorHAnsi" w:hAnsiTheme="minorHAnsi" w:eastAsiaTheme="minorEastAsia" w:cstheme="minorBidi"/>
              <w:noProof/>
              <w:kern w:val="2"/>
              <w:sz w:val="24"/>
              <w:szCs w:val="24"/>
              <w14:ligatures w14:val="standardContextual"/>
            </w:rPr>
          </w:pPr>
          <w:hyperlink w:history="1" w:anchor="_Toc227838364">
            <w:r w:rsidRPr="00F8043F">
              <w:rPr>
                <w:rStyle w:val="Hyperlink"/>
                <w:rFonts w:eastAsia="PMingLiU" w:cs="Arial"/>
                <w:caps/>
                <w:noProof/>
                <w:specVanish/>
              </w:rPr>
              <w:t>7.3</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Permitting.</w:t>
            </w:r>
            <w:r>
              <w:rPr>
                <w:noProof/>
                <w:webHidden/>
              </w:rPr>
              <w:tab/>
            </w:r>
            <w:r>
              <w:rPr>
                <w:noProof/>
                <w:webHidden/>
              </w:rPr>
              <w:fldChar w:fldCharType="begin"/>
            </w:r>
            <w:r>
              <w:rPr>
                <w:noProof/>
                <w:webHidden/>
              </w:rPr>
              <w:instrText xml:space="preserve"> PAGEREF _Toc227838364 \h </w:instrText>
            </w:r>
            <w:r>
              <w:rPr>
                <w:noProof/>
                <w:webHidden/>
              </w:rPr>
            </w:r>
            <w:r>
              <w:rPr>
                <w:noProof/>
                <w:webHidden/>
              </w:rPr>
              <w:fldChar w:fldCharType="separate"/>
            </w:r>
            <w:r>
              <w:rPr>
                <w:noProof/>
                <w:webHidden/>
              </w:rPr>
              <w:t>37</w:t>
            </w:r>
            <w:r>
              <w:rPr>
                <w:noProof/>
                <w:webHidden/>
              </w:rPr>
              <w:fldChar w:fldCharType="end"/>
            </w:r>
          </w:hyperlink>
        </w:p>
        <w:p w:rsidR="009F4B0B" w:rsidRDefault="009F4B0B" w14:paraId="4297BE3B" w14:textId="0C62E010">
          <w:pPr>
            <w:pStyle w:val="TOC2"/>
            <w:rPr>
              <w:rFonts w:asciiTheme="minorHAnsi" w:hAnsiTheme="minorHAnsi" w:eastAsiaTheme="minorEastAsia" w:cstheme="minorBidi"/>
              <w:noProof/>
              <w:kern w:val="2"/>
              <w:sz w:val="24"/>
              <w:szCs w:val="24"/>
              <w14:ligatures w14:val="standardContextual"/>
            </w:rPr>
          </w:pPr>
          <w:hyperlink w:history="1" w:anchor="_Toc227838365">
            <w:r w:rsidRPr="00F8043F">
              <w:rPr>
                <w:rStyle w:val="Hyperlink"/>
                <w:rFonts w:eastAsia="PMingLiU" w:cs="Arial"/>
                <w:caps/>
                <w:noProof/>
              </w:rPr>
              <w:t>7.4</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Failure to Achieve Commercial Operation by RCOD.</w:t>
            </w:r>
            <w:r>
              <w:rPr>
                <w:noProof/>
                <w:webHidden/>
              </w:rPr>
              <w:tab/>
            </w:r>
            <w:r>
              <w:rPr>
                <w:noProof/>
                <w:webHidden/>
              </w:rPr>
              <w:fldChar w:fldCharType="begin"/>
            </w:r>
            <w:r>
              <w:rPr>
                <w:noProof/>
                <w:webHidden/>
              </w:rPr>
              <w:instrText xml:space="preserve"> PAGEREF _Toc227838365 \h </w:instrText>
            </w:r>
            <w:r>
              <w:rPr>
                <w:noProof/>
                <w:webHidden/>
              </w:rPr>
            </w:r>
            <w:r>
              <w:rPr>
                <w:noProof/>
                <w:webHidden/>
              </w:rPr>
              <w:fldChar w:fldCharType="separate"/>
            </w:r>
            <w:r>
              <w:rPr>
                <w:noProof/>
                <w:webHidden/>
              </w:rPr>
              <w:t>37</w:t>
            </w:r>
            <w:r>
              <w:rPr>
                <w:noProof/>
                <w:webHidden/>
              </w:rPr>
              <w:fldChar w:fldCharType="end"/>
            </w:r>
          </w:hyperlink>
        </w:p>
        <w:p w:rsidR="009F4B0B" w:rsidRDefault="009F4B0B" w14:paraId="5269B732" w14:textId="091D5D19">
          <w:pPr>
            <w:pStyle w:val="TOC1"/>
            <w:rPr>
              <w:rFonts w:asciiTheme="minorHAnsi" w:hAnsiTheme="minorHAnsi" w:eastAsiaTheme="minorEastAsia" w:cstheme="minorBidi"/>
              <w:b w:val="0"/>
              <w:caps w:val="0"/>
              <w:noProof/>
              <w:kern w:val="2"/>
              <w:sz w:val="24"/>
              <w:szCs w:val="24"/>
              <w14:ligatures w14:val="standardContextual"/>
            </w:rPr>
          </w:pPr>
          <w:hyperlink w:history="1" w:anchor="_Toc227838366">
            <w:r w:rsidRPr="00F8043F">
              <w:rPr>
                <w:rStyle w:val="Hyperlink"/>
                <w:noProof/>
                <w14:scene3d>
                  <w14:camera w14:prst="orthographicFront"/>
                  <w14:lightRig w14:rig="threePt" w14:dir="t">
                    <w14:rot w14:lat="0" w14:lon="0" w14:rev="0"/>
                  </w14:lightRig>
                </w14:scene3d>
                <w14:props3d w14:extrusionH="0" w14:contourW="0" w14:prstMaterial="warmMatte"/>
              </w:rPr>
              <w:t>Part 8.</w:t>
            </w:r>
            <w:r>
              <w:rPr>
                <w:rFonts w:asciiTheme="minorHAnsi" w:hAnsiTheme="minorHAnsi" w:eastAsiaTheme="minorEastAsia" w:cstheme="minorBidi"/>
                <w:b w:val="0"/>
                <w:caps w:val="0"/>
                <w:noProof/>
                <w:kern w:val="2"/>
                <w:sz w:val="24"/>
                <w:szCs w:val="24"/>
                <w14:ligatures w14:val="standardContextual"/>
              </w:rPr>
              <w:tab/>
            </w:r>
            <w:r w:rsidRPr="00F8043F">
              <w:rPr>
                <w:rStyle w:val="Hyperlink"/>
                <w:noProof/>
              </w:rPr>
              <w:t>Interconnection and Metering</w:t>
            </w:r>
            <w:r>
              <w:rPr>
                <w:noProof/>
                <w:webHidden/>
              </w:rPr>
              <w:tab/>
            </w:r>
            <w:r>
              <w:rPr>
                <w:noProof/>
                <w:webHidden/>
              </w:rPr>
              <w:fldChar w:fldCharType="begin"/>
            </w:r>
            <w:r>
              <w:rPr>
                <w:noProof/>
                <w:webHidden/>
              </w:rPr>
              <w:instrText xml:space="preserve"> PAGEREF _Toc227838366 \h </w:instrText>
            </w:r>
            <w:r>
              <w:rPr>
                <w:noProof/>
                <w:webHidden/>
              </w:rPr>
            </w:r>
            <w:r>
              <w:rPr>
                <w:noProof/>
                <w:webHidden/>
              </w:rPr>
              <w:fldChar w:fldCharType="separate"/>
            </w:r>
            <w:r>
              <w:rPr>
                <w:noProof/>
                <w:webHidden/>
              </w:rPr>
              <w:t>38</w:t>
            </w:r>
            <w:r>
              <w:rPr>
                <w:noProof/>
                <w:webHidden/>
              </w:rPr>
              <w:fldChar w:fldCharType="end"/>
            </w:r>
          </w:hyperlink>
        </w:p>
        <w:p w:rsidR="009F4B0B" w:rsidRDefault="009F4B0B" w14:paraId="3CA5EA3B" w14:textId="19E40CF1">
          <w:pPr>
            <w:pStyle w:val="TOC2"/>
            <w:rPr>
              <w:rFonts w:asciiTheme="minorHAnsi" w:hAnsiTheme="minorHAnsi" w:eastAsiaTheme="minorEastAsia" w:cstheme="minorBidi"/>
              <w:noProof/>
              <w:kern w:val="2"/>
              <w:sz w:val="24"/>
              <w:szCs w:val="24"/>
              <w14:ligatures w14:val="standardContextual"/>
            </w:rPr>
          </w:pPr>
          <w:hyperlink w:history="1" w:anchor="_Toc227838367">
            <w:r w:rsidRPr="00F8043F">
              <w:rPr>
                <w:rStyle w:val="Hyperlink"/>
                <w:rFonts w:eastAsia="PMingLiU" w:cs="Arial"/>
                <w:caps/>
                <w:noProof/>
                <w:specVanish/>
              </w:rPr>
              <w:t>8.1</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Interconnection.</w:t>
            </w:r>
            <w:r>
              <w:rPr>
                <w:noProof/>
                <w:webHidden/>
              </w:rPr>
              <w:tab/>
            </w:r>
            <w:r>
              <w:rPr>
                <w:noProof/>
                <w:webHidden/>
              </w:rPr>
              <w:fldChar w:fldCharType="begin"/>
            </w:r>
            <w:r>
              <w:rPr>
                <w:noProof/>
                <w:webHidden/>
              </w:rPr>
              <w:instrText xml:space="preserve"> PAGEREF _Toc227838367 \h </w:instrText>
            </w:r>
            <w:r>
              <w:rPr>
                <w:noProof/>
                <w:webHidden/>
              </w:rPr>
            </w:r>
            <w:r>
              <w:rPr>
                <w:noProof/>
                <w:webHidden/>
              </w:rPr>
              <w:fldChar w:fldCharType="separate"/>
            </w:r>
            <w:r>
              <w:rPr>
                <w:noProof/>
                <w:webHidden/>
              </w:rPr>
              <w:t>38</w:t>
            </w:r>
            <w:r>
              <w:rPr>
                <w:noProof/>
                <w:webHidden/>
              </w:rPr>
              <w:fldChar w:fldCharType="end"/>
            </w:r>
          </w:hyperlink>
        </w:p>
        <w:p w:rsidR="009F4B0B" w:rsidRDefault="009F4B0B" w14:paraId="4417B6F2" w14:textId="63203007">
          <w:pPr>
            <w:pStyle w:val="TOC2"/>
            <w:rPr>
              <w:rFonts w:asciiTheme="minorHAnsi" w:hAnsiTheme="minorHAnsi" w:eastAsiaTheme="minorEastAsia" w:cstheme="minorBidi"/>
              <w:noProof/>
              <w:kern w:val="2"/>
              <w:sz w:val="24"/>
              <w:szCs w:val="24"/>
              <w14:ligatures w14:val="standardContextual"/>
            </w:rPr>
          </w:pPr>
          <w:hyperlink w:history="1" w:anchor="_Toc227838368">
            <w:r w:rsidRPr="00F8043F">
              <w:rPr>
                <w:rStyle w:val="Hyperlink"/>
                <w:rFonts w:eastAsia="PMingLiU" w:cs="Arial"/>
                <w:caps/>
                <w:noProof/>
                <w:specVanish/>
              </w:rPr>
              <w:t>8.2</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Metering and Telemetry.</w:t>
            </w:r>
            <w:r>
              <w:rPr>
                <w:noProof/>
                <w:webHidden/>
              </w:rPr>
              <w:tab/>
            </w:r>
            <w:r>
              <w:rPr>
                <w:noProof/>
                <w:webHidden/>
              </w:rPr>
              <w:fldChar w:fldCharType="begin"/>
            </w:r>
            <w:r>
              <w:rPr>
                <w:noProof/>
                <w:webHidden/>
              </w:rPr>
              <w:instrText xml:space="preserve"> PAGEREF _Toc227838368 \h </w:instrText>
            </w:r>
            <w:r>
              <w:rPr>
                <w:noProof/>
                <w:webHidden/>
              </w:rPr>
            </w:r>
            <w:r>
              <w:rPr>
                <w:noProof/>
                <w:webHidden/>
              </w:rPr>
              <w:fldChar w:fldCharType="separate"/>
            </w:r>
            <w:r>
              <w:rPr>
                <w:noProof/>
                <w:webHidden/>
              </w:rPr>
              <w:t>39</w:t>
            </w:r>
            <w:r>
              <w:rPr>
                <w:noProof/>
                <w:webHidden/>
              </w:rPr>
              <w:fldChar w:fldCharType="end"/>
            </w:r>
          </w:hyperlink>
        </w:p>
        <w:p w:rsidR="009F4B0B" w:rsidRDefault="009F4B0B" w14:paraId="5CD22FC3" w14:textId="6988822C">
          <w:pPr>
            <w:pStyle w:val="TOC1"/>
            <w:rPr>
              <w:rFonts w:asciiTheme="minorHAnsi" w:hAnsiTheme="minorHAnsi" w:eastAsiaTheme="minorEastAsia" w:cstheme="minorBidi"/>
              <w:b w:val="0"/>
              <w:caps w:val="0"/>
              <w:noProof/>
              <w:kern w:val="2"/>
              <w:sz w:val="24"/>
              <w:szCs w:val="24"/>
              <w14:ligatures w14:val="standardContextual"/>
            </w:rPr>
          </w:pPr>
          <w:hyperlink w:history="1" w:anchor="_Toc227838369">
            <w:r w:rsidRPr="00F8043F">
              <w:rPr>
                <w:rStyle w:val="Hyperlink"/>
                <w:noProof/>
                <w14:scene3d>
                  <w14:camera w14:prst="orthographicFront"/>
                  <w14:lightRig w14:rig="threePt" w14:dir="t">
                    <w14:rot w14:lat="0" w14:lon="0" w14:rev="0"/>
                  </w14:lightRig>
                </w14:scene3d>
                <w14:props3d w14:extrusionH="0" w14:contourW="0" w14:prstMaterial="warmMatte"/>
              </w:rPr>
              <w:t>Part 9.</w:t>
            </w:r>
            <w:r>
              <w:rPr>
                <w:rFonts w:asciiTheme="minorHAnsi" w:hAnsiTheme="minorHAnsi" w:eastAsiaTheme="minorEastAsia" w:cstheme="minorBidi"/>
                <w:b w:val="0"/>
                <w:caps w:val="0"/>
                <w:noProof/>
                <w:kern w:val="2"/>
                <w:sz w:val="24"/>
                <w:szCs w:val="24"/>
                <w14:ligatures w14:val="standardContextual"/>
              </w:rPr>
              <w:tab/>
            </w:r>
            <w:r w:rsidRPr="00F8043F">
              <w:rPr>
                <w:rStyle w:val="Hyperlink"/>
                <w:noProof/>
              </w:rPr>
              <w:t>DECLARED Capacity and Performance Tests</w:t>
            </w:r>
            <w:r>
              <w:rPr>
                <w:noProof/>
                <w:webHidden/>
              </w:rPr>
              <w:tab/>
            </w:r>
            <w:r>
              <w:rPr>
                <w:noProof/>
                <w:webHidden/>
              </w:rPr>
              <w:fldChar w:fldCharType="begin"/>
            </w:r>
            <w:r>
              <w:rPr>
                <w:noProof/>
                <w:webHidden/>
              </w:rPr>
              <w:instrText xml:space="preserve"> PAGEREF _Toc227838369 \h </w:instrText>
            </w:r>
            <w:r>
              <w:rPr>
                <w:noProof/>
                <w:webHidden/>
              </w:rPr>
            </w:r>
            <w:r>
              <w:rPr>
                <w:noProof/>
                <w:webHidden/>
              </w:rPr>
              <w:fldChar w:fldCharType="separate"/>
            </w:r>
            <w:r>
              <w:rPr>
                <w:noProof/>
                <w:webHidden/>
              </w:rPr>
              <w:t>40</w:t>
            </w:r>
            <w:r>
              <w:rPr>
                <w:noProof/>
                <w:webHidden/>
              </w:rPr>
              <w:fldChar w:fldCharType="end"/>
            </w:r>
          </w:hyperlink>
        </w:p>
        <w:p w:rsidR="009F4B0B" w:rsidRDefault="009F4B0B" w14:paraId="067F417B" w14:textId="7ADEF922">
          <w:pPr>
            <w:pStyle w:val="TOC2"/>
            <w:rPr>
              <w:rFonts w:asciiTheme="minorHAnsi" w:hAnsiTheme="minorHAnsi" w:eastAsiaTheme="minorEastAsia" w:cstheme="minorBidi"/>
              <w:noProof/>
              <w:kern w:val="2"/>
              <w:sz w:val="24"/>
              <w:szCs w:val="24"/>
              <w14:ligatures w14:val="standardContextual"/>
            </w:rPr>
          </w:pPr>
          <w:hyperlink w:history="1" w:anchor="_Toc227838370">
            <w:r w:rsidRPr="00F8043F">
              <w:rPr>
                <w:rStyle w:val="Hyperlink"/>
                <w:rFonts w:eastAsia="PMingLiU" w:cs="Arial"/>
                <w:caps/>
                <w:noProof/>
                <w:specVanish/>
              </w:rPr>
              <w:t>9.1</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Tested Reliable Capacity and Declared Capacity.</w:t>
            </w:r>
            <w:r>
              <w:rPr>
                <w:noProof/>
                <w:webHidden/>
              </w:rPr>
              <w:tab/>
            </w:r>
            <w:r>
              <w:rPr>
                <w:noProof/>
                <w:webHidden/>
              </w:rPr>
              <w:fldChar w:fldCharType="begin"/>
            </w:r>
            <w:r>
              <w:rPr>
                <w:noProof/>
                <w:webHidden/>
              </w:rPr>
              <w:instrText xml:space="preserve"> PAGEREF _Toc227838370 \h </w:instrText>
            </w:r>
            <w:r>
              <w:rPr>
                <w:noProof/>
                <w:webHidden/>
              </w:rPr>
            </w:r>
            <w:r>
              <w:rPr>
                <w:noProof/>
                <w:webHidden/>
              </w:rPr>
              <w:fldChar w:fldCharType="separate"/>
            </w:r>
            <w:r>
              <w:rPr>
                <w:noProof/>
                <w:webHidden/>
              </w:rPr>
              <w:t>40</w:t>
            </w:r>
            <w:r>
              <w:rPr>
                <w:noProof/>
                <w:webHidden/>
              </w:rPr>
              <w:fldChar w:fldCharType="end"/>
            </w:r>
          </w:hyperlink>
        </w:p>
        <w:p w:rsidR="009F4B0B" w:rsidRDefault="009F4B0B" w14:paraId="5AFFC5E7" w14:textId="7E0BB3AD">
          <w:pPr>
            <w:pStyle w:val="TOC2"/>
            <w:rPr>
              <w:rFonts w:asciiTheme="minorHAnsi" w:hAnsiTheme="minorHAnsi" w:eastAsiaTheme="minorEastAsia" w:cstheme="minorBidi"/>
              <w:noProof/>
              <w:kern w:val="2"/>
              <w:sz w:val="24"/>
              <w:szCs w:val="24"/>
              <w14:ligatures w14:val="standardContextual"/>
            </w:rPr>
          </w:pPr>
          <w:hyperlink w:history="1" w:anchor="_Toc227838371">
            <w:r w:rsidRPr="00F8043F">
              <w:rPr>
                <w:rStyle w:val="Hyperlink"/>
                <w:rFonts w:eastAsia="PMingLiU" w:cs="Arial"/>
                <w:caps/>
                <w:noProof/>
                <w:specVanish/>
              </w:rPr>
              <w:t>9.2</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Disputes Concerning Capacity Tests.</w:t>
            </w:r>
            <w:r>
              <w:rPr>
                <w:noProof/>
                <w:webHidden/>
              </w:rPr>
              <w:tab/>
            </w:r>
            <w:r>
              <w:rPr>
                <w:noProof/>
                <w:webHidden/>
              </w:rPr>
              <w:fldChar w:fldCharType="begin"/>
            </w:r>
            <w:r>
              <w:rPr>
                <w:noProof/>
                <w:webHidden/>
              </w:rPr>
              <w:instrText xml:space="preserve"> PAGEREF _Toc227838371 \h </w:instrText>
            </w:r>
            <w:r>
              <w:rPr>
                <w:noProof/>
                <w:webHidden/>
              </w:rPr>
            </w:r>
            <w:r>
              <w:rPr>
                <w:noProof/>
                <w:webHidden/>
              </w:rPr>
              <w:fldChar w:fldCharType="separate"/>
            </w:r>
            <w:r>
              <w:rPr>
                <w:noProof/>
                <w:webHidden/>
              </w:rPr>
              <w:t>40</w:t>
            </w:r>
            <w:r>
              <w:rPr>
                <w:noProof/>
                <w:webHidden/>
              </w:rPr>
              <w:fldChar w:fldCharType="end"/>
            </w:r>
          </w:hyperlink>
        </w:p>
        <w:p w:rsidR="009F4B0B" w:rsidRDefault="009F4B0B" w14:paraId="21580DEE" w14:textId="67B17D4A">
          <w:pPr>
            <w:pStyle w:val="TOC1"/>
            <w:rPr>
              <w:rFonts w:asciiTheme="minorHAnsi" w:hAnsiTheme="minorHAnsi" w:eastAsiaTheme="minorEastAsia" w:cstheme="minorBidi"/>
              <w:b w:val="0"/>
              <w:caps w:val="0"/>
              <w:noProof/>
              <w:kern w:val="2"/>
              <w:sz w:val="24"/>
              <w:szCs w:val="24"/>
              <w14:ligatures w14:val="standardContextual"/>
            </w:rPr>
          </w:pPr>
          <w:hyperlink w:history="1" w:anchor="_Toc227838372">
            <w:r w:rsidRPr="00F8043F">
              <w:rPr>
                <w:rStyle w:val="Hyperlink"/>
                <w:noProof/>
                <w14:scene3d>
                  <w14:camera w14:prst="orthographicFront"/>
                  <w14:lightRig w14:rig="threePt" w14:dir="t">
                    <w14:rot w14:lat="0" w14:lon="0" w14:rev="0"/>
                  </w14:lightRig>
                </w14:scene3d>
                <w14:props3d w14:extrusionH="0" w14:contourW="0" w14:prstMaterial="warmMatte"/>
              </w:rPr>
              <w:t>Part 10.</w:t>
            </w:r>
            <w:r>
              <w:rPr>
                <w:rFonts w:asciiTheme="minorHAnsi" w:hAnsiTheme="minorHAnsi" w:eastAsiaTheme="minorEastAsia" w:cstheme="minorBidi"/>
                <w:b w:val="0"/>
                <w:caps w:val="0"/>
                <w:noProof/>
                <w:kern w:val="2"/>
                <w:sz w:val="24"/>
                <w:szCs w:val="24"/>
                <w14:ligatures w14:val="standardContextual"/>
              </w:rPr>
              <w:tab/>
            </w:r>
            <w:r w:rsidRPr="00F8043F">
              <w:rPr>
                <w:rStyle w:val="Hyperlink"/>
                <w:noProof/>
              </w:rPr>
              <w:t>Operation and Maintenance</w:t>
            </w:r>
            <w:r>
              <w:rPr>
                <w:noProof/>
                <w:webHidden/>
              </w:rPr>
              <w:tab/>
            </w:r>
            <w:r>
              <w:rPr>
                <w:noProof/>
                <w:webHidden/>
              </w:rPr>
              <w:fldChar w:fldCharType="begin"/>
            </w:r>
            <w:r>
              <w:rPr>
                <w:noProof/>
                <w:webHidden/>
              </w:rPr>
              <w:instrText xml:space="preserve"> PAGEREF _Toc227838372 \h </w:instrText>
            </w:r>
            <w:r>
              <w:rPr>
                <w:noProof/>
                <w:webHidden/>
              </w:rPr>
            </w:r>
            <w:r>
              <w:rPr>
                <w:noProof/>
                <w:webHidden/>
              </w:rPr>
              <w:fldChar w:fldCharType="separate"/>
            </w:r>
            <w:r>
              <w:rPr>
                <w:noProof/>
                <w:webHidden/>
              </w:rPr>
              <w:t>40</w:t>
            </w:r>
            <w:r>
              <w:rPr>
                <w:noProof/>
                <w:webHidden/>
              </w:rPr>
              <w:fldChar w:fldCharType="end"/>
            </w:r>
          </w:hyperlink>
        </w:p>
        <w:p w:rsidR="009F4B0B" w:rsidRDefault="009F4B0B" w14:paraId="4A1B233A" w14:textId="3CE73D47">
          <w:pPr>
            <w:pStyle w:val="TOC2"/>
            <w:rPr>
              <w:rFonts w:asciiTheme="minorHAnsi" w:hAnsiTheme="minorHAnsi" w:eastAsiaTheme="minorEastAsia" w:cstheme="minorBidi"/>
              <w:noProof/>
              <w:kern w:val="2"/>
              <w:sz w:val="24"/>
              <w:szCs w:val="24"/>
              <w14:ligatures w14:val="standardContextual"/>
            </w:rPr>
          </w:pPr>
          <w:hyperlink w:history="1" w:anchor="_Toc227838373">
            <w:r w:rsidRPr="00F8043F">
              <w:rPr>
                <w:rStyle w:val="Hyperlink"/>
                <w:rFonts w:eastAsia="PMingLiU" w:cs="Arial"/>
                <w:caps/>
                <w:noProof/>
                <w:specVanish/>
              </w:rPr>
              <w:t>10.1</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Operation and Maintenance.</w:t>
            </w:r>
            <w:r>
              <w:rPr>
                <w:noProof/>
                <w:webHidden/>
              </w:rPr>
              <w:tab/>
            </w:r>
            <w:r>
              <w:rPr>
                <w:noProof/>
                <w:webHidden/>
              </w:rPr>
              <w:fldChar w:fldCharType="begin"/>
            </w:r>
            <w:r>
              <w:rPr>
                <w:noProof/>
                <w:webHidden/>
              </w:rPr>
              <w:instrText xml:space="preserve"> PAGEREF _Toc227838373 \h </w:instrText>
            </w:r>
            <w:r>
              <w:rPr>
                <w:noProof/>
                <w:webHidden/>
              </w:rPr>
            </w:r>
            <w:r>
              <w:rPr>
                <w:noProof/>
                <w:webHidden/>
              </w:rPr>
              <w:fldChar w:fldCharType="separate"/>
            </w:r>
            <w:r>
              <w:rPr>
                <w:noProof/>
                <w:webHidden/>
              </w:rPr>
              <w:t>40</w:t>
            </w:r>
            <w:r>
              <w:rPr>
                <w:noProof/>
                <w:webHidden/>
              </w:rPr>
              <w:fldChar w:fldCharType="end"/>
            </w:r>
          </w:hyperlink>
        </w:p>
        <w:p w:rsidR="009F4B0B" w:rsidRDefault="009F4B0B" w14:paraId="0E2331A7" w14:textId="79E7DCA3">
          <w:pPr>
            <w:pStyle w:val="TOC2"/>
            <w:rPr>
              <w:rFonts w:asciiTheme="minorHAnsi" w:hAnsiTheme="minorHAnsi" w:eastAsiaTheme="minorEastAsia" w:cstheme="minorBidi"/>
              <w:noProof/>
              <w:kern w:val="2"/>
              <w:sz w:val="24"/>
              <w:szCs w:val="24"/>
              <w14:ligatures w14:val="standardContextual"/>
            </w:rPr>
          </w:pPr>
          <w:hyperlink w:history="1" w:anchor="_Toc227838374">
            <w:r w:rsidRPr="00F8043F">
              <w:rPr>
                <w:rStyle w:val="Hyperlink"/>
                <w:rFonts w:eastAsia="PMingLiU" w:cs="Arial"/>
                <w:caps/>
                <w:noProof/>
                <w:specVanish/>
              </w:rPr>
              <w:t>10.2</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Maintenance Scheduling.</w:t>
            </w:r>
            <w:r>
              <w:rPr>
                <w:noProof/>
                <w:webHidden/>
              </w:rPr>
              <w:tab/>
            </w:r>
            <w:r>
              <w:rPr>
                <w:noProof/>
                <w:webHidden/>
              </w:rPr>
              <w:fldChar w:fldCharType="begin"/>
            </w:r>
            <w:r>
              <w:rPr>
                <w:noProof/>
                <w:webHidden/>
              </w:rPr>
              <w:instrText xml:space="preserve"> PAGEREF _Toc227838374 \h </w:instrText>
            </w:r>
            <w:r>
              <w:rPr>
                <w:noProof/>
                <w:webHidden/>
              </w:rPr>
            </w:r>
            <w:r>
              <w:rPr>
                <w:noProof/>
                <w:webHidden/>
              </w:rPr>
              <w:fldChar w:fldCharType="separate"/>
            </w:r>
            <w:r>
              <w:rPr>
                <w:noProof/>
                <w:webHidden/>
              </w:rPr>
              <w:t>41</w:t>
            </w:r>
            <w:r>
              <w:rPr>
                <w:noProof/>
                <w:webHidden/>
              </w:rPr>
              <w:fldChar w:fldCharType="end"/>
            </w:r>
          </w:hyperlink>
        </w:p>
        <w:p w:rsidR="009F4B0B" w:rsidRDefault="009F4B0B" w14:paraId="77349561" w14:textId="0AA97A3F">
          <w:pPr>
            <w:pStyle w:val="TOC2"/>
            <w:rPr>
              <w:rFonts w:asciiTheme="minorHAnsi" w:hAnsiTheme="minorHAnsi" w:eastAsiaTheme="minorEastAsia" w:cstheme="minorBidi"/>
              <w:noProof/>
              <w:kern w:val="2"/>
              <w:sz w:val="24"/>
              <w:szCs w:val="24"/>
              <w14:ligatures w14:val="standardContextual"/>
            </w:rPr>
          </w:pPr>
          <w:hyperlink w:history="1" w:anchor="_Toc227838375">
            <w:r w:rsidRPr="00F8043F">
              <w:rPr>
                <w:rStyle w:val="Hyperlink"/>
                <w:rFonts w:eastAsia="PMingLiU" w:cs="Arial"/>
                <w:caps/>
                <w:noProof/>
                <w:specVanish/>
              </w:rPr>
              <w:t>10.3</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Permits.</w:t>
            </w:r>
            <w:r>
              <w:rPr>
                <w:noProof/>
                <w:webHidden/>
              </w:rPr>
              <w:tab/>
            </w:r>
            <w:r>
              <w:rPr>
                <w:noProof/>
                <w:webHidden/>
              </w:rPr>
              <w:fldChar w:fldCharType="begin"/>
            </w:r>
            <w:r>
              <w:rPr>
                <w:noProof/>
                <w:webHidden/>
              </w:rPr>
              <w:instrText xml:space="preserve"> PAGEREF _Toc227838375 \h </w:instrText>
            </w:r>
            <w:r>
              <w:rPr>
                <w:noProof/>
                <w:webHidden/>
              </w:rPr>
            </w:r>
            <w:r>
              <w:rPr>
                <w:noProof/>
                <w:webHidden/>
              </w:rPr>
              <w:fldChar w:fldCharType="separate"/>
            </w:r>
            <w:r>
              <w:rPr>
                <w:noProof/>
                <w:webHidden/>
              </w:rPr>
              <w:t>42</w:t>
            </w:r>
            <w:r>
              <w:rPr>
                <w:noProof/>
                <w:webHidden/>
              </w:rPr>
              <w:fldChar w:fldCharType="end"/>
            </w:r>
          </w:hyperlink>
        </w:p>
        <w:p w:rsidR="009F4B0B" w:rsidRDefault="009F4B0B" w14:paraId="37538F8B" w14:textId="3DDD53C3">
          <w:pPr>
            <w:pStyle w:val="TOC2"/>
            <w:rPr>
              <w:rFonts w:asciiTheme="minorHAnsi" w:hAnsiTheme="minorHAnsi" w:eastAsiaTheme="minorEastAsia" w:cstheme="minorBidi"/>
              <w:noProof/>
              <w:kern w:val="2"/>
              <w:sz w:val="24"/>
              <w:szCs w:val="24"/>
              <w14:ligatures w14:val="standardContextual"/>
            </w:rPr>
          </w:pPr>
          <w:hyperlink w:history="1" w:anchor="_Toc227838376">
            <w:r w:rsidRPr="00F8043F">
              <w:rPr>
                <w:rStyle w:val="Hyperlink"/>
                <w:rFonts w:eastAsia="PMingLiU" w:cs="Arial"/>
                <w:caps/>
                <w:noProof/>
                <w:specVanish/>
              </w:rPr>
              <w:t>10.4</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Access to the Site and the Facility.</w:t>
            </w:r>
            <w:r>
              <w:rPr>
                <w:noProof/>
                <w:webHidden/>
              </w:rPr>
              <w:tab/>
            </w:r>
            <w:r>
              <w:rPr>
                <w:noProof/>
                <w:webHidden/>
              </w:rPr>
              <w:fldChar w:fldCharType="begin"/>
            </w:r>
            <w:r>
              <w:rPr>
                <w:noProof/>
                <w:webHidden/>
              </w:rPr>
              <w:instrText xml:space="preserve"> PAGEREF _Toc227838376 \h </w:instrText>
            </w:r>
            <w:r>
              <w:rPr>
                <w:noProof/>
                <w:webHidden/>
              </w:rPr>
            </w:r>
            <w:r>
              <w:rPr>
                <w:noProof/>
                <w:webHidden/>
              </w:rPr>
              <w:fldChar w:fldCharType="separate"/>
            </w:r>
            <w:r>
              <w:rPr>
                <w:noProof/>
                <w:webHidden/>
              </w:rPr>
              <w:t>42</w:t>
            </w:r>
            <w:r>
              <w:rPr>
                <w:noProof/>
                <w:webHidden/>
              </w:rPr>
              <w:fldChar w:fldCharType="end"/>
            </w:r>
          </w:hyperlink>
        </w:p>
        <w:p w:rsidR="009F4B0B" w:rsidRDefault="009F4B0B" w14:paraId="1BB69127" w14:textId="1D510396">
          <w:pPr>
            <w:pStyle w:val="TOC2"/>
            <w:rPr>
              <w:rFonts w:asciiTheme="minorHAnsi" w:hAnsiTheme="minorHAnsi" w:eastAsiaTheme="minorEastAsia" w:cstheme="minorBidi"/>
              <w:noProof/>
              <w:kern w:val="2"/>
              <w:sz w:val="24"/>
              <w:szCs w:val="24"/>
              <w14:ligatures w14:val="standardContextual"/>
            </w:rPr>
          </w:pPr>
          <w:hyperlink w:history="1" w:anchor="_Toc227838377">
            <w:r w:rsidRPr="00F8043F">
              <w:rPr>
                <w:rStyle w:val="Hyperlink"/>
                <w:rFonts w:eastAsia="PMingLiU" w:cs="Arial"/>
                <w:caps/>
                <w:noProof/>
                <w:specVanish/>
              </w:rPr>
              <w:t>10.5</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Availability of Records.</w:t>
            </w:r>
            <w:r>
              <w:rPr>
                <w:noProof/>
                <w:webHidden/>
              </w:rPr>
              <w:tab/>
            </w:r>
            <w:r>
              <w:rPr>
                <w:noProof/>
                <w:webHidden/>
              </w:rPr>
              <w:fldChar w:fldCharType="begin"/>
            </w:r>
            <w:r>
              <w:rPr>
                <w:noProof/>
                <w:webHidden/>
              </w:rPr>
              <w:instrText xml:space="preserve"> PAGEREF _Toc227838377 \h </w:instrText>
            </w:r>
            <w:r>
              <w:rPr>
                <w:noProof/>
                <w:webHidden/>
              </w:rPr>
            </w:r>
            <w:r>
              <w:rPr>
                <w:noProof/>
                <w:webHidden/>
              </w:rPr>
              <w:fldChar w:fldCharType="separate"/>
            </w:r>
            <w:r>
              <w:rPr>
                <w:noProof/>
                <w:webHidden/>
              </w:rPr>
              <w:t>43</w:t>
            </w:r>
            <w:r>
              <w:rPr>
                <w:noProof/>
                <w:webHidden/>
              </w:rPr>
              <w:fldChar w:fldCharType="end"/>
            </w:r>
          </w:hyperlink>
        </w:p>
        <w:p w:rsidR="009F4B0B" w:rsidRDefault="009F4B0B" w14:paraId="45EB4DD9" w14:textId="40BEACA9">
          <w:pPr>
            <w:pStyle w:val="TOC2"/>
            <w:rPr>
              <w:rFonts w:asciiTheme="minorHAnsi" w:hAnsiTheme="minorHAnsi" w:eastAsiaTheme="minorEastAsia" w:cstheme="minorBidi"/>
              <w:noProof/>
              <w:kern w:val="2"/>
              <w:sz w:val="24"/>
              <w:szCs w:val="24"/>
              <w14:ligatures w14:val="standardContextual"/>
            </w:rPr>
          </w:pPr>
          <w:hyperlink w:history="1" w:anchor="_Toc227838378">
            <w:r w:rsidRPr="00F8043F">
              <w:rPr>
                <w:rStyle w:val="Hyperlink"/>
                <w:rFonts w:eastAsia="PMingLiU" w:cs="Arial"/>
                <w:caps/>
                <w:noProof/>
                <w:specVanish/>
              </w:rPr>
              <w:t>10.6</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Effect of GPC Action.</w:t>
            </w:r>
            <w:r>
              <w:rPr>
                <w:noProof/>
                <w:webHidden/>
              </w:rPr>
              <w:tab/>
            </w:r>
            <w:r>
              <w:rPr>
                <w:noProof/>
                <w:webHidden/>
              </w:rPr>
              <w:fldChar w:fldCharType="begin"/>
            </w:r>
            <w:r>
              <w:rPr>
                <w:noProof/>
                <w:webHidden/>
              </w:rPr>
              <w:instrText xml:space="preserve"> PAGEREF _Toc227838378 \h </w:instrText>
            </w:r>
            <w:r>
              <w:rPr>
                <w:noProof/>
                <w:webHidden/>
              </w:rPr>
            </w:r>
            <w:r>
              <w:rPr>
                <w:noProof/>
                <w:webHidden/>
              </w:rPr>
              <w:fldChar w:fldCharType="separate"/>
            </w:r>
            <w:r>
              <w:rPr>
                <w:noProof/>
                <w:webHidden/>
              </w:rPr>
              <w:t>43</w:t>
            </w:r>
            <w:r>
              <w:rPr>
                <w:noProof/>
                <w:webHidden/>
              </w:rPr>
              <w:fldChar w:fldCharType="end"/>
            </w:r>
          </w:hyperlink>
        </w:p>
        <w:p w:rsidR="009F4B0B" w:rsidRDefault="009F4B0B" w14:paraId="6F165F03" w14:textId="13AED950">
          <w:pPr>
            <w:pStyle w:val="TOC2"/>
            <w:rPr>
              <w:rFonts w:asciiTheme="minorHAnsi" w:hAnsiTheme="minorHAnsi" w:eastAsiaTheme="minorEastAsia" w:cstheme="minorBidi"/>
              <w:noProof/>
              <w:kern w:val="2"/>
              <w:sz w:val="24"/>
              <w:szCs w:val="24"/>
              <w14:ligatures w14:val="standardContextual"/>
            </w:rPr>
          </w:pPr>
          <w:hyperlink w:history="1" w:anchor="_Toc227838379">
            <w:r w:rsidRPr="00F8043F">
              <w:rPr>
                <w:rStyle w:val="Hyperlink"/>
                <w:rFonts w:eastAsia="PMingLiU" w:cs="Arial"/>
                <w:caps/>
                <w:noProof/>
                <w:specVanish/>
              </w:rPr>
              <w:t>10.7</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Operating Committee.</w:t>
            </w:r>
            <w:r>
              <w:rPr>
                <w:noProof/>
                <w:webHidden/>
              </w:rPr>
              <w:tab/>
            </w:r>
            <w:r>
              <w:rPr>
                <w:noProof/>
                <w:webHidden/>
              </w:rPr>
              <w:fldChar w:fldCharType="begin"/>
            </w:r>
            <w:r>
              <w:rPr>
                <w:noProof/>
                <w:webHidden/>
              </w:rPr>
              <w:instrText xml:space="preserve"> PAGEREF _Toc227838379 \h </w:instrText>
            </w:r>
            <w:r>
              <w:rPr>
                <w:noProof/>
                <w:webHidden/>
              </w:rPr>
            </w:r>
            <w:r>
              <w:rPr>
                <w:noProof/>
                <w:webHidden/>
              </w:rPr>
              <w:fldChar w:fldCharType="separate"/>
            </w:r>
            <w:r>
              <w:rPr>
                <w:noProof/>
                <w:webHidden/>
              </w:rPr>
              <w:t>43</w:t>
            </w:r>
            <w:r>
              <w:rPr>
                <w:noProof/>
                <w:webHidden/>
              </w:rPr>
              <w:fldChar w:fldCharType="end"/>
            </w:r>
          </w:hyperlink>
        </w:p>
        <w:p w:rsidR="009F4B0B" w:rsidRDefault="009F4B0B" w14:paraId="4847E67B" w14:textId="112F345B">
          <w:pPr>
            <w:pStyle w:val="TOC2"/>
            <w:rPr>
              <w:rFonts w:asciiTheme="minorHAnsi" w:hAnsiTheme="minorHAnsi" w:eastAsiaTheme="minorEastAsia" w:cstheme="minorBidi"/>
              <w:noProof/>
              <w:kern w:val="2"/>
              <w:sz w:val="24"/>
              <w:szCs w:val="24"/>
              <w14:ligatures w14:val="standardContextual"/>
            </w:rPr>
          </w:pPr>
          <w:hyperlink w:history="1" w:anchor="_Toc227838380">
            <w:r w:rsidRPr="00F8043F">
              <w:rPr>
                <w:rStyle w:val="Hyperlink"/>
                <w:rFonts w:eastAsia="PMingLiU" w:cs="Arial"/>
                <w:caps/>
                <w:noProof/>
                <w:specVanish/>
              </w:rPr>
              <w:t>10.8</w:t>
            </w:r>
            <w:r>
              <w:rPr>
                <w:rFonts w:asciiTheme="minorHAnsi" w:hAnsiTheme="minorHAnsi" w:eastAsiaTheme="minorEastAsia" w:cstheme="minorBidi"/>
                <w:noProof/>
                <w:kern w:val="2"/>
                <w:sz w:val="24"/>
                <w:szCs w:val="24"/>
                <w14:ligatures w14:val="standardContextual"/>
              </w:rPr>
              <w:tab/>
            </w:r>
            <w:r w:rsidRPr="00F8043F">
              <w:rPr>
                <w:rStyle w:val="Hyperlink"/>
                <w:noProof/>
              </w:rPr>
              <w:t>Cyber Security.</w:t>
            </w:r>
            <w:r>
              <w:rPr>
                <w:noProof/>
                <w:webHidden/>
              </w:rPr>
              <w:tab/>
            </w:r>
            <w:r>
              <w:rPr>
                <w:noProof/>
                <w:webHidden/>
              </w:rPr>
              <w:fldChar w:fldCharType="begin"/>
            </w:r>
            <w:r>
              <w:rPr>
                <w:noProof/>
                <w:webHidden/>
              </w:rPr>
              <w:instrText xml:space="preserve"> PAGEREF _Toc227838380 \h </w:instrText>
            </w:r>
            <w:r>
              <w:rPr>
                <w:noProof/>
                <w:webHidden/>
              </w:rPr>
            </w:r>
            <w:r>
              <w:rPr>
                <w:noProof/>
                <w:webHidden/>
              </w:rPr>
              <w:fldChar w:fldCharType="separate"/>
            </w:r>
            <w:r>
              <w:rPr>
                <w:noProof/>
                <w:webHidden/>
              </w:rPr>
              <w:t>44</w:t>
            </w:r>
            <w:r>
              <w:rPr>
                <w:noProof/>
                <w:webHidden/>
              </w:rPr>
              <w:fldChar w:fldCharType="end"/>
            </w:r>
          </w:hyperlink>
        </w:p>
        <w:p w:rsidR="009F4B0B" w:rsidRDefault="009F4B0B" w14:paraId="0961E836" w14:textId="01F593E8">
          <w:pPr>
            <w:pStyle w:val="TOC1"/>
            <w:rPr>
              <w:rFonts w:asciiTheme="minorHAnsi" w:hAnsiTheme="minorHAnsi" w:eastAsiaTheme="minorEastAsia" w:cstheme="minorBidi"/>
              <w:b w:val="0"/>
              <w:caps w:val="0"/>
              <w:noProof/>
              <w:kern w:val="2"/>
              <w:sz w:val="24"/>
              <w:szCs w:val="24"/>
              <w14:ligatures w14:val="standardContextual"/>
            </w:rPr>
          </w:pPr>
          <w:hyperlink w:history="1" w:anchor="_Toc227838381">
            <w:r w:rsidRPr="00F8043F">
              <w:rPr>
                <w:rStyle w:val="Hyperlink"/>
                <w:noProof/>
                <w14:scene3d>
                  <w14:camera w14:prst="orthographicFront"/>
                  <w14:lightRig w14:rig="threePt" w14:dir="t">
                    <w14:rot w14:lat="0" w14:lon="0" w14:rev="0"/>
                  </w14:lightRig>
                </w14:scene3d>
                <w14:props3d w14:extrusionH="0" w14:contourW="0" w14:prstMaterial="warmMatte"/>
              </w:rPr>
              <w:t>Part 11.</w:t>
            </w:r>
            <w:r>
              <w:rPr>
                <w:rFonts w:asciiTheme="minorHAnsi" w:hAnsiTheme="minorHAnsi" w:eastAsiaTheme="minorEastAsia" w:cstheme="minorBidi"/>
                <w:b w:val="0"/>
                <w:caps w:val="0"/>
                <w:noProof/>
                <w:kern w:val="2"/>
                <w:sz w:val="24"/>
                <w:szCs w:val="24"/>
                <w14:ligatures w14:val="standardContextual"/>
              </w:rPr>
              <w:tab/>
            </w:r>
            <w:r w:rsidRPr="00F8043F">
              <w:rPr>
                <w:rStyle w:val="Hyperlink"/>
                <w:noProof/>
              </w:rPr>
              <w:t>Fuel Supply Allowances</w:t>
            </w:r>
            <w:r>
              <w:rPr>
                <w:noProof/>
                <w:webHidden/>
              </w:rPr>
              <w:tab/>
            </w:r>
            <w:r>
              <w:rPr>
                <w:noProof/>
                <w:webHidden/>
              </w:rPr>
              <w:fldChar w:fldCharType="begin"/>
            </w:r>
            <w:r>
              <w:rPr>
                <w:noProof/>
                <w:webHidden/>
              </w:rPr>
              <w:instrText xml:space="preserve"> PAGEREF _Toc227838381 \h </w:instrText>
            </w:r>
            <w:r>
              <w:rPr>
                <w:noProof/>
                <w:webHidden/>
              </w:rPr>
            </w:r>
            <w:r>
              <w:rPr>
                <w:noProof/>
                <w:webHidden/>
              </w:rPr>
              <w:fldChar w:fldCharType="separate"/>
            </w:r>
            <w:r>
              <w:rPr>
                <w:noProof/>
                <w:webHidden/>
              </w:rPr>
              <w:t>44</w:t>
            </w:r>
            <w:r>
              <w:rPr>
                <w:noProof/>
                <w:webHidden/>
              </w:rPr>
              <w:fldChar w:fldCharType="end"/>
            </w:r>
          </w:hyperlink>
        </w:p>
        <w:p w:rsidR="009F4B0B" w:rsidRDefault="009F4B0B" w14:paraId="0C1605D6" w14:textId="0DED6D2F">
          <w:pPr>
            <w:pStyle w:val="TOC2"/>
            <w:rPr>
              <w:rFonts w:asciiTheme="minorHAnsi" w:hAnsiTheme="minorHAnsi" w:eastAsiaTheme="minorEastAsia" w:cstheme="minorBidi"/>
              <w:noProof/>
              <w:kern w:val="2"/>
              <w:sz w:val="24"/>
              <w:szCs w:val="24"/>
              <w14:ligatures w14:val="standardContextual"/>
            </w:rPr>
          </w:pPr>
          <w:hyperlink w:history="1" w:anchor="_Toc227838382">
            <w:r w:rsidRPr="00F8043F">
              <w:rPr>
                <w:rStyle w:val="Hyperlink"/>
                <w:rFonts w:eastAsia="PMingLiU" w:cs="Arial"/>
                <w:caps/>
                <w:noProof/>
                <w:specVanish/>
              </w:rPr>
              <w:t>11.1</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Overview.</w:t>
            </w:r>
            <w:r>
              <w:rPr>
                <w:noProof/>
                <w:webHidden/>
              </w:rPr>
              <w:tab/>
            </w:r>
            <w:r>
              <w:rPr>
                <w:noProof/>
                <w:webHidden/>
              </w:rPr>
              <w:fldChar w:fldCharType="begin"/>
            </w:r>
            <w:r>
              <w:rPr>
                <w:noProof/>
                <w:webHidden/>
              </w:rPr>
              <w:instrText xml:space="preserve"> PAGEREF _Toc227838382 \h </w:instrText>
            </w:r>
            <w:r>
              <w:rPr>
                <w:noProof/>
                <w:webHidden/>
              </w:rPr>
            </w:r>
            <w:r>
              <w:rPr>
                <w:noProof/>
                <w:webHidden/>
              </w:rPr>
              <w:fldChar w:fldCharType="separate"/>
            </w:r>
            <w:r>
              <w:rPr>
                <w:noProof/>
                <w:webHidden/>
              </w:rPr>
              <w:t>44</w:t>
            </w:r>
            <w:r>
              <w:rPr>
                <w:noProof/>
                <w:webHidden/>
              </w:rPr>
              <w:fldChar w:fldCharType="end"/>
            </w:r>
          </w:hyperlink>
        </w:p>
        <w:p w:rsidR="009F4B0B" w:rsidRDefault="009F4B0B" w14:paraId="43EA8848" w14:textId="6E6ACB1A">
          <w:pPr>
            <w:pStyle w:val="TOC2"/>
            <w:rPr>
              <w:rFonts w:asciiTheme="minorHAnsi" w:hAnsiTheme="minorHAnsi" w:eastAsiaTheme="minorEastAsia" w:cstheme="minorBidi"/>
              <w:noProof/>
              <w:kern w:val="2"/>
              <w:sz w:val="24"/>
              <w:szCs w:val="24"/>
              <w14:ligatures w14:val="standardContextual"/>
            </w:rPr>
          </w:pPr>
          <w:hyperlink w:history="1" w:anchor="_Toc227838383">
            <w:r w:rsidRPr="00F8043F">
              <w:rPr>
                <w:rStyle w:val="Hyperlink"/>
                <w:rFonts w:eastAsia="PMingLiU" w:cs="Arial"/>
                <w:caps/>
                <w:noProof/>
                <w:specVanish/>
              </w:rPr>
              <w:t>11.2</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Natural Gas Transportation Capacity.</w:t>
            </w:r>
            <w:r>
              <w:rPr>
                <w:noProof/>
                <w:webHidden/>
              </w:rPr>
              <w:tab/>
            </w:r>
            <w:r>
              <w:rPr>
                <w:noProof/>
                <w:webHidden/>
              </w:rPr>
              <w:fldChar w:fldCharType="begin"/>
            </w:r>
            <w:r>
              <w:rPr>
                <w:noProof/>
                <w:webHidden/>
              </w:rPr>
              <w:instrText xml:space="preserve"> PAGEREF _Toc227838383 \h </w:instrText>
            </w:r>
            <w:r>
              <w:rPr>
                <w:noProof/>
                <w:webHidden/>
              </w:rPr>
            </w:r>
            <w:r>
              <w:rPr>
                <w:noProof/>
                <w:webHidden/>
              </w:rPr>
              <w:fldChar w:fldCharType="separate"/>
            </w:r>
            <w:r>
              <w:rPr>
                <w:noProof/>
                <w:webHidden/>
              </w:rPr>
              <w:t>44</w:t>
            </w:r>
            <w:r>
              <w:rPr>
                <w:noProof/>
                <w:webHidden/>
              </w:rPr>
              <w:fldChar w:fldCharType="end"/>
            </w:r>
          </w:hyperlink>
        </w:p>
        <w:p w:rsidR="009F4B0B" w:rsidRDefault="009F4B0B" w14:paraId="177B0C13" w14:textId="7186600C">
          <w:pPr>
            <w:pStyle w:val="TOC2"/>
            <w:rPr>
              <w:rFonts w:asciiTheme="minorHAnsi" w:hAnsiTheme="minorHAnsi" w:eastAsiaTheme="minorEastAsia" w:cstheme="minorBidi"/>
              <w:noProof/>
              <w:kern w:val="2"/>
              <w:sz w:val="24"/>
              <w:szCs w:val="24"/>
              <w14:ligatures w14:val="standardContextual"/>
            </w:rPr>
          </w:pPr>
          <w:hyperlink w:history="1" w:anchor="_Toc227838384">
            <w:r w:rsidRPr="00F8043F">
              <w:rPr>
                <w:rStyle w:val="Hyperlink"/>
                <w:rFonts w:eastAsia="PMingLiU" w:cs="Arial"/>
                <w:caps/>
                <w:noProof/>
                <w:specVanish/>
              </w:rPr>
              <w:t>11.3</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Fuel Oil.</w:t>
            </w:r>
            <w:r>
              <w:rPr>
                <w:noProof/>
                <w:webHidden/>
              </w:rPr>
              <w:tab/>
            </w:r>
            <w:r>
              <w:rPr>
                <w:noProof/>
                <w:webHidden/>
              </w:rPr>
              <w:fldChar w:fldCharType="begin"/>
            </w:r>
            <w:r>
              <w:rPr>
                <w:noProof/>
                <w:webHidden/>
              </w:rPr>
              <w:instrText xml:space="preserve"> PAGEREF _Toc227838384 \h </w:instrText>
            </w:r>
            <w:r>
              <w:rPr>
                <w:noProof/>
                <w:webHidden/>
              </w:rPr>
            </w:r>
            <w:r>
              <w:rPr>
                <w:noProof/>
                <w:webHidden/>
              </w:rPr>
              <w:fldChar w:fldCharType="separate"/>
            </w:r>
            <w:r>
              <w:rPr>
                <w:noProof/>
                <w:webHidden/>
              </w:rPr>
              <w:t>45</w:t>
            </w:r>
            <w:r>
              <w:rPr>
                <w:noProof/>
                <w:webHidden/>
              </w:rPr>
              <w:fldChar w:fldCharType="end"/>
            </w:r>
          </w:hyperlink>
        </w:p>
        <w:p w:rsidR="009F4B0B" w:rsidRDefault="009F4B0B" w14:paraId="668AE72D" w14:textId="1529B04E">
          <w:pPr>
            <w:pStyle w:val="TOC2"/>
            <w:rPr>
              <w:rFonts w:asciiTheme="minorHAnsi" w:hAnsiTheme="minorHAnsi" w:eastAsiaTheme="minorEastAsia" w:cstheme="minorBidi"/>
              <w:noProof/>
              <w:kern w:val="2"/>
              <w:sz w:val="24"/>
              <w:szCs w:val="24"/>
              <w14:ligatures w14:val="standardContextual"/>
            </w:rPr>
          </w:pPr>
          <w:hyperlink w:history="1" w:anchor="_Toc227838385">
            <w:r w:rsidRPr="00F8043F">
              <w:rPr>
                <w:rStyle w:val="Hyperlink"/>
                <w:rFonts w:eastAsia="PMingLiU" w:cs="Arial"/>
                <w:caps/>
                <w:noProof/>
                <w:specVanish/>
              </w:rPr>
              <w:t>11.4</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Allowances.</w:t>
            </w:r>
            <w:r>
              <w:rPr>
                <w:noProof/>
                <w:webHidden/>
              </w:rPr>
              <w:tab/>
            </w:r>
            <w:r>
              <w:rPr>
                <w:noProof/>
                <w:webHidden/>
              </w:rPr>
              <w:fldChar w:fldCharType="begin"/>
            </w:r>
            <w:r>
              <w:rPr>
                <w:noProof/>
                <w:webHidden/>
              </w:rPr>
              <w:instrText xml:space="preserve"> PAGEREF _Toc227838385 \h </w:instrText>
            </w:r>
            <w:r>
              <w:rPr>
                <w:noProof/>
                <w:webHidden/>
              </w:rPr>
            </w:r>
            <w:r>
              <w:rPr>
                <w:noProof/>
                <w:webHidden/>
              </w:rPr>
              <w:fldChar w:fldCharType="separate"/>
            </w:r>
            <w:r>
              <w:rPr>
                <w:noProof/>
                <w:webHidden/>
              </w:rPr>
              <w:t>47</w:t>
            </w:r>
            <w:r>
              <w:rPr>
                <w:noProof/>
                <w:webHidden/>
              </w:rPr>
              <w:fldChar w:fldCharType="end"/>
            </w:r>
          </w:hyperlink>
        </w:p>
        <w:p w:rsidR="009F4B0B" w:rsidRDefault="009F4B0B" w14:paraId="79D3A4FA" w14:textId="4A6D15CE">
          <w:pPr>
            <w:pStyle w:val="TOC1"/>
            <w:rPr>
              <w:rFonts w:asciiTheme="minorHAnsi" w:hAnsiTheme="minorHAnsi" w:eastAsiaTheme="minorEastAsia" w:cstheme="minorBidi"/>
              <w:b w:val="0"/>
              <w:caps w:val="0"/>
              <w:noProof/>
              <w:kern w:val="2"/>
              <w:sz w:val="24"/>
              <w:szCs w:val="24"/>
              <w14:ligatures w14:val="standardContextual"/>
            </w:rPr>
          </w:pPr>
          <w:hyperlink w:history="1" w:anchor="_Toc227838386">
            <w:r w:rsidRPr="00F8043F">
              <w:rPr>
                <w:rStyle w:val="Hyperlink"/>
                <w:noProof/>
                <w14:scene3d>
                  <w14:camera w14:prst="orthographicFront"/>
                  <w14:lightRig w14:rig="threePt" w14:dir="t">
                    <w14:rot w14:lat="0" w14:lon="0" w14:rev="0"/>
                  </w14:lightRig>
                </w14:scene3d>
                <w14:props3d w14:extrusionH="0" w14:contourW="0" w14:prstMaterial="warmMatte"/>
              </w:rPr>
              <w:t>Part 12.</w:t>
            </w:r>
            <w:r>
              <w:rPr>
                <w:rFonts w:asciiTheme="minorHAnsi" w:hAnsiTheme="minorHAnsi" w:eastAsiaTheme="minorEastAsia" w:cstheme="minorBidi"/>
                <w:b w:val="0"/>
                <w:caps w:val="0"/>
                <w:noProof/>
                <w:kern w:val="2"/>
                <w:sz w:val="24"/>
                <w:szCs w:val="24"/>
                <w14:ligatures w14:val="standardContextual"/>
              </w:rPr>
              <w:tab/>
            </w:r>
            <w:r w:rsidRPr="00F8043F">
              <w:rPr>
                <w:rStyle w:val="Hyperlink"/>
                <w:noProof/>
              </w:rPr>
              <w:t>Energy Scheduling and Transmission</w:t>
            </w:r>
            <w:r>
              <w:rPr>
                <w:noProof/>
                <w:webHidden/>
              </w:rPr>
              <w:tab/>
            </w:r>
            <w:r>
              <w:rPr>
                <w:noProof/>
                <w:webHidden/>
              </w:rPr>
              <w:fldChar w:fldCharType="begin"/>
            </w:r>
            <w:r>
              <w:rPr>
                <w:noProof/>
                <w:webHidden/>
              </w:rPr>
              <w:instrText xml:space="preserve"> PAGEREF _Toc227838386 \h </w:instrText>
            </w:r>
            <w:r>
              <w:rPr>
                <w:noProof/>
                <w:webHidden/>
              </w:rPr>
            </w:r>
            <w:r>
              <w:rPr>
                <w:noProof/>
                <w:webHidden/>
              </w:rPr>
              <w:fldChar w:fldCharType="separate"/>
            </w:r>
            <w:r>
              <w:rPr>
                <w:noProof/>
                <w:webHidden/>
              </w:rPr>
              <w:t>48</w:t>
            </w:r>
            <w:r>
              <w:rPr>
                <w:noProof/>
                <w:webHidden/>
              </w:rPr>
              <w:fldChar w:fldCharType="end"/>
            </w:r>
          </w:hyperlink>
        </w:p>
        <w:p w:rsidR="009F4B0B" w:rsidRDefault="009F4B0B" w14:paraId="476CFFC9" w14:textId="1CF1B754">
          <w:pPr>
            <w:pStyle w:val="TOC2"/>
            <w:rPr>
              <w:rFonts w:asciiTheme="minorHAnsi" w:hAnsiTheme="minorHAnsi" w:eastAsiaTheme="minorEastAsia" w:cstheme="minorBidi"/>
              <w:noProof/>
              <w:kern w:val="2"/>
              <w:sz w:val="24"/>
              <w:szCs w:val="24"/>
              <w14:ligatures w14:val="standardContextual"/>
            </w:rPr>
          </w:pPr>
          <w:hyperlink w:history="1" w:anchor="_Toc227838387">
            <w:r w:rsidRPr="00F8043F">
              <w:rPr>
                <w:rStyle w:val="Hyperlink"/>
                <w:rFonts w:eastAsia="PMingLiU" w:cs="Arial"/>
                <w:caps/>
                <w:noProof/>
                <w:specVanish/>
              </w:rPr>
              <w:t>12.1</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Energy Scheduling.</w:t>
            </w:r>
            <w:r>
              <w:rPr>
                <w:noProof/>
                <w:webHidden/>
              </w:rPr>
              <w:tab/>
            </w:r>
            <w:r>
              <w:rPr>
                <w:noProof/>
                <w:webHidden/>
              </w:rPr>
              <w:fldChar w:fldCharType="begin"/>
            </w:r>
            <w:r>
              <w:rPr>
                <w:noProof/>
                <w:webHidden/>
              </w:rPr>
              <w:instrText xml:space="preserve"> PAGEREF _Toc227838387 \h </w:instrText>
            </w:r>
            <w:r>
              <w:rPr>
                <w:noProof/>
                <w:webHidden/>
              </w:rPr>
            </w:r>
            <w:r>
              <w:rPr>
                <w:noProof/>
                <w:webHidden/>
              </w:rPr>
              <w:fldChar w:fldCharType="separate"/>
            </w:r>
            <w:r>
              <w:rPr>
                <w:noProof/>
                <w:webHidden/>
              </w:rPr>
              <w:t>48</w:t>
            </w:r>
            <w:r>
              <w:rPr>
                <w:noProof/>
                <w:webHidden/>
              </w:rPr>
              <w:fldChar w:fldCharType="end"/>
            </w:r>
          </w:hyperlink>
        </w:p>
        <w:p w:rsidR="009F4B0B" w:rsidRDefault="009F4B0B" w14:paraId="3B9D8A53" w14:textId="6E63702E">
          <w:pPr>
            <w:pStyle w:val="TOC2"/>
            <w:rPr>
              <w:rFonts w:asciiTheme="minorHAnsi" w:hAnsiTheme="minorHAnsi" w:eastAsiaTheme="minorEastAsia" w:cstheme="minorBidi"/>
              <w:noProof/>
              <w:kern w:val="2"/>
              <w:sz w:val="24"/>
              <w:szCs w:val="24"/>
              <w14:ligatures w14:val="standardContextual"/>
            </w:rPr>
          </w:pPr>
          <w:hyperlink w:history="1" w:anchor="_Toc227838388">
            <w:r w:rsidRPr="00F8043F">
              <w:rPr>
                <w:rStyle w:val="Hyperlink"/>
                <w:rFonts w:eastAsia="PMingLiU" w:cs="Arial"/>
                <w:caps/>
                <w:noProof/>
                <w:specVanish/>
              </w:rPr>
              <w:t>12.2</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Coordination and Scheduling.</w:t>
            </w:r>
            <w:r>
              <w:rPr>
                <w:noProof/>
                <w:webHidden/>
              </w:rPr>
              <w:tab/>
            </w:r>
            <w:r>
              <w:rPr>
                <w:noProof/>
                <w:webHidden/>
              </w:rPr>
              <w:fldChar w:fldCharType="begin"/>
            </w:r>
            <w:r>
              <w:rPr>
                <w:noProof/>
                <w:webHidden/>
              </w:rPr>
              <w:instrText xml:space="preserve"> PAGEREF _Toc227838388 \h </w:instrText>
            </w:r>
            <w:r>
              <w:rPr>
                <w:noProof/>
                <w:webHidden/>
              </w:rPr>
            </w:r>
            <w:r>
              <w:rPr>
                <w:noProof/>
                <w:webHidden/>
              </w:rPr>
              <w:fldChar w:fldCharType="separate"/>
            </w:r>
            <w:r>
              <w:rPr>
                <w:noProof/>
                <w:webHidden/>
              </w:rPr>
              <w:t>48</w:t>
            </w:r>
            <w:r>
              <w:rPr>
                <w:noProof/>
                <w:webHidden/>
              </w:rPr>
              <w:fldChar w:fldCharType="end"/>
            </w:r>
          </w:hyperlink>
        </w:p>
        <w:p w:rsidR="009F4B0B" w:rsidRDefault="009F4B0B" w14:paraId="25D076DC" w14:textId="08D70D7C">
          <w:pPr>
            <w:pStyle w:val="TOC2"/>
            <w:rPr>
              <w:rFonts w:asciiTheme="minorHAnsi" w:hAnsiTheme="minorHAnsi" w:eastAsiaTheme="minorEastAsia" w:cstheme="minorBidi"/>
              <w:noProof/>
              <w:kern w:val="2"/>
              <w:sz w:val="24"/>
              <w:szCs w:val="24"/>
              <w14:ligatures w14:val="standardContextual"/>
            </w:rPr>
          </w:pPr>
          <w:hyperlink w:history="1" w:anchor="_Toc227838389">
            <w:r w:rsidRPr="00F8043F">
              <w:rPr>
                <w:rStyle w:val="Hyperlink"/>
                <w:rFonts w:eastAsia="PMingLiU" w:cs="Arial"/>
                <w:caps/>
                <w:noProof/>
                <w:specVanish/>
              </w:rPr>
              <w:t>12.3</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AGC.</w:t>
            </w:r>
            <w:r>
              <w:rPr>
                <w:noProof/>
                <w:webHidden/>
              </w:rPr>
              <w:tab/>
            </w:r>
            <w:r>
              <w:rPr>
                <w:noProof/>
                <w:webHidden/>
              </w:rPr>
              <w:fldChar w:fldCharType="begin"/>
            </w:r>
            <w:r>
              <w:rPr>
                <w:noProof/>
                <w:webHidden/>
              </w:rPr>
              <w:instrText xml:space="preserve"> PAGEREF _Toc227838389 \h </w:instrText>
            </w:r>
            <w:r>
              <w:rPr>
                <w:noProof/>
                <w:webHidden/>
              </w:rPr>
            </w:r>
            <w:r>
              <w:rPr>
                <w:noProof/>
                <w:webHidden/>
              </w:rPr>
              <w:fldChar w:fldCharType="separate"/>
            </w:r>
            <w:r>
              <w:rPr>
                <w:noProof/>
                <w:webHidden/>
              </w:rPr>
              <w:t>50</w:t>
            </w:r>
            <w:r>
              <w:rPr>
                <w:noProof/>
                <w:webHidden/>
              </w:rPr>
              <w:fldChar w:fldCharType="end"/>
            </w:r>
          </w:hyperlink>
        </w:p>
        <w:p w:rsidR="009F4B0B" w:rsidRDefault="009F4B0B" w14:paraId="496C8E31" w14:textId="0307BEB3">
          <w:pPr>
            <w:pStyle w:val="TOC2"/>
            <w:rPr>
              <w:rFonts w:asciiTheme="minorHAnsi" w:hAnsiTheme="minorHAnsi" w:eastAsiaTheme="minorEastAsia" w:cstheme="minorBidi"/>
              <w:noProof/>
              <w:kern w:val="2"/>
              <w:sz w:val="24"/>
              <w:szCs w:val="24"/>
              <w14:ligatures w14:val="standardContextual"/>
            </w:rPr>
          </w:pPr>
          <w:hyperlink w:history="1" w:anchor="_Toc227838390">
            <w:r w:rsidRPr="00F8043F">
              <w:rPr>
                <w:rStyle w:val="Hyperlink"/>
                <w:rFonts w:eastAsia="PMingLiU" w:cs="Arial"/>
                <w:caps/>
                <w:noProof/>
                <w:specVanish/>
              </w:rPr>
              <w:t>12.4</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Effect of Grid Emergencies.</w:t>
            </w:r>
            <w:r>
              <w:rPr>
                <w:noProof/>
                <w:webHidden/>
              </w:rPr>
              <w:tab/>
            </w:r>
            <w:r>
              <w:rPr>
                <w:noProof/>
                <w:webHidden/>
              </w:rPr>
              <w:fldChar w:fldCharType="begin"/>
            </w:r>
            <w:r>
              <w:rPr>
                <w:noProof/>
                <w:webHidden/>
              </w:rPr>
              <w:instrText xml:space="preserve"> PAGEREF _Toc227838390 \h </w:instrText>
            </w:r>
            <w:r>
              <w:rPr>
                <w:noProof/>
                <w:webHidden/>
              </w:rPr>
            </w:r>
            <w:r>
              <w:rPr>
                <w:noProof/>
                <w:webHidden/>
              </w:rPr>
              <w:fldChar w:fldCharType="separate"/>
            </w:r>
            <w:r>
              <w:rPr>
                <w:noProof/>
                <w:webHidden/>
              </w:rPr>
              <w:t>51</w:t>
            </w:r>
            <w:r>
              <w:rPr>
                <w:noProof/>
                <w:webHidden/>
              </w:rPr>
              <w:fldChar w:fldCharType="end"/>
            </w:r>
          </w:hyperlink>
        </w:p>
        <w:p w:rsidR="009F4B0B" w:rsidRDefault="009F4B0B" w14:paraId="6497D773" w14:textId="316C3A85">
          <w:pPr>
            <w:pStyle w:val="TOC2"/>
            <w:rPr>
              <w:rFonts w:asciiTheme="minorHAnsi" w:hAnsiTheme="minorHAnsi" w:eastAsiaTheme="minorEastAsia" w:cstheme="minorBidi"/>
              <w:noProof/>
              <w:kern w:val="2"/>
              <w:sz w:val="24"/>
              <w:szCs w:val="24"/>
              <w14:ligatures w14:val="standardContextual"/>
            </w:rPr>
          </w:pPr>
          <w:hyperlink w:history="1" w:anchor="_Toc227838391">
            <w:r w:rsidRPr="00F8043F">
              <w:rPr>
                <w:rStyle w:val="Hyperlink"/>
                <w:rFonts w:eastAsia="PMingLiU" w:cs="Arial"/>
                <w:caps/>
                <w:noProof/>
                <w:specVanish/>
              </w:rPr>
              <w:t>12.5</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Effect of Insufficient Capability in the Electric System.</w:t>
            </w:r>
            <w:r>
              <w:rPr>
                <w:noProof/>
                <w:webHidden/>
              </w:rPr>
              <w:tab/>
            </w:r>
            <w:r>
              <w:rPr>
                <w:noProof/>
                <w:webHidden/>
              </w:rPr>
              <w:fldChar w:fldCharType="begin"/>
            </w:r>
            <w:r>
              <w:rPr>
                <w:noProof/>
                <w:webHidden/>
              </w:rPr>
              <w:instrText xml:space="preserve"> PAGEREF _Toc227838391 \h </w:instrText>
            </w:r>
            <w:r>
              <w:rPr>
                <w:noProof/>
                <w:webHidden/>
              </w:rPr>
            </w:r>
            <w:r>
              <w:rPr>
                <w:noProof/>
                <w:webHidden/>
              </w:rPr>
              <w:fldChar w:fldCharType="separate"/>
            </w:r>
            <w:r>
              <w:rPr>
                <w:noProof/>
                <w:webHidden/>
              </w:rPr>
              <w:t>51</w:t>
            </w:r>
            <w:r>
              <w:rPr>
                <w:noProof/>
                <w:webHidden/>
              </w:rPr>
              <w:fldChar w:fldCharType="end"/>
            </w:r>
          </w:hyperlink>
        </w:p>
        <w:p w:rsidR="009F4B0B" w:rsidRDefault="009F4B0B" w14:paraId="303134F7" w14:textId="4E0CA6FD">
          <w:pPr>
            <w:pStyle w:val="TOC2"/>
            <w:rPr>
              <w:rFonts w:asciiTheme="minorHAnsi" w:hAnsiTheme="minorHAnsi" w:eastAsiaTheme="minorEastAsia" w:cstheme="minorBidi"/>
              <w:noProof/>
              <w:kern w:val="2"/>
              <w:sz w:val="24"/>
              <w:szCs w:val="24"/>
              <w14:ligatures w14:val="standardContextual"/>
            </w:rPr>
          </w:pPr>
          <w:hyperlink w:history="1" w:anchor="_Toc227838392">
            <w:r w:rsidRPr="00F8043F">
              <w:rPr>
                <w:rStyle w:val="Hyperlink"/>
                <w:iCs/>
                <w:caps/>
                <w:noProof/>
                <w:specVanish/>
              </w:rPr>
              <w:t>12.6</w:t>
            </w:r>
            <w:r>
              <w:rPr>
                <w:rFonts w:asciiTheme="minorHAnsi" w:hAnsiTheme="minorHAnsi" w:eastAsiaTheme="minorEastAsia" w:cstheme="minorBidi"/>
                <w:noProof/>
                <w:kern w:val="2"/>
                <w:sz w:val="24"/>
                <w:szCs w:val="24"/>
                <w14:ligatures w14:val="standardContextual"/>
              </w:rPr>
              <w:tab/>
            </w:r>
            <w:r w:rsidRPr="00F8043F">
              <w:rPr>
                <w:rStyle w:val="Hyperlink"/>
                <w:noProof/>
              </w:rPr>
              <w:t>Transmission and Delivery Responsibilities of GPC.</w:t>
            </w:r>
            <w:r>
              <w:rPr>
                <w:noProof/>
                <w:webHidden/>
              </w:rPr>
              <w:tab/>
            </w:r>
            <w:r>
              <w:rPr>
                <w:noProof/>
                <w:webHidden/>
              </w:rPr>
              <w:fldChar w:fldCharType="begin"/>
            </w:r>
            <w:r>
              <w:rPr>
                <w:noProof/>
                <w:webHidden/>
              </w:rPr>
              <w:instrText xml:space="preserve"> PAGEREF _Toc227838392 \h </w:instrText>
            </w:r>
            <w:r>
              <w:rPr>
                <w:noProof/>
                <w:webHidden/>
              </w:rPr>
            </w:r>
            <w:r>
              <w:rPr>
                <w:noProof/>
                <w:webHidden/>
              </w:rPr>
              <w:fldChar w:fldCharType="separate"/>
            </w:r>
            <w:r>
              <w:rPr>
                <w:noProof/>
                <w:webHidden/>
              </w:rPr>
              <w:t>51</w:t>
            </w:r>
            <w:r>
              <w:rPr>
                <w:noProof/>
                <w:webHidden/>
              </w:rPr>
              <w:fldChar w:fldCharType="end"/>
            </w:r>
          </w:hyperlink>
        </w:p>
        <w:p w:rsidR="009F4B0B" w:rsidRDefault="009F4B0B" w14:paraId="6AC9A791" w14:textId="7DD226E0">
          <w:pPr>
            <w:pStyle w:val="TOC2"/>
            <w:rPr>
              <w:rFonts w:asciiTheme="minorHAnsi" w:hAnsiTheme="minorHAnsi" w:eastAsiaTheme="minorEastAsia" w:cstheme="minorBidi"/>
              <w:noProof/>
              <w:kern w:val="2"/>
              <w:sz w:val="24"/>
              <w:szCs w:val="24"/>
              <w14:ligatures w14:val="standardContextual"/>
            </w:rPr>
          </w:pPr>
          <w:hyperlink w:history="1" w:anchor="_Toc227838393">
            <w:r w:rsidRPr="00F8043F">
              <w:rPr>
                <w:rStyle w:val="Hyperlink"/>
                <w:rFonts w:eastAsia="PMingLiU" w:cs="Arial"/>
                <w:caps/>
                <w:noProof/>
                <w:specVanish/>
              </w:rPr>
              <w:t>12.7</w:t>
            </w:r>
            <w:r>
              <w:rPr>
                <w:rFonts w:asciiTheme="minorHAnsi" w:hAnsiTheme="minorHAnsi" w:eastAsiaTheme="minorEastAsia" w:cstheme="minorBidi"/>
                <w:noProof/>
                <w:kern w:val="2"/>
                <w:sz w:val="24"/>
                <w:szCs w:val="24"/>
                <w14:ligatures w14:val="standardContextual"/>
              </w:rPr>
              <w:tab/>
            </w:r>
            <w:r w:rsidRPr="00F8043F">
              <w:rPr>
                <w:rStyle w:val="Hyperlink"/>
                <w:noProof/>
              </w:rPr>
              <w:t>Seller Transmission and Delivery Responsibilities.</w:t>
            </w:r>
            <w:r>
              <w:rPr>
                <w:noProof/>
                <w:webHidden/>
              </w:rPr>
              <w:tab/>
            </w:r>
            <w:r>
              <w:rPr>
                <w:noProof/>
                <w:webHidden/>
              </w:rPr>
              <w:fldChar w:fldCharType="begin"/>
            </w:r>
            <w:r>
              <w:rPr>
                <w:noProof/>
                <w:webHidden/>
              </w:rPr>
              <w:instrText xml:space="preserve"> PAGEREF _Toc227838393 \h </w:instrText>
            </w:r>
            <w:r>
              <w:rPr>
                <w:noProof/>
                <w:webHidden/>
              </w:rPr>
            </w:r>
            <w:r>
              <w:rPr>
                <w:noProof/>
                <w:webHidden/>
              </w:rPr>
              <w:fldChar w:fldCharType="separate"/>
            </w:r>
            <w:r>
              <w:rPr>
                <w:noProof/>
                <w:webHidden/>
              </w:rPr>
              <w:t>51</w:t>
            </w:r>
            <w:r>
              <w:rPr>
                <w:noProof/>
                <w:webHidden/>
              </w:rPr>
              <w:fldChar w:fldCharType="end"/>
            </w:r>
          </w:hyperlink>
        </w:p>
        <w:p w:rsidR="009F4B0B" w:rsidRDefault="009F4B0B" w14:paraId="552E5C96" w14:textId="2ECCA0A6">
          <w:pPr>
            <w:pStyle w:val="TOC1"/>
            <w:rPr>
              <w:rFonts w:asciiTheme="minorHAnsi" w:hAnsiTheme="minorHAnsi" w:eastAsiaTheme="minorEastAsia" w:cstheme="minorBidi"/>
              <w:b w:val="0"/>
              <w:caps w:val="0"/>
              <w:noProof/>
              <w:kern w:val="2"/>
              <w:sz w:val="24"/>
              <w:szCs w:val="24"/>
              <w14:ligatures w14:val="standardContextual"/>
            </w:rPr>
          </w:pPr>
          <w:hyperlink w:history="1" w:anchor="_Toc227838394">
            <w:r w:rsidRPr="00F8043F">
              <w:rPr>
                <w:rStyle w:val="Hyperlink"/>
                <w:noProof/>
                <w14:scene3d>
                  <w14:camera w14:prst="orthographicFront"/>
                  <w14:lightRig w14:rig="threePt" w14:dir="t">
                    <w14:rot w14:lat="0" w14:lon="0" w14:rev="0"/>
                  </w14:lightRig>
                </w14:scene3d>
                <w14:props3d w14:extrusionH="0" w14:contourW="0" w14:prstMaterial="warmMatte"/>
              </w:rPr>
              <w:t>Part 13.</w:t>
            </w:r>
            <w:r>
              <w:rPr>
                <w:rFonts w:asciiTheme="minorHAnsi" w:hAnsiTheme="minorHAnsi" w:eastAsiaTheme="minorEastAsia" w:cstheme="minorBidi"/>
                <w:b w:val="0"/>
                <w:caps w:val="0"/>
                <w:noProof/>
                <w:kern w:val="2"/>
                <w:sz w:val="24"/>
                <w:szCs w:val="24"/>
                <w14:ligatures w14:val="standardContextual"/>
              </w:rPr>
              <w:tab/>
            </w:r>
            <w:r w:rsidRPr="00F8043F">
              <w:rPr>
                <w:rStyle w:val="Hyperlink"/>
                <w:noProof/>
              </w:rPr>
              <w:t>Insurance</w:t>
            </w:r>
            <w:r>
              <w:rPr>
                <w:noProof/>
                <w:webHidden/>
              </w:rPr>
              <w:tab/>
            </w:r>
            <w:r>
              <w:rPr>
                <w:noProof/>
                <w:webHidden/>
              </w:rPr>
              <w:fldChar w:fldCharType="begin"/>
            </w:r>
            <w:r>
              <w:rPr>
                <w:noProof/>
                <w:webHidden/>
              </w:rPr>
              <w:instrText xml:space="preserve"> PAGEREF _Toc227838394 \h </w:instrText>
            </w:r>
            <w:r>
              <w:rPr>
                <w:noProof/>
                <w:webHidden/>
              </w:rPr>
            </w:r>
            <w:r>
              <w:rPr>
                <w:noProof/>
                <w:webHidden/>
              </w:rPr>
              <w:fldChar w:fldCharType="separate"/>
            </w:r>
            <w:r>
              <w:rPr>
                <w:noProof/>
                <w:webHidden/>
              </w:rPr>
              <w:t>52</w:t>
            </w:r>
            <w:r>
              <w:rPr>
                <w:noProof/>
                <w:webHidden/>
              </w:rPr>
              <w:fldChar w:fldCharType="end"/>
            </w:r>
          </w:hyperlink>
        </w:p>
        <w:p w:rsidR="009F4B0B" w:rsidRDefault="009F4B0B" w14:paraId="6EA2CA85" w14:textId="40AE5751">
          <w:pPr>
            <w:pStyle w:val="TOC2"/>
            <w:rPr>
              <w:rFonts w:asciiTheme="minorHAnsi" w:hAnsiTheme="minorHAnsi" w:eastAsiaTheme="minorEastAsia" w:cstheme="minorBidi"/>
              <w:noProof/>
              <w:kern w:val="2"/>
              <w:sz w:val="24"/>
              <w:szCs w:val="24"/>
              <w14:ligatures w14:val="standardContextual"/>
            </w:rPr>
          </w:pPr>
          <w:hyperlink w:history="1" w:anchor="_Toc227838395">
            <w:r w:rsidRPr="00F8043F">
              <w:rPr>
                <w:rStyle w:val="Hyperlink"/>
                <w:rFonts w:eastAsia="PMingLiU" w:cs="Arial"/>
                <w:caps/>
                <w:noProof/>
                <w:specVanish/>
              </w:rPr>
              <w:t>13.1</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Insurance Required of Seller.</w:t>
            </w:r>
            <w:r>
              <w:rPr>
                <w:noProof/>
                <w:webHidden/>
              </w:rPr>
              <w:tab/>
            </w:r>
            <w:r>
              <w:rPr>
                <w:noProof/>
                <w:webHidden/>
              </w:rPr>
              <w:fldChar w:fldCharType="begin"/>
            </w:r>
            <w:r>
              <w:rPr>
                <w:noProof/>
                <w:webHidden/>
              </w:rPr>
              <w:instrText xml:space="preserve"> PAGEREF _Toc227838395 \h </w:instrText>
            </w:r>
            <w:r>
              <w:rPr>
                <w:noProof/>
                <w:webHidden/>
              </w:rPr>
            </w:r>
            <w:r>
              <w:rPr>
                <w:noProof/>
                <w:webHidden/>
              </w:rPr>
              <w:fldChar w:fldCharType="separate"/>
            </w:r>
            <w:r>
              <w:rPr>
                <w:noProof/>
                <w:webHidden/>
              </w:rPr>
              <w:t>52</w:t>
            </w:r>
            <w:r>
              <w:rPr>
                <w:noProof/>
                <w:webHidden/>
              </w:rPr>
              <w:fldChar w:fldCharType="end"/>
            </w:r>
          </w:hyperlink>
        </w:p>
        <w:p w:rsidR="009F4B0B" w:rsidRDefault="009F4B0B" w14:paraId="76403CF6" w14:textId="110FB7CB">
          <w:pPr>
            <w:pStyle w:val="TOC2"/>
            <w:rPr>
              <w:rFonts w:asciiTheme="minorHAnsi" w:hAnsiTheme="minorHAnsi" w:eastAsiaTheme="minorEastAsia" w:cstheme="minorBidi"/>
              <w:noProof/>
              <w:kern w:val="2"/>
              <w:sz w:val="24"/>
              <w:szCs w:val="24"/>
              <w14:ligatures w14:val="standardContextual"/>
            </w:rPr>
          </w:pPr>
          <w:hyperlink w:history="1" w:anchor="_Toc227838396">
            <w:r w:rsidRPr="00F8043F">
              <w:rPr>
                <w:rStyle w:val="Hyperlink"/>
                <w:rFonts w:eastAsia="PMingLiU" w:cs="Arial"/>
                <w:caps/>
                <w:noProof/>
                <w:specVanish/>
              </w:rPr>
              <w:t>13.2</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Proof of Insurance.</w:t>
            </w:r>
            <w:r>
              <w:rPr>
                <w:noProof/>
                <w:webHidden/>
              </w:rPr>
              <w:tab/>
            </w:r>
            <w:r>
              <w:rPr>
                <w:noProof/>
                <w:webHidden/>
              </w:rPr>
              <w:fldChar w:fldCharType="begin"/>
            </w:r>
            <w:r>
              <w:rPr>
                <w:noProof/>
                <w:webHidden/>
              </w:rPr>
              <w:instrText xml:space="preserve"> PAGEREF _Toc227838396 \h </w:instrText>
            </w:r>
            <w:r>
              <w:rPr>
                <w:noProof/>
                <w:webHidden/>
              </w:rPr>
            </w:r>
            <w:r>
              <w:rPr>
                <w:noProof/>
                <w:webHidden/>
              </w:rPr>
              <w:fldChar w:fldCharType="separate"/>
            </w:r>
            <w:r>
              <w:rPr>
                <w:noProof/>
                <w:webHidden/>
              </w:rPr>
              <w:t>52</w:t>
            </w:r>
            <w:r>
              <w:rPr>
                <w:noProof/>
                <w:webHidden/>
              </w:rPr>
              <w:fldChar w:fldCharType="end"/>
            </w:r>
          </w:hyperlink>
        </w:p>
        <w:p w:rsidR="009F4B0B" w:rsidRDefault="009F4B0B" w14:paraId="196F91E5" w14:textId="67E558B9">
          <w:pPr>
            <w:pStyle w:val="TOC2"/>
            <w:rPr>
              <w:rFonts w:asciiTheme="minorHAnsi" w:hAnsiTheme="minorHAnsi" w:eastAsiaTheme="minorEastAsia" w:cstheme="minorBidi"/>
              <w:noProof/>
              <w:kern w:val="2"/>
              <w:sz w:val="24"/>
              <w:szCs w:val="24"/>
              <w14:ligatures w14:val="standardContextual"/>
            </w:rPr>
          </w:pPr>
          <w:hyperlink w:history="1" w:anchor="_Toc227838397">
            <w:r w:rsidRPr="00F8043F">
              <w:rPr>
                <w:rStyle w:val="Hyperlink"/>
                <w:rFonts w:eastAsia="PMingLiU" w:cs="Arial"/>
                <w:caps/>
                <w:noProof/>
                <w:specVanish/>
              </w:rPr>
              <w:t>13.3</w:t>
            </w:r>
            <w:r>
              <w:rPr>
                <w:rFonts w:asciiTheme="minorHAnsi" w:hAnsiTheme="minorHAnsi" w:eastAsiaTheme="minorEastAsia" w:cstheme="minorBidi"/>
                <w:noProof/>
                <w:kern w:val="2"/>
                <w:sz w:val="24"/>
                <w:szCs w:val="24"/>
                <w14:ligatures w14:val="standardContextual"/>
              </w:rPr>
              <w:tab/>
            </w:r>
            <w:r w:rsidRPr="00F8043F">
              <w:rPr>
                <w:rStyle w:val="Hyperlink"/>
                <w:noProof/>
              </w:rPr>
              <w:t>General Terms.</w:t>
            </w:r>
            <w:r>
              <w:rPr>
                <w:noProof/>
                <w:webHidden/>
              </w:rPr>
              <w:tab/>
            </w:r>
            <w:r>
              <w:rPr>
                <w:noProof/>
                <w:webHidden/>
              </w:rPr>
              <w:fldChar w:fldCharType="begin"/>
            </w:r>
            <w:r>
              <w:rPr>
                <w:noProof/>
                <w:webHidden/>
              </w:rPr>
              <w:instrText xml:space="preserve"> PAGEREF _Toc227838397 \h </w:instrText>
            </w:r>
            <w:r>
              <w:rPr>
                <w:noProof/>
                <w:webHidden/>
              </w:rPr>
            </w:r>
            <w:r>
              <w:rPr>
                <w:noProof/>
                <w:webHidden/>
              </w:rPr>
              <w:fldChar w:fldCharType="separate"/>
            </w:r>
            <w:r>
              <w:rPr>
                <w:noProof/>
                <w:webHidden/>
              </w:rPr>
              <w:t>52</w:t>
            </w:r>
            <w:r>
              <w:rPr>
                <w:noProof/>
                <w:webHidden/>
              </w:rPr>
              <w:fldChar w:fldCharType="end"/>
            </w:r>
          </w:hyperlink>
        </w:p>
        <w:p w:rsidR="009F4B0B" w:rsidRDefault="009F4B0B" w14:paraId="683CC0A7" w14:textId="0F00B67F">
          <w:pPr>
            <w:pStyle w:val="TOC2"/>
            <w:rPr>
              <w:rFonts w:asciiTheme="minorHAnsi" w:hAnsiTheme="minorHAnsi" w:eastAsiaTheme="minorEastAsia" w:cstheme="minorBidi"/>
              <w:noProof/>
              <w:kern w:val="2"/>
              <w:sz w:val="24"/>
              <w:szCs w:val="24"/>
              <w14:ligatures w14:val="standardContextual"/>
            </w:rPr>
          </w:pPr>
          <w:hyperlink w:history="1" w:anchor="_Toc227838398">
            <w:r w:rsidRPr="00F8043F">
              <w:rPr>
                <w:rStyle w:val="Hyperlink"/>
                <w:rFonts w:eastAsia="PMingLiU" w:cs="Arial"/>
                <w:caps/>
                <w:noProof/>
                <w:specVanish/>
              </w:rPr>
              <w:t>13.4</w:t>
            </w:r>
            <w:r>
              <w:rPr>
                <w:rFonts w:asciiTheme="minorHAnsi" w:hAnsiTheme="minorHAnsi" w:eastAsiaTheme="minorEastAsia" w:cstheme="minorBidi"/>
                <w:noProof/>
                <w:kern w:val="2"/>
                <w:sz w:val="24"/>
                <w:szCs w:val="24"/>
                <w14:ligatures w14:val="standardContextual"/>
              </w:rPr>
              <w:tab/>
            </w:r>
            <w:r w:rsidRPr="00F8043F">
              <w:rPr>
                <w:rStyle w:val="Hyperlink"/>
                <w:rFonts w:eastAsia="PMingLiU"/>
                <w:noProof/>
              </w:rPr>
              <w:t>Required Insurance.</w:t>
            </w:r>
            <w:r>
              <w:rPr>
                <w:noProof/>
                <w:webHidden/>
              </w:rPr>
              <w:tab/>
            </w:r>
            <w:r>
              <w:rPr>
                <w:noProof/>
                <w:webHidden/>
              </w:rPr>
              <w:fldChar w:fldCharType="begin"/>
            </w:r>
            <w:r>
              <w:rPr>
                <w:noProof/>
                <w:webHidden/>
              </w:rPr>
              <w:instrText xml:space="preserve"> PAGEREF _Toc227838398 \h </w:instrText>
            </w:r>
            <w:r>
              <w:rPr>
                <w:noProof/>
                <w:webHidden/>
              </w:rPr>
            </w:r>
            <w:r>
              <w:rPr>
                <w:noProof/>
                <w:webHidden/>
              </w:rPr>
              <w:fldChar w:fldCharType="separate"/>
            </w:r>
            <w:r>
              <w:rPr>
                <w:noProof/>
                <w:webHidden/>
              </w:rPr>
              <w:t>52</w:t>
            </w:r>
            <w:r>
              <w:rPr>
                <w:noProof/>
                <w:webHidden/>
              </w:rPr>
              <w:fldChar w:fldCharType="end"/>
            </w:r>
          </w:hyperlink>
        </w:p>
        <w:p w:rsidR="009F4B0B" w:rsidRDefault="009F4B0B" w14:paraId="7DB7A4ED" w14:textId="4337AF42">
          <w:pPr>
            <w:pStyle w:val="TOC2"/>
            <w:rPr>
              <w:rFonts w:asciiTheme="minorHAnsi" w:hAnsiTheme="minorHAnsi" w:eastAsiaTheme="minorEastAsia" w:cstheme="minorBidi"/>
              <w:noProof/>
              <w:kern w:val="2"/>
              <w:sz w:val="24"/>
              <w:szCs w:val="24"/>
              <w14:ligatures w14:val="standardContextual"/>
            </w:rPr>
          </w:pPr>
          <w:hyperlink w:history="1" w:anchor="_Toc227838399">
            <w:r w:rsidRPr="00F8043F">
              <w:rPr>
                <w:rStyle w:val="Hyperlink"/>
                <w:rFonts w:eastAsia="PMingLiU" w:cs="Arial"/>
                <w:caps/>
                <w:noProof/>
                <w:specVanish/>
              </w:rPr>
              <w:t>13.5</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Notice of Change or Cancellation.</w:t>
            </w:r>
            <w:r>
              <w:rPr>
                <w:noProof/>
                <w:webHidden/>
              </w:rPr>
              <w:tab/>
            </w:r>
            <w:r>
              <w:rPr>
                <w:noProof/>
                <w:webHidden/>
              </w:rPr>
              <w:fldChar w:fldCharType="begin"/>
            </w:r>
            <w:r>
              <w:rPr>
                <w:noProof/>
                <w:webHidden/>
              </w:rPr>
              <w:instrText xml:space="preserve"> PAGEREF _Toc227838399 \h </w:instrText>
            </w:r>
            <w:r>
              <w:rPr>
                <w:noProof/>
                <w:webHidden/>
              </w:rPr>
            </w:r>
            <w:r>
              <w:rPr>
                <w:noProof/>
                <w:webHidden/>
              </w:rPr>
              <w:fldChar w:fldCharType="separate"/>
            </w:r>
            <w:r>
              <w:rPr>
                <w:noProof/>
                <w:webHidden/>
              </w:rPr>
              <w:t>53</w:t>
            </w:r>
            <w:r>
              <w:rPr>
                <w:noProof/>
                <w:webHidden/>
              </w:rPr>
              <w:fldChar w:fldCharType="end"/>
            </w:r>
          </w:hyperlink>
        </w:p>
        <w:p w:rsidR="009F4B0B" w:rsidRDefault="009F4B0B" w14:paraId="093F0546" w14:textId="4800613C">
          <w:pPr>
            <w:pStyle w:val="TOC2"/>
            <w:rPr>
              <w:rFonts w:asciiTheme="minorHAnsi" w:hAnsiTheme="minorHAnsi" w:eastAsiaTheme="minorEastAsia" w:cstheme="minorBidi"/>
              <w:noProof/>
              <w:kern w:val="2"/>
              <w:sz w:val="24"/>
              <w:szCs w:val="24"/>
              <w14:ligatures w14:val="standardContextual"/>
            </w:rPr>
          </w:pPr>
          <w:hyperlink w:history="1" w:anchor="_Toc227838400">
            <w:r w:rsidRPr="00F8043F">
              <w:rPr>
                <w:rStyle w:val="Hyperlink"/>
                <w:rFonts w:eastAsia="PMingLiU" w:cs="Arial"/>
                <w:caps/>
                <w:noProof/>
                <w:specVanish/>
              </w:rPr>
              <w:t>13.6</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Payment of Premiums.</w:t>
            </w:r>
            <w:r>
              <w:rPr>
                <w:noProof/>
                <w:webHidden/>
              </w:rPr>
              <w:tab/>
            </w:r>
            <w:r>
              <w:rPr>
                <w:noProof/>
                <w:webHidden/>
              </w:rPr>
              <w:fldChar w:fldCharType="begin"/>
            </w:r>
            <w:r>
              <w:rPr>
                <w:noProof/>
                <w:webHidden/>
              </w:rPr>
              <w:instrText xml:space="preserve"> PAGEREF _Toc227838400 \h </w:instrText>
            </w:r>
            <w:r>
              <w:rPr>
                <w:noProof/>
                <w:webHidden/>
              </w:rPr>
            </w:r>
            <w:r>
              <w:rPr>
                <w:noProof/>
                <w:webHidden/>
              </w:rPr>
              <w:fldChar w:fldCharType="separate"/>
            </w:r>
            <w:r>
              <w:rPr>
                <w:noProof/>
                <w:webHidden/>
              </w:rPr>
              <w:t>53</w:t>
            </w:r>
            <w:r>
              <w:rPr>
                <w:noProof/>
                <w:webHidden/>
              </w:rPr>
              <w:fldChar w:fldCharType="end"/>
            </w:r>
          </w:hyperlink>
        </w:p>
        <w:p w:rsidR="009F4B0B" w:rsidRDefault="009F4B0B" w14:paraId="51B9F491" w14:textId="5D609479">
          <w:pPr>
            <w:pStyle w:val="TOC2"/>
            <w:rPr>
              <w:rFonts w:asciiTheme="minorHAnsi" w:hAnsiTheme="minorHAnsi" w:eastAsiaTheme="minorEastAsia" w:cstheme="minorBidi"/>
              <w:noProof/>
              <w:kern w:val="2"/>
              <w:sz w:val="24"/>
              <w:szCs w:val="24"/>
              <w14:ligatures w14:val="standardContextual"/>
            </w:rPr>
          </w:pPr>
          <w:hyperlink w:history="1" w:anchor="_Toc227838401">
            <w:r w:rsidRPr="00F8043F">
              <w:rPr>
                <w:rStyle w:val="Hyperlink"/>
                <w:rFonts w:eastAsia="PMingLiU" w:cs="Arial"/>
                <w:caps/>
                <w:noProof/>
                <w:specVanish/>
              </w:rPr>
              <w:t>13.7</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No Waiver of Liability.</w:t>
            </w:r>
            <w:r>
              <w:rPr>
                <w:noProof/>
                <w:webHidden/>
              </w:rPr>
              <w:tab/>
            </w:r>
            <w:r>
              <w:rPr>
                <w:noProof/>
                <w:webHidden/>
              </w:rPr>
              <w:fldChar w:fldCharType="begin"/>
            </w:r>
            <w:r>
              <w:rPr>
                <w:noProof/>
                <w:webHidden/>
              </w:rPr>
              <w:instrText xml:space="preserve"> PAGEREF _Toc227838401 \h </w:instrText>
            </w:r>
            <w:r>
              <w:rPr>
                <w:noProof/>
                <w:webHidden/>
              </w:rPr>
            </w:r>
            <w:r>
              <w:rPr>
                <w:noProof/>
                <w:webHidden/>
              </w:rPr>
              <w:fldChar w:fldCharType="separate"/>
            </w:r>
            <w:r>
              <w:rPr>
                <w:noProof/>
                <w:webHidden/>
              </w:rPr>
              <w:t>53</w:t>
            </w:r>
            <w:r>
              <w:rPr>
                <w:noProof/>
                <w:webHidden/>
              </w:rPr>
              <w:fldChar w:fldCharType="end"/>
            </w:r>
          </w:hyperlink>
        </w:p>
        <w:p w:rsidR="009F4B0B" w:rsidRDefault="009F4B0B" w14:paraId="65E849F9" w14:textId="1C365F36">
          <w:pPr>
            <w:pStyle w:val="TOC1"/>
            <w:rPr>
              <w:rFonts w:asciiTheme="minorHAnsi" w:hAnsiTheme="minorHAnsi" w:eastAsiaTheme="minorEastAsia" w:cstheme="minorBidi"/>
              <w:b w:val="0"/>
              <w:caps w:val="0"/>
              <w:noProof/>
              <w:kern w:val="2"/>
              <w:sz w:val="24"/>
              <w:szCs w:val="24"/>
              <w14:ligatures w14:val="standardContextual"/>
            </w:rPr>
          </w:pPr>
          <w:hyperlink w:history="1" w:anchor="_Toc227838402">
            <w:r w:rsidRPr="00F8043F">
              <w:rPr>
                <w:rStyle w:val="Hyperlink"/>
                <w:noProof/>
                <w14:scene3d>
                  <w14:camera w14:prst="orthographicFront"/>
                  <w14:lightRig w14:rig="threePt" w14:dir="t">
                    <w14:rot w14:lat="0" w14:lon="0" w14:rev="0"/>
                  </w14:lightRig>
                </w14:scene3d>
                <w14:props3d w14:extrusionH="0" w14:contourW="0" w14:prstMaterial="warmMatte"/>
              </w:rPr>
              <w:t>Part 14.</w:t>
            </w:r>
            <w:r>
              <w:rPr>
                <w:rFonts w:asciiTheme="minorHAnsi" w:hAnsiTheme="minorHAnsi" w:eastAsiaTheme="minorEastAsia" w:cstheme="minorBidi"/>
                <w:b w:val="0"/>
                <w:caps w:val="0"/>
                <w:noProof/>
                <w:kern w:val="2"/>
                <w:sz w:val="24"/>
                <w:szCs w:val="24"/>
                <w14:ligatures w14:val="standardContextual"/>
              </w:rPr>
              <w:tab/>
            </w:r>
            <w:r w:rsidRPr="00F8043F">
              <w:rPr>
                <w:rStyle w:val="Hyperlink"/>
                <w:noProof/>
              </w:rPr>
              <w:t>Risk and Claims</w:t>
            </w:r>
            <w:r>
              <w:rPr>
                <w:noProof/>
                <w:webHidden/>
              </w:rPr>
              <w:tab/>
            </w:r>
            <w:r>
              <w:rPr>
                <w:noProof/>
                <w:webHidden/>
              </w:rPr>
              <w:fldChar w:fldCharType="begin"/>
            </w:r>
            <w:r>
              <w:rPr>
                <w:noProof/>
                <w:webHidden/>
              </w:rPr>
              <w:instrText xml:space="preserve"> PAGEREF _Toc227838402 \h </w:instrText>
            </w:r>
            <w:r>
              <w:rPr>
                <w:noProof/>
                <w:webHidden/>
              </w:rPr>
            </w:r>
            <w:r>
              <w:rPr>
                <w:noProof/>
                <w:webHidden/>
              </w:rPr>
              <w:fldChar w:fldCharType="separate"/>
            </w:r>
            <w:r>
              <w:rPr>
                <w:noProof/>
                <w:webHidden/>
              </w:rPr>
              <w:t>54</w:t>
            </w:r>
            <w:r>
              <w:rPr>
                <w:noProof/>
                <w:webHidden/>
              </w:rPr>
              <w:fldChar w:fldCharType="end"/>
            </w:r>
          </w:hyperlink>
        </w:p>
        <w:p w:rsidR="009F4B0B" w:rsidRDefault="009F4B0B" w14:paraId="1B6AB37F" w14:textId="344038A2">
          <w:pPr>
            <w:pStyle w:val="TOC2"/>
            <w:rPr>
              <w:rFonts w:asciiTheme="minorHAnsi" w:hAnsiTheme="minorHAnsi" w:eastAsiaTheme="minorEastAsia" w:cstheme="minorBidi"/>
              <w:noProof/>
              <w:kern w:val="2"/>
              <w:sz w:val="24"/>
              <w:szCs w:val="24"/>
              <w14:ligatures w14:val="standardContextual"/>
            </w:rPr>
          </w:pPr>
          <w:hyperlink w:history="1" w:anchor="_Toc227838403">
            <w:r w:rsidRPr="00F8043F">
              <w:rPr>
                <w:rStyle w:val="Hyperlink"/>
                <w:rFonts w:eastAsia="PMingLiU" w:cs="Arial"/>
                <w:caps/>
                <w:noProof/>
                <w:specVanish/>
              </w:rPr>
              <w:t>14.1</w:t>
            </w:r>
            <w:r>
              <w:rPr>
                <w:rFonts w:asciiTheme="minorHAnsi" w:hAnsiTheme="minorHAnsi" w:eastAsiaTheme="minorEastAsia" w:cstheme="minorBidi"/>
                <w:noProof/>
                <w:kern w:val="2"/>
                <w:sz w:val="24"/>
                <w:szCs w:val="24"/>
                <w14:ligatures w14:val="standardContextual"/>
              </w:rPr>
              <w:tab/>
            </w:r>
            <w:r w:rsidRPr="00F8043F">
              <w:rPr>
                <w:rStyle w:val="Hyperlink"/>
                <w:rFonts w:eastAsia="PMingLiU"/>
                <w:noProof/>
              </w:rPr>
              <w:t>Liability for Facility.</w:t>
            </w:r>
            <w:r>
              <w:rPr>
                <w:noProof/>
                <w:webHidden/>
              </w:rPr>
              <w:tab/>
            </w:r>
            <w:r>
              <w:rPr>
                <w:noProof/>
                <w:webHidden/>
              </w:rPr>
              <w:fldChar w:fldCharType="begin"/>
            </w:r>
            <w:r>
              <w:rPr>
                <w:noProof/>
                <w:webHidden/>
              </w:rPr>
              <w:instrText xml:space="preserve"> PAGEREF _Toc227838403 \h </w:instrText>
            </w:r>
            <w:r>
              <w:rPr>
                <w:noProof/>
                <w:webHidden/>
              </w:rPr>
            </w:r>
            <w:r>
              <w:rPr>
                <w:noProof/>
                <w:webHidden/>
              </w:rPr>
              <w:fldChar w:fldCharType="separate"/>
            </w:r>
            <w:r>
              <w:rPr>
                <w:noProof/>
                <w:webHidden/>
              </w:rPr>
              <w:t>54</w:t>
            </w:r>
            <w:r>
              <w:rPr>
                <w:noProof/>
                <w:webHidden/>
              </w:rPr>
              <w:fldChar w:fldCharType="end"/>
            </w:r>
          </w:hyperlink>
        </w:p>
        <w:p w:rsidR="009F4B0B" w:rsidRDefault="009F4B0B" w14:paraId="6774C109" w14:textId="2F8D0DFA">
          <w:pPr>
            <w:pStyle w:val="TOC2"/>
            <w:rPr>
              <w:rFonts w:asciiTheme="minorHAnsi" w:hAnsiTheme="minorHAnsi" w:eastAsiaTheme="minorEastAsia" w:cstheme="minorBidi"/>
              <w:noProof/>
              <w:kern w:val="2"/>
              <w:sz w:val="24"/>
              <w:szCs w:val="24"/>
              <w14:ligatures w14:val="standardContextual"/>
            </w:rPr>
          </w:pPr>
          <w:hyperlink w:history="1" w:anchor="_Toc227838404">
            <w:r w:rsidRPr="00F8043F">
              <w:rPr>
                <w:rStyle w:val="Hyperlink"/>
                <w:rFonts w:eastAsia="PMingLiU" w:cs="Arial"/>
                <w:caps/>
                <w:noProof/>
                <w:specVanish/>
              </w:rPr>
              <w:t>14.2</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No Liability.</w:t>
            </w:r>
            <w:r>
              <w:rPr>
                <w:noProof/>
                <w:webHidden/>
              </w:rPr>
              <w:tab/>
            </w:r>
            <w:r>
              <w:rPr>
                <w:noProof/>
                <w:webHidden/>
              </w:rPr>
              <w:fldChar w:fldCharType="begin"/>
            </w:r>
            <w:r>
              <w:rPr>
                <w:noProof/>
                <w:webHidden/>
              </w:rPr>
              <w:instrText xml:space="preserve"> PAGEREF _Toc227838404 \h </w:instrText>
            </w:r>
            <w:r>
              <w:rPr>
                <w:noProof/>
                <w:webHidden/>
              </w:rPr>
            </w:r>
            <w:r>
              <w:rPr>
                <w:noProof/>
                <w:webHidden/>
              </w:rPr>
              <w:fldChar w:fldCharType="separate"/>
            </w:r>
            <w:r>
              <w:rPr>
                <w:noProof/>
                <w:webHidden/>
              </w:rPr>
              <w:t>54</w:t>
            </w:r>
            <w:r>
              <w:rPr>
                <w:noProof/>
                <w:webHidden/>
              </w:rPr>
              <w:fldChar w:fldCharType="end"/>
            </w:r>
          </w:hyperlink>
        </w:p>
        <w:p w:rsidR="009F4B0B" w:rsidRDefault="009F4B0B" w14:paraId="051E756D" w14:textId="1F213005">
          <w:pPr>
            <w:pStyle w:val="TOC2"/>
            <w:rPr>
              <w:rFonts w:asciiTheme="minorHAnsi" w:hAnsiTheme="minorHAnsi" w:eastAsiaTheme="minorEastAsia" w:cstheme="minorBidi"/>
              <w:noProof/>
              <w:kern w:val="2"/>
              <w:sz w:val="24"/>
              <w:szCs w:val="24"/>
              <w14:ligatures w14:val="standardContextual"/>
            </w:rPr>
          </w:pPr>
          <w:hyperlink w:history="1" w:anchor="_Toc227838405">
            <w:r w:rsidRPr="00F8043F">
              <w:rPr>
                <w:rStyle w:val="Hyperlink"/>
                <w:rFonts w:eastAsia="PMingLiU"/>
                <w:caps/>
                <w:noProof/>
                <w:specVanish/>
              </w:rPr>
              <w:t>14.3</w:t>
            </w:r>
            <w:r>
              <w:rPr>
                <w:rFonts w:asciiTheme="minorHAnsi" w:hAnsiTheme="minorHAnsi" w:eastAsiaTheme="minorEastAsia" w:cstheme="minorBidi"/>
                <w:noProof/>
                <w:kern w:val="2"/>
                <w:sz w:val="24"/>
                <w:szCs w:val="24"/>
                <w14:ligatures w14:val="standardContextual"/>
              </w:rPr>
              <w:tab/>
            </w:r>
            <w:r w:rsidRPr="00F8043F">
              <w:rPr>
                <w:rStyle w:val="Hyperlink"/>
                <w:noProof/>
              </w:rPr>
              <w:t>Scope of Indemnity.</w:t>
            </w:r>
            <w:r>
              <w:rPr>
                <w:noProof/>
                <w:webHidden/>
              </w:rPr>
              <w:tab/>
            </w:r>
            <w:r>
              <w:rPr>
                <w:noProof/>
                <w:webHidden/>
              </w:rPr>
              <w:fldChar w:fldCharType="begin"/>
            </w:r>
            <w:r>
              <w:rPr>
                <w:noProof/>
                <w:webHidden/>
              </w:rPr>
              <w:instrText xml:space="preserve"> PAGEREF _Toc227838405 \h </w:instrText>
            </w:r>
            <w:r>
              <w:rPr>
                <w:noProof/>
                <w:webHidden/>
              </w:rPr>
            </w:r>
            <w:r>
              <w:rPr>
                <w:noProof/>
                <w:webHidden/>
              </w:rPr>
              <w:fldChar w:fldCharType="separate"/>
            </w:r>
            <w:r>
              <w:rPr>
                <w:noProof/>
                <w:webHidden/>
              </w:rPr>
              <w:t>54</w:t>
            </w:r>
            <w:r>
              <w:rPr>
                <w:noProof/>
                <w:webHidden/>
              </w:rPr>
              <w:fldChar w:fldCharType="end"/>
            </w:r>
          </w:hyperlink>
        </w:p>
        <w:p w:rsidR="009F4B0B" w:rsidRDefault="009F4B0B" w14:paraId="7C8B9370" w14:textId="2F240A93">
          <w:pPr>
            <w:pStyle w:val="TOC2"/>
            <w:rPr>
              <w:rFonts w:asciiTheme="minorHAnsi" w:hAnsiTheme="minorHAnsi" w:eastAsiaTheme="minorEastAsia" w:cstheme="minorBidi"/>
              <w:noProof/>
              <w:kern w:val="2"/>
              <w:sz w:val="24"/>
              <w:szCs w:val="24"/>
              <w14:ligatures w14:val="standardContextual"/>
            </w:rPr>
          </w:pPr>
          <w:hyperlink w:history="1" w:anchor="_Toc227838406">
            <w:r w:rsidRPr="00F8043F">
              <w:rPr>
                <w:rStyle w:val="Hyperlink"/>
                <w:rFonts w:eastAsia="PMingLiU"/>
                <w:caps/>
                <w:noProof/>
                <w:specVanish/>
              </w:rPr>
              <w:t>14.4</w:t>
            </w:r>
            <w:r>
              <w:rPr>
                <w:rFonts w:asciiTheme="minorHAnsi" w:hAnsiTheme="minorHAnsi" w:eastAsiaTheme="minorEastAsia" w:cstheme="minorBidi"/>
                <w:noProof/>
                <w:kern w:val="2"/>
                <w:sz w:val="24"/>
                <w:szCs w:val="24"/>
                <w14:ligatures w14:val="standardContextual"/>
              </w:rPr>
              <w:tab/>
            </w:r>
            <w:r w:rsidRPr="00F8043F">
              <w:rPr>
                <w:rStyle w:val="Hyperlink"/>
                <w:noProof/>
              </w:rPr>
              <w:t>Survival</w:t>
            </w:r>
            <w:r w:rsidRPr="00F8043F">
              <w:rPr>
                <w:rStyle w:val="Hyperlink"/>
                <w:bCs/>
                <w:noProof/>
              </w:rPr>
              <w:t>.</w:t>
            </w:r>
            <w:r>
              <w:rPr>
                <w:noProof/>
                <w:webHidden/>
              </w:rPr>
              <w:tab/>
            </w:r>
            <w:r>
              <w:rPr>
                <w:noProof/>
                <w:webHidden/>
              </w:rPr>
              <w:fldChar w:fldCharType="begin"/>
            </w:r>
            <w:r>
              <w:rPr>
                <w:noProof/>
                <w:webHidden/>
              </w:rPr>
              <w:instrText xml:space="preserve"> PAGEREF _Toc227838406 \h </w:instrText>
            </w:r>
            <w:r>
              <w:rPr>
                <w:noProof/>
                <w:webHidden/>
              </w:rPr>
            </w:r>
            <w:r>
              <w:rPr>
                <w:noProof/>
                <w:webHidden/>
              </w:rPr>
              <w:fldChar w:fldCharType="separate"/>
            </w:r>
            <w:r>
              <w:rPr>
                <w:noProof/>
                <w:webHidden/>
              </w:rPr>
              <w:t>54</w:t>
            </w:r>
            <w:r>
              <w:rPr>
                <w:noProof/>
                <w:webHidden/>
              </w:rPr>
              <w:fldChar w:fldCharType="end"/>
            </w:r>
          </w:hyperlink>
        </w:p>
        <w:p w:rsidR="009F4B0B" w:rsidRDefault="009F4B0B" w14:paraId="11A41C69" w14:textId="3800FCC4">
          <w:pPr>
            <w:pStyle w:val="TOC1"/>
            <w:rPr>
              <w:rFonts w:asciiTheme="minorHAnsi" w:hAnsiTheme="minorHAnsi" w:eastAsiaTheme="minorEastAsia" w:cstheme="minorBidi"/>
              <w:b w:val="0"/>
              <w:caps w:val="0"/>
              <w:noProof/>
              <w:kern w:val="2"/>
              <w:sz w:val="24"/>
              <w:szCs w:val="24"/>
              <w14:ligatures w14:val="standardContextual"/>
            </w:rPr>
          </w:pPr>
          <w:hyperlink w:history="1" w:anchor="_Toc227838407">
            <w:r w:rsidRPr="00F8043F">
              <w:rPr>
                <w:rStyle w:val="Hyperlink"/>
                <w:noProof/>
                <w14:scene3d>
                  <w14:camera w14:prst="orthographicFront"/>
                  <w14:lightRig w14:rig="threePt" w14:dir="t">
                    <w14:rot w14:lat="0" w14:lon="0" w14:rev="0"/>
                  </w14:lightRig>
                </w14:scene3d>
                <w14:props3d w14:extrusionH="0" w14:contourW="0" w14:prstMaterial="warmMatte"/>
              </w:rPr>
              <w:t>Part 15.</w:t>
            </w:r>
            <w:r>
              <w:rPr>
                <w:rFonts w:asciiTheme="minorHAnsi" w:hAnsiTheme="minorHAnsi" w:eastAsiaTheme="minorEastAsia" w:cstheme="minorBidi"/>
                <w:b w:val="0"/>
                <w:caps w:val="0"/>
                <w:noProof/>
                <w:kern w:val="2"/>
                <w:sz w:val="24"/>
                <w:szCs w:val="24"/>
                <w14:ligatures w14:val="standardContextual"/>
              </w:rPr>
              <w:tab/>
            </w:r>
            <w:r w:rsidRPr="00F8043F">
              <w:rPr>
                <w:rStyle w:val="Hyperlink"/>
                <w:noProof/>
              </w:rPr>
              <w:t>Force Majeure</w:t>
            </w:r>
            <w:r>
              <w:rPr>
                <w:noProof/>
                <w:webHidden/>
              </w:rPr>
              <w:tab/>
            </w:r>
            <w:r>
              <w:rPr>
                <w:noProof/>
                <w:webHidden/>
              </w:rPr>
              <w:fldChar w:fldCharType="begin"/>
            </w:r>
            <w:r>
              <w:rPr>
                <w:noProof/>
                <w:webHidden/>
              </w:rPr>
              <w:instrText xml:space="preserve"> PAGEREF _Toc227838407 \h </w:instrText>
            </w:r>
            <w:r>
              <w:rPr>
                <w:noProof/>
                <w:webHidden/>
              </w:rPr>
            </w:r>
            <w:r>
              <w:rPr>
                <w:noProof/>
                <w:webHidden/>
              </w:rPr>
              <w:fldChar w:fldCharType="separate"/>
            </w:r>
            <w:r>
              <w:rPr>
                <w:noProof/>
                <w:webHidden/>
              </w:rPr>
              <w:t>54</w:t>
            </w:r>
            <w:r>
              <w:rPr>
                <w:noProof/>
                <w:webHidden/>
              </w:rPr>
              <w:fldChar w:fldCharType="end"/>
            </w:r>
          </w:hyperlink>
        </w:p>
        <w:p w:rsidR="009F4B0B" w:rsidRDefault="009F4B0B" w14:paraId="5FE2B133" w14:textId="74510CCE">
          <w:pPr>
            <w:pStyle w:val="TOC2"/>
            <w:rPr>
              <w:rFonts w:asciiTheme="minorHAnsi" w:hAnsiTheme="minorHAnsi" w:eastAsiaTheme="minorEastAsia" w:cstheme="minorBidi"/>
              <w:noProof/>
              <w:kern w:val="2"/>
              <w:sz w:val="24"/>
              <w:szCs w:val="24"/>
              <w14:ligatures w14:val="standardContextual"/>
            </w:rPr>
          </w:pPr>
          <w:hyperlink w:history="1" w:anchor="_Toc227838408">
            <w:r w:rsidRPr="00F8043F">
              <w:rPr>
                <w:rStyle w:val="Hyperlink"/>
                <w:rFonts w:eastAsia="PMingLiU" w:cs="Arial"/>
                <w:caps/>
                <w:noProof/>
                <w:specVanish/>
              </w:rPr>
              <w:t>15.1</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Definition of Force Majeure Event.</w:t>
            </w:r>
            <w:r>
              <w:rPr>
                <w:noProof/>
                <w:webHidden/>
              </w:rPr>
              <w:tab/>
            </w:r>
            <w:r>
              <w:rPr>
                <w:noProof/>
                <w:webHidden/>
              </w:rPr>
              <w:fldChar w:fldCharType="begin"/>
            </w:r>
            <w:r>
              <w:rPr>
                <w:noProof/>
                <w:webHidden/>
              </w:rPr>
              <w:instrText xml:space="preserve"> PAGEREF _Toc227838408 \h </w:instrText>
            </w:r>
            <w:r>
              <w:rPr>
                <w:noProof/>
                <w:webHidden/>
              </w:rPr>
            </w:r>
            <w:r>
              <w:rPr>
                <w:noProof/>
                <w:webHidden/>
              </w:rPr>
              <w:fldChar w:fldCharType="separate"/>
            </w:r>
            <w:r>
              <w:rPr>
                <w:noProof/>
                <w:webHidden/>
              </w:rPr>
              <w:t>54</w:t>
            </w:r>
            <w:r>
              <w:rPr>
                <w:noProof/>
                <w:webHidden/>
              </w:rPr>
              <w:fldChar w:fldCharType="end"/>
            </w:r>
          </w:hyperlink>
        </w:p>
        <w:p w:rsidR="009F4B0B" w:rsidRDefault="009F4B0B" w14:paraId="16B4CF31" w14:textId="1749A667">
          <w:pPr>
            <w:pStyle w:val="TOC2"/>
            <w:rPr>
              <w:rFonts w:asciiTheme="minorHAnsi" w:hAnsiTheme="minorHAnsi" w:eastAsiaTheme="minorEastAsia" w:cstheme="minorBidi"/>
              <w:noProof/>
              <w:kern w:val="2"/>
              <w:sz w:val="24"/>
              <w:szCs w:val="24"/>
              <w14:ligatures w14:val="standardContextual"/>
            </w:rPr>
          </w:pPr>
          <w:hyperlink w:history="1" w:anchor="_Toc227838409">
            <w:r w:rsidRPr="00F8043F">
              <w:rPr>
                <w:rStyle w:val="Hyperlink"/>
                <w:rFonts w:eastAsia="PMingLiU"/>
                <w:caps/>
                <w:noProof/>
                <w:specVanish/>
              </w:rPr>
              <w:t>15.2</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Force Majeure Exclusions.</w:t>
            </w:r>
            <w:r>
              <w:rPr>
                <w:noProof/>
                <w:webHidden/>
              </w:rPr>
              <w:tab/>
            </w:r>
            <w:r>
              <w:rPr>
                <w:noProof/>
                <w:webHidden/>
              </w:rPr>
              <w:fldChar w:fldCharType="begin"/>
            </w:r>
            <w:r>
              <w:rPr>
                <w:noProof/>
                <w:webHidden/>
              </w:rPr>
              <w:instrText xml:space="preserve"> PAGEREF _Toc227838409 \h </w:instrText>
            </w:r>
            <w:r>
              <w:rPr>
                <w:noProof/>
                <w:webHidden/>
              </w:rPr>
            </w:r>
            <w:r>
              <w:rPr>
                <w:noProof/>
                <w:webHidden/>
              </w:rPr>
              <w:fldChar w:fldCharType="separate"/>
            </w:r>
            <w:r>
              <w:rPr>
                <w:noProof/>
                <w:webHidden/>
              </w:rPr>
              <w:t>54</w:t>
            </w:r>
            <w:r>
              <w:rPr>
                <w:noProof/>
                <w:webHidden/>
              </w:rPr>
              <w:fldChar w:fldCharType="end"/>
            </w:r>
          </w:hyperlink>
        </w:p>
        <w:p w:rsidR="009F4B0B" w:rsidRDefault="009F4B0B" w14:paraId="317D403A" w14:textId="28278113">
          <w:pPr>
            <w:pStyle w:val="TOC2"/>
            <w:rPr>
              <w:rFonts w:asciiTheme="minorHAnsi" w:hAnsiTheme="minorHAnsi" w:eastAsiaTheme="minorEastAsia" w:cstheme="minorBidi"/>
              <w:noProof/>
              <w:kern w:val="2"/>
              <w:sz w:val="24"/>
              <w:szCs w:val="24"/>
              <w14:ligatures w14:val="standardContextual"/>
            </w:rPr>
          </w:pPr>
          <w:hyperlink w:history="1" w:anchor="_Toc227838410">
            <w:r w:rsidRPr="00F8043F">
              <w:rPr>
                <w:rStyle w:val="Hyperlink"/>
                <w:rFonts w:eastAsia="PMingLiU" w:cs="Arial"/>
                <w:caps/>
                <w:noProof/>
                <w:specVanish/>
              </w:rPr>
              <w:t>15.3</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No Breach or Liability.</w:t>
            </w:r>
            <w:r>
              <w:rPr>
                <w:noProof/>
                <w:webHidden/>
              </w:rPr>
              <w:tab/>
            </w:r>
            <w:r>
              <w:rPr>
                <w:noProof/>
                <w:webHidden/>
              </w:rPr>
              <w:fldChar w:fldCharType="begin"/>
            </w:r>
            <w:r>
              <w:rPr>
                <w:noProof/>
                <w:webHidden/>
              </w:rPr>
              <w:instrText xml:space="preserve"> PAGEREF _Toc227838410 \h </w:instrText>
            </w:r>
            <w:r>
              <w:rPr>
                <w:noProof/>
                <w:webHidden/>
              </w:rPr>
            </w:r>
            <w:r>
              <w:rPr>
                <w:noProof/>
                <w:webHidden/>
              </w:rPr>
              <w:fldChar w:fldCharType="separate"/>
            </w:r>
            <w:r>
              <w:rPr>
                <w:noProof/>
                <w:webHidden/>
              </w:rPr>
              <w:t>55</w:t>
            </w:r>
            <w:r>
              <w:rPr>
                <w:noProof/>
                <w:webHidden/>
              </w:rPr>
              <w:fldChar w:fldCharType="end"/>
            </w:r>
          </w:hyperlink>
        </w:p>
        <w:p w:rsidR="009F4B0B" w:rsidRDefault="009F4B0B" w14:paraId="2D15B81B" w14:textId="326DD602">
          <w:pPr>
            <w:pStyle w:val="TOC2"/>
            <w:rPr>
              <w:rFonts w:asciiTheme="minorHAnsi" w:hAnsiTheme="minorHAnsi" w:eastAsiaTheme="minorEastAsia" w:cstheme="minorBidi"/>
              <w:noProof/>
              <w:kern w:val="2"/>
              <w:sz w:val="24"/>
              <w:szCs w:val="24"/>
              <w14:ligatures w14:val="standardContextual"/>
            </w:rPr>
          </w:pPr>
          <w:hyperlink w:history="1" w:anchor="_Toc227838411">
            <w:r w:rsidRPr="00F8043F">
              <w:rPr>
                <w:rStyle w:val="Hyperlink"/>
                <w:rFonts w:eastAsia="PMingLiU" w:cs="Arial"/>
                <w:caps/>
                <w:noProof/>
                <w:specVanish/>
              </w:rPr>
              <w:t>15.4</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Monthly Capacity Payments.</w:t>
            </w:r>
            <w:r>
              <w:rPr>
                <w:noProof/>
                <w:webHidden/>
              </w:rPr>
              <w:tab/>
            </w:r>
            <w:r>
              <w:rPr>
                <w:noProof/>
                <w:webHidden/>
              </w:rPr>
              <w:fldChar w:fldCharType="begin"/>
            </w:r>
            <w:r>
              <w:rPr>
                <w:noProof/>
                <w:webHidden/>
              </w:rPr>
              <w:instrText xml:space="preserve"> PAGEREF _Toc227838411 \h </w:instrText>
            </w:r>
            <w:r>
              <w:rPr>
                <w:noProof/>
                <w:webHidden/>
              </w:rPr>
            </w:r>
            <w:r>
              <w:rPr>
                <w:noProof/>
                <w:webHidden/>
              </w:rPr>
              <w:fldChar w:fldCharType="separate"/>
            </w:r>
            <w:r>
              <w:rPr>
                <w:noProof/>
                <w:webHidden/>
              </w:rPr>
              <w:t>56</w:t>
            </w:r>
            <w:r>
              <w:rPr>
                <w:noProof/>
                <w:webHidden/>
              </w:rPr>
              <w:fldChar w:fldCharType="end"/>
            </w:r>
          </w:hyperlink>
        </w:p>
        <w:p w:rsidR="009F4B0B" w:rsidRDefault="009F4B0B" w14:paraId="35449EC7" w14:textId="3CD69431">
          <w:pPr>
            <w:pStyle w:val="TOC2"/>
            <w:rPr>
              <w:rFonts w:asciiTheme="minorHAnsi" w:hAnsiTheme="minorHAnsi" w:eastAsiaTheme="minorEastAsia" w:cstheme="minorBidi"/>
              <w:noProof/>
              <w:kern w:val="2"/>
              <w:sz w:val="24"/>
              <w:szCs w:val="24"/>
              <w14:ligatures w14:val="standardContextual"/>
            </w:rPr>
          </w:pPr>
          <w:hyperlink w:history="1" w:anchor="_Toc227838412">
            <w:r w:rsidRPr="00F8043F">
              <w:rPr>
                <w:rStyle w:val="Hyperlink"/>
                <w:rFonts w:eastAsia="PMingLiU" w:cs="Arial"/>
                <w:caps/>
                <w:noProof/>
                <w:specVanish/>
              </w:rPr>
              <w:t>15.5</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Notice of FME; Updates.</w:t>
            </w:r>
            <w:r>
              <w:rPr>
                <w:noProof/>
                <w:webHidden/>
              </w:rPr>
              <w:tab/>
            </w:r>
            <w:r>
              <w:rPr>
                <w:noProof/>
                <w:webHidden/>
              </w:rPr>
              <w:fldChar w:fldCharType="begin"/>
            </w:r>
            <w:r>
              <w:rPr>
                <w:noProof/>
                <w:webHidden/>
              </w:rPr>
              <w:instrText xml:space="preserve"> PAGEREF _Toc227838412 \h </w:instrText>
            </w:r>
            <w:r>
              <w:rPr>
                <w:noProof/>
                <w:webHidden/>
              </w:rPr>
            </w:r>
            <w:r>
              <w:rPr>
                <w:noProof/>
                <w:webHidden/>
              </w:rPr>
              <w:fldChar w:fldCharType="separate"/>
            </w:r>
            <w:r>
              <w:rPr>
                <w:noProof/>
                <w:webHidden/>
              </w:rPr>
              <w:t>56</w:t>
            </w:r>
            <w:r>
              <w:rPr>
                <w:noProof/>
                <w:webHidden/>
              </w:rPr>
              <w:fldChar w:fldCharType="end"/>
            </w:r>
          </w:hyperlink>
        </w:p>
        <w:p w:rsidR="009F4B0B" w:rsidRDefault="009F4B0B" w14:paraId="248C1043" w14:textId="0BDE6D7F">
          <w:pPr>
            <w:pStyle w:val="TOC2"/>
            <w:rPr>
              <w:rFonts w:asciiTheme="minorHAnsi" w:hAnsiTheme="minorHAnsi" w:eastAsiaTheme="minorEastAsia" w:cstheme="minorBidi"/>
              <w:noProof/>
              <w:kern w:val="2"/>
              <w:sz w:val="24"/>
              <w:szCs w:val="24"/>
              <w14:ligatures w14:val="standardContextual"/>
            </w:rPr>
          </w:pPr>
          <w:hyperlink w:history="1" w:anchor="_Toc227838413">
            <w:r w:rsidRPr="00F8043F">
              <w:rPr>
                <w:rStyle w:val="Hyperlink"/>
                <w:rFonts w:eastAsia="PMingLiU" w:cs="Arial"/>
                <w:caps/>
                <w:noProof/>
                <w:specVanish/>
              </w:rPr>
              <w:t>15.6</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Requirements for Relief.</w:t>
            </w:r>
            <w:r>
              <w:rPr>
                <w:noProof/>
                <w:webHidden/>
              </w:rPr>
              <w:tab/>
            </w:r>
            <w:r>
              <w:rPr>
                <w:noProof/>
                <w:webHidden/>
              </w:rPr>
              <w:fldChar w:fldCharType="begin"/>
            </w:r>
            <w:r>
              <w:rPr>
                <w:noProof/>
                <w:webHidden/>
              </w:rPr>
              <w:instrText xml:space="preserve"> PAGEREF _Toc227838413 \h </w:instrText>
            </w:r>
            <w:r>
              <w:rPr>
                <w:noProof/>
                <w:webHidden/>
              </w:rPr>
            </w:r>
            <w:r>
              <w:rPr>
                <w:noProof/>
                <w:webHidden/>
              </w:rPr>
              <w:fldChar w:fldCharType="separate"/>
            </w:r>
            <w:r>
              <w:rPr>
                <w:noProof/>
                <w:webHidden/>
              </w:rPr>
              <w:t>56</w:t>
            </w:r>
            <w:r>
              <w:rPr>
                <w:noProof/>
                <w:webHidden/>
              </w:rPr>
              <w:fldChar w:fldCharType="end"/>
            </w:r>
          </w:hyperlink>
        </w:p>
        <w:p w:rsidR="009F4B0B" w:rsidRDefault="009F4B0B" w14:paraId="2C589742" w14:textId="068F9C74">
          <w:pPr>
            <w:pStyle w:val="TOC2"/>
            <w:rPr>
              <w:rFonts w:asciiTheme="minorHAnsi" w:hAnsiTheme="minorHAnsi" w:eastAsiaTheme="minorEastAsia" w:cstheme="minorBidi"/>
              <w:noProof/>
              <w:kern w:val="2"/>
              <w:sz w:val="24"/>
              <w:szCs w:val="24"/>
              <w14:ligatures w14:val="standardContextual"/>
            </w:rPr>
          </w:pPr>
          <w:hyperlink w:history="1" w:anchor="_Toc227838414">
            <w:r w:rsidRPr="00F8043F">
              <w:rPr>
                <w:rStyle w:val="Hyperlink"/>
                <w:rFonts w:eastAsia="PMingLiU" w:cs="Arial"/>
                <w:caps/>
                <w:noProof/>
                <w:specVanish/>
              </w:rPr>
              <w:t>15.7</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Extended FME.</w:t>
            </w:r>
            <w:r>
              <w:rPr>
                <w:noProof/>
                <w:webHidden/>
              </w:rPr>
              <w:tab/>
            </w:r>
            <w:r>
              <w:rPr>
                <w:noProof/>
                <w:webHidden/>
              </w:rPr>
              <w:fldChar w:fldCharType="begin"/>
            </w:r>
            <w:r>
              <w:rPr>
                <w:noProof/>
                <w:webHidden/>
              </w:rPr>
              <w:instrText xml:space="preserve"> PAGEREF _Toc227838414 \h </w:instrText>
            </w:r>
            <w:r>
              <w:rPr>
                <w:noProof/>
                <w:webHidden/>
              </w:rPr>
            </w:r>
            <w:r>
              <w:rPr>
                <w:noProof/>
                <w:webHidden/>
              </w:rPr>
              <w:fldChar w:fldCharType="separate"/>
            </w:r>
            <w:r>
              <w:rPr>
                <w:noProof/>
                <w:webHidden/>
              </w:rPr>
              <w:t>56</w:t>
            </w:r>
            <w:r>
              <w:rPr>
                <w:noProof/>
                <w:webHidden/>
              </w:rPr>
              <w:fldChar w:fldCharType="end"/>
            </w:r>
          </w:hyperlink>
        </w:p>
        <w:p w:rsidR="009F4B0B" w:rsidRDefault="009F4B0B" w14:paraId="5DAF8C4D" w14:textId="7BD02B12">
          <w:pPr>
            <w:pStyle w:val="TOC1"/>
            <w:rPr>
              <w:rFonts w:asciiTheme="minorHAnsi" w:hAnsiTheme="minorHAnsi" w:eastAsiaTheme="minorEastAsia" w:cstheme="minorBidi"/>
              <w:b w:val="0"/>
              <w:caps w:val="0"/>
              <w:noProof/>
              <w:kern w:val="2"/>
              <w:sz w:val="24"/>
              <w:szCs w:val="24"/>
              <w14:ligatures w14:val="standardContextual"/>
            </w:rPr>
          </w:pPr>
          <w:hyperlink w:history="1" w:anchor="_Toc227838415">
            <w:r w:rsidRPr="00F8043F">
              <w:rPr>
                <w:rStyle w:val="Hyperlink"/>
                <w:noProof/>
                <w14:scene3d>
                  <w14:camera w14:prst="orthographicFront"/>
                  <w14:lightRig w14:rig="threePt" w14:dir="t">
                    <w14:rot w14:lat="0" w14:lon="0" w14:rev="0"/>
                  </w14:lightRig>
                </w14:scene3d>
                <w14:props3d w14:extrusionH="0" w14:contourW="0" w14:prstMaterial="warmMatte"/>
              </w:rPr>
              <w:t>Part 16.</w:t>
            </w:r>
            <w:r>
              <w:rPr>
                <w:rFonts w:asciiTheme="minorHAnsi" w:hAnsiTheme="minorHAnsi" w:eastAsiaTheme="minorEastAsia" w:cstheme="minorBidi"/>
                <w:b w:val="0"/>
                <w:caps w:val="0"/>
                <w:noProof/>
                <w:kern w:val="2"/>
                <w:sz w:val="24"/>
                <w:szCs w:val="24"/>
                <w14:ligatures w14:val="standardContextual"/>
              </w:rPr>
              <w:tab/>
            </w:r>
            <w:r w:rsidRPr="00F8043F">
              <w:rPr>
                <w:rStyle w:val="Hyperlink"/>
                <w:noProof/>
              </w:rPr>
              <w:t>Default and Remedies</w:t>
            </w:r>
            <w:r>
              <w:rPr>
                <w:noProof/>
                <w:webHidden/>
              </w:rPr>
              <w:tab/>
            </w:r>
            <w:r>
              <w:rPr>
                <w:noProof/>
                <w:webHidden/>
              </w:rPr>
              <w:fldChar w:fldCharType="begin"/>
            </w:r>
            <w:r>
              <w:rPr>
                <w:noProof/>
                <w:webHidden/>
              </w:rPr>
              <w:instrText xml:space="preserve"> PAGEREF _Toc227838415 \h </w:instrText>
            </w:r>
            <w:r>
              <w:rPr>
                <w:noProof/>
                <w:webHidden/>
              </w:rPr>
            </w:r>
            <w:r>
              <w:rPr>
                <w:noProof/>
                <w:webHidden/>
              </w:rPr>
              <w:fldChar w:fldCharType="separate"/>
            </w:r>
            <w:r>
              <w:rPr>
                <w:noProof/>
                <w:webHidden/>
              </w:rPr>
              <w:t>57</w:t>
            </w:r>
            <w:r>
              <w:rPr>
                <w:noProof/>
                <w:webHidden/>
              </w:rPr>
              <w:fldChar w:fldCharType="end"/>
            </w:r>
          </w:hyperlink>
        </w:p>
        <w:p w:rsidR="009F4B0B" w:rsidRDefault="009F4B0B" w14:paraId="32A65132" w14:textId="3C4F1C3E">
          <w:pPr>
            <w:pStyle w:val="TOC2"/>
            <w:rPr>
              <w:rFonts w:asciiTheme="minorHAnsi" w:hAnsiTheme="minorHAnsi" w:eastAsiaTheme="minorEastAsia" w:cstheme="minorBidi"/>
              <w:noProof/>
              <w:kern w:val="2"/>
              <w:sz w:val="24"/>
              <w:szCs w:val="24"/>
              <w14:ligatures w14:val="standardContextual"/>
            </w:rPr>
          </w:pPr>
          <w:hyperlink w:history="1" w:anchor="_Toc227838416">
            <w:r w:rsidRPr="00F8043F">
              <w:rPr>
                <w:rStyle w:val="Hyperlink"/>
                <w:rFonts w:eastAsia="PMingLiU" w:cs="Arial"/>
                <w:caps/>
                <w:noProof/>
                <w:specVanish/>
              </w:rPr>
              <w:t>16.1</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Default by Seller.</w:t>
            </w:r>
            <w:r>
              <w:rPr>
                <w:noProof/>
                <w:webHidden/>
              </w:rPr>
              <w:tab/>
            </w:r>
            <w:r>
              <w:rPr>
                <w:noProof/>
                <w:webHidden/>
              </w:rPr>
              <w:fldChar w:fldCharType="begin"/>
            </w:r>
            <w:r>
              <w:rPr>
                <w:noProof/>
                <w:webHidden/>
              </w:rPr>
              <w:instrText xml:space="preserve"> PAGEREF _Toc227838416 \h </w:instrText>
            </w:r>
            <w:r>
              <w:rPr>
                <w:noProof/>
                <w:webHidden/>
              </w:rPr>
            </w:r>
            <w:r>
              <w:rPr>
                <w:noProof/>
                <w:webHidden/>
              </w:rPr>
              <w:fldChar w:fldCharType="separate"/>
            </w:r>
            <w:r>
              <w:rPr>
                <w:noProof/>
                <w:webHidden/>
              </w:rPr>
              <w:t>57</w:t>
            </w:r>
            <w:r>
              <w:rPr>
                <w:noProof/>
                <w:webHidden/>
              </w:rPr>
              <w:fldChar w:fldCharType="end"/>
            </w:r>
          </w:hyperlink>
        </w:p>
        <w:p w:rsidR="009F4B0B" w:rsidRDefault="009F4B0B" w14:paraId="3185C23B" w14:textId="5E3334E4">
          <w:pPr>
            <w:pStyle w:val="TOC2"/>
            <w:rPr>
              <w:rFonts w:asciiTheme="minorHAnsi" w:hAnsiTheme="minorHAnsi" w:eastAsiaTheme="minorEastAsia" w:cstheme="minorBidi"/>
              <w:noProof/>
              <w:kern w:val="2"/>
              <w:sz w:val="24"/>
              <w:szCs w:val="24"/>
              <w14:ligatures w14:val="standardContextual"/>
            </w:rPr>
          </w:pPr>
          <w:hyperlink w:history="1" w:anchor="_Toc227838417">
            <w:r w:rsidRPr="00F8043F">
              <w:rPr>
                <w:rStyle w:val="Hyperlink"/>
                <w:rFonts w:eastAsia="PMingLiU" w:cs="Arial"/>
                <w:caps/>
                <w:noProof/>
                <w:specVanish/>
              </w:rPr>
              <w:t>16.2</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Default by GPC.</w:t>
            </w:r>
            <w:r>
              <w:rPr>
                <w:noProof/>
                <w:webHidden/>
              </w:rPr>
              <w:tab/>
            </w:r>
            <w:r>
              <w:rPr>
                <w:noProof/>
                <w:webHidden/>
              </w:rPr>
              <w:fldChar w:fldCharType="begin"/>
            </w:r>
            <w:r>
              <w:rPr>
                <w:noProof/>
                <w:webHidden/>
              </w:rPr>
              <w:instrText xml:space="preserve"> PAGEREF _Toc227838417 \h </w:instrText>
            </w:r>
            <w:r>
              <w:rPr>
                <w:noProof/>
                <w:webHidden/>
              </w:rPr>
            </w:r>
            <w:r>
              <w:rPr>
                <w:noProof/>
                <w:webHidden/>
              </w:rPr>
              <w:fldChar w:fldCharType="separate"/>
            </w:r>
            <w:r>
              <w:rPr>
                <w:noProof/>
                <w:webHidden/>
              </w:rPr>
              <w:t>60</w:t>
            </w:r>
            <w:r>
              <w:rPr>
                <w:noProof/>
                <w:webHidden/>
              </w:rPr>
              <w:fldChar w:fldCharType="end"/>
            </w:r>
          </w:hyperlink>
        </w:p>
        <w:p w:rsidR="009F4B0B" w:rsidRDefault="009F4B0B" w14:paraId="73792DD1" w14:textId="07D79DDD">
          <w:pPr>
            <w:pStyle w:val="TOC2"/>
            <w:rPr>
              <w:rFonts w:asciiTheme="minorHAnsi" w:hAnsiTheme="minorHAnsi" w:eastAsiaTheme="minorEastAsia" w:cstheme="minorBidi"/>
              <w:noProof/>
              <w:kern w:val="2"/>
              <w:sz w:val="24"/>
              <w:szCs w:val="24"/>
              <w14:ligatures w14:val="standardContextual"/>
            </w:rPr>
          </w:pPr>
          <w:hyperlink w:history="1" w:anchor="_Toc227838418">
            <w:r w:rsidRPr="00F8043F">
              <w:rPr>
                <w:rStyle w:val="Hyperlink"/>
                <w:rFonts w:eastAsia="PMingLiU" w:cs="Arial"/>
                <w:caps/>
                <w:noProof/>
                <w:specVanish/>
              </w:rPr>
              <w:t>16.3</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Remedies.</w:t>
            </w:r>
            <w:r>
              <w:rPr>
                <w:noProof/>
                <w:webHidden/>
              </w:rPr>
              <w:tab/>
            </w:r>
            <w:r>
              <w:rPr>
                <w:noProof/>
                <w:webHidden/>
              </w:rPr>
              <w:fldChar w:fldCharType="begin"/>
            </w:r>
            <w:r>
              <w:rPr>
                <w:noProof/>
                <w:webHidden/>
              </w:rPr>
              <w:instrText xml:space="preserve"> PAGEREF _Toc227838418 \h </w:instrText>
            </w:r>
            <w:r>
              <w:rPr>
                <w:noProof/>
                <w:webHidden/>
              </w:rPr>
            </w:r>
            <w:r>
              <w:rPr>
                <w:noProof/>
                <w:webHidden/>
              </w:rPr>
              <w:fldChar w:fldCharType="separate"/>
            </w:r>
            <w:r>
              <w:rPr>
                <w:noProof/>
                <w:webHidden/>
              </w:rPr>
              <w:t>62</w:t>
            </w:r>
            <w:r>
              <w:rPr>
                <w:noProof/>
                <w:webHidden/>
              </w:rPr>
              <w:fldChar w:fldCharType="end"/>
            </w:r>
          </w:hyperlink>
        </w:p>
        <w:p w:rsidR="009F4B0B" w:rsidRDefault="009F4B0B" w14:paraId="0ADFA9B5" w14:textId="40D1CA7B">
          <w:pPr>
            <w:pStyle w:val="TOC2"/>
            <w:rPr>
              <w:rFonts w:asciiTheme="minorHAnsi" w:hAnsiTheme="minorHAnsi" w:eastAsiaTheme="minorEastAsia" w:cstheme="minorBidi"/>
              <w:noProof/>
              <w:kern w:val="2"/>
              <w:sz w:val="24"/>
              <w:szCs w:val="24"/>
              <w14:ligatures w14:val="standardContextual"/>
            </w:rPr>
          </w:pPr>
          <w:hyperlink w:history="1" w:anchor="_Toc227838419">
            <w:r w:rsidRPr="00F8043F">
              <w:rPr>
                <w:rStyle w:val="Hyperlink"/>
                <w:rFonts w:eastAsia="PMingLiU" w:cs="Arial"/>
                <w:caps/>
                <w:noProof/>
                <w:specVanish/>
              </w:rPr>
              <w:t>16.4</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Rights of Specific Performance.</w:t>
            </w:r>
            <w:r>
              <w:rPr>
                <w:noProof/>
                <w:webHidden/>
              </w:rPr>
              <w:tab/>
            </w:r>
            <w:r>
              <w:rPr>
                <w:noProof/>
                <w:webHidden/>
              </w:rPr>
              <w:fldChar w:fldCharType="begin"/>
            </w:r>
            <w:r>
              <w:rPr>
                <w:noProof/>
                <w:webHidden/>
              </w:rPr>
              <w:instrText xml:space="preserve"> PAGEREF _Toc227838419 \h </w:instrText>
            </w:r>
            <w:r>
              <w:rPr>
                <w:noProof/>
                <w:webHidden/>
              </w:rPr>
            </w:r>
            <w:r>
              <w:rPr>
                <w:noProof/>
                <w:webHidden/>
              </w:rPr>
              <w:fldChar w:fldCharType="separate"/>
            </w:r>
            <w:r>
              <w:rPr>
                <w:noProof/>
                <w:webHidden/>
              </w:rPr>
              <w:t>63</w:t>
            </w:r>
            <w:r>
              <w:rPr>
                <w:noProof/>
                <w:webHidden/>
              </w:rPr>
              <w:fldChar w:fldCharType="end"/>
            </w:r>
          </w:hyperlink>
        </w:p>
        <w:p w:rsidR="009F4B0B" w:rsidRDefault="009F4B0B" w14:paraId="417E451E" w14:textId="14B1C341">
          <w:pPr>
            <w:pStyle w:val="TOC2"/>
            <w:rPr>
              <w:rFonts w:asciiTheme="minorHAnsi" w:hAnsiTheme="minorHAnsi" w:eastAsiaTheme="minorEastAsia" w:cstheme="minorBidi"/>
              <w:noProof/>
              <w:kern w:val="2"/>
              <w:sz w:val="24"/>
              <w:szCs w:val="24"/>
              <w14:ligatures w14:val="standardContextual"/>
            </w:rPr>
          </w:pPr>
          <w:hyperlink w:history="1" w:anchor="_Toc227838420">
            <w:r w:rsidRPr="00F8043F">
              <w:rPr>
                <w:rStyle w:val="Hyperlink"/>
                <w:rFonts w:eastAsia="PMingLiU" w:cs="Arial"/>
                <w:caps/>
                <w:noProof/>
                <w:specVanish/>
              </w:rPr>
              <w:t>16.5</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Limitation of Remedies, Liability, and Damages.</w:t>
            </w:r>
            <w:r>
              <w:rPr>
                <w:noProof/>
                <w:webHidden/>
              </w:rPr>
              <w:tab/>
            </w:r>
            <w:r>
              <w:rPr>
                <w:noProof/>
                <w:webHidden/>
              </w:rPr>
              <w:fldChar w:fldCharType="begin"/>
            </w:r>
            <w:r>
              <w:rPr>
                <w:noProof/>
                <w:webHidden/>
              </w:rPr>
              <w:instrText xml:space="preserve"> PAGEREF _Toc227838420 \h </w:instrText>
            </w:r>
            <w:r>
              <w:rPr>
                <w:noProof/>
                <w:webHidden/>
              </w:rPr>
            </w:r>
            <w:r>
              <w:rPr>
                <w:noProof/>
                <w:webHidden/>
              </w:rPr>
              <w:fldChar w:fldCharType="separate"/>
            </w:r>
            <w:r>
              <w:rPr>
                <w:noProof/>
                <w:webHidden/>
              </w:rPr>
              <w:t>63</w:t>
            </w:r>
            <w:r>
              <w:rPr>
                <w:noProof/>
                <w:webHidden/>
              </w:rPr>
              <w:fldChar w:fldCharType="end"/>
            </w:r>
          </w:hyperlink>
        </w:p>
        <w:p w:rsidR="009F4B0B" w:rsidRDefault="009F4B0B" w14:paraId="242E6ADD" w14:textId="426F160B">
          <w:pPr>
            <w:pStyle w:val="TOC2"/>
            <w:rPr>
              <w:rFonts w:asciiTheme="minorHAnsi" w:hAnsiTheme="minorHAnsi" w:eastAsiaTheme="minorEastAsia" w:cstheme="minorBidi"/>
              <w:noProof/>
              <w:kern w:val="2"/>
              <w:sz w:val="24"/>
              <w:szCs w:val="24"/>
              <w14:ligatures w14:val="standardContextual"/>
            </w:rPr>
          </w:pPr>
          <w:hyperlink w:history="1" w:anchor="_Toc227838421">
            <w:r w:rsidRPr="00F8043F">
              <w:rPr>
                <w:rStyle w:val="Hyperlink"/>
                <w:rFonts w:eastAsia="PMingLiU"/>
                <w:caps/>
                <w:noProof/>
                <w:specVanish/>
              </w:rPr>
              <w:t>16.6</w:t>
            </w:r>
            <w:r>
              <w:rPr>
                <w:rFonts w:asciiTheme="minorHAnsi" w:hAnsiTheme="minorHAnsi" w:eastAsiaTheme="minorEastAsia" w:cstheme="minorBidi"/>
                <w:noProof/>
                <w:kern w:val="2"/>
                <w:sz w:val="24"/>
                <w:szCs w:val="24"/>
                <w14:ligatures w14:val="standardContextual"/>
              </w:rPr>
              <w:tab/>
            </w:r>
            <w:r w:rsidRPr="00F8043F">
              <w:rPr>
                <w:rStyle w:val="Hyperlink"/>
                <w:noProof/>
              </w:rPr>
              <w:t>Waiver of Consequential Damages.</w:t>
            </w:r>
            <w:r>
              <w:rPr>
                <w:noProof/>
                <w:webHidden/>
              </w:rPr>
              <w:tab/>
            </w:r>
            <w:r>
              <w:rPr>
                <w:noProof/>
                <w:webHidden/>
              </w:rPr>
              <w:fldChar w:fldCharType="begin"/>
            </w:r>
            <w:r>
              <w:rPr>
                <w:noProof/>
                <w:webHidden/>
              </w:rPr>
              <w:instrText xml:space="preserve"> PAGEREF _Toc227838421 \h </w:instrText>
            </w:r>
            <w:r>
              <w:rPr>
                <w:noProof/>
                <w:webHidden/>
              </w:rPr>
            </w:r>
            <w:r>
              <w:rPr>
                <w:noProof/>
                <w:webHidden/>
              </w:rPr>
              <w:fldChar w:fldCharType="separate"/>
            </w:r>
            <w:r>
              <w:rPr>
                <w:noProof/>
                <w:webHidden/>
              </w:rPr>
              <w:t>63</w:t>
            </w:r>
            <w:r>
              <w:rPr>
                <w:noProof/>
                <w:webHidden/>
              </w:rPr>
              <w:fldChar w:fldCharType="end"/>
            </w:r>
          </w:hyperlink>
        </w:p>
        <w:p w:rsidR="009F4B0B" w:rsidRDefault="009F4B0B" w14:paraId="23C66765" w14:textId="2B2EF586">
          <w:pPr>
            <w:pStyle w:val="TOC2"/>
            <w:rPr>
              <w:rFonts w:asciiTheme="minorHAnsi" w:hAnsiTheme="minorHAnsi" w:eastAsiaTheme="minorEastAsia" w:cstheme="minorBidi"/>
              <w:noProof/>
              <w:kern w:val="2"/>
              <w:sz w:val="24"/>
              <w:szCs w:val="24"/>
              <w14:ligatures w14:val="standardContextual"/>
            </w:rPr>
          </w:pPr>
          <w:hyperlink w:history="1" w:anchor="_Toc227838422">
            <w:r w:rsidRPr="00F8043F">
              <w:rPr>
                <w:rStyle w:val="Hyperlink"/>
                <w:rFonts w:eastAsia="PMingLiU"/>
                <w:caps/>
                <w:noProof/>
                <w:specVanish/>
              </w:rPr>
              <w:t>16.7</w:t>
            </w:r>
            <w:r>
              <w:rPr>
                <w:rFonts w:asciiTheme="minorHAnsi" w:hAnsiTheme="minorHAnsi" w:eastAsiaTheme="minorEastAsia" w:cstheme="minorBidi"/>
                <w:noProof/>
                <w:kern w:val="2"/>
                <w:sz w:val="24"/>
                <w:szCs w:val="24"/>
                <w14:ligatures w14:val="standardContextual"/>
              </w:rPr>
              <w:tab/>
            </w:r>
            <w:r w:rsidRPr="00F8043F">
              <w:rPr>
                <w:rStyle w:val="Hyperlink"/>
                <w:noProof/>
              </w:rPr>
              <w:t>Disclaimer of Warranties.</w:t>
            </w:r>
            <w:r>
              <w:rPr>
                <w:noProof/>
                <w:webHidden/>
              </w:rPr>
              <w:tab/>
            </w:r>
            <w:r>
              <w:rPr>
                <w:noProof/>
                <w:webHidden/>
              </w:rPr>
              <w:fldChar w:fldCharType="begin"/>
            </w:r>
            <w:r>
              <w:rPr>
                <w:noProof/>
                <w:webHidden/>
              </w:rPr>
              <w:instrText xml:space="preserve"> PAGEREF _Toc227838422 \h </w:instrText>
            </w:r>
            <w:r>
              <w:rPr>
                <w:noProof/>
                <w:webHidden/>
              </w:rPr>
            </w:r>
            <w:r>
              <w:rPr>
                <w:noProof/>
                <w:webHidden/>
              </w:rPr>
              <w:fldChar w:fldCharType="separate"/>
            </w:r>
            <w:r>
              <w:rPr>
                <w:noProof/>
                <w:webHidden/>
              </w:rPr>
              <w:t>64</w:t>
            </w:r>
            <w:r>
              <w:rPr>
                <w:noProof/>
                <w:webHidden/>
              </w:rPr>
              <w:fldChar w:fldCharType="end"/>
            </w:r>
          </w:hyperlink>
        </w:p>
        <w:p w:rsidR="009F4B0B" w:rsidRDefault="009F4B0B" w14:paraId="0D794FA2" w14:textId="35F700D4">
          <w:pPr>
            <w:pStyle w:val="TOC2"/>
            <w:rPr>
              <w:rFonts w:asciiTheme="minorHAnsi" w:hAnsiTheme="minorHAnsi" w:eastAsiaTheme="minorEastAsia" w:cstheme="minorBidi"/>
              <w:noProof/>
              <w:kern w:val="2"/>
              <w:sz w:val="24"/>
              <w:szCs w:val="24"/>
              <w14:ligatures w14:val="standardContextual"/>
            </w:rPr>
          </w:pPr>
          <w:hyperlink w:history="1" w:anchor="_Toc227838423">
            <w:r w:rsidRPr="00F8043F">
              <w:rPr>
                <w:rStyle w:val="Hyperlink"/>
                <w:rFonts w:eastAsia="PMingLiU" w:cs="Arial"/>
                <w:caps/>
                <w:noProof/>
                <w:specVanish/>
              </w:rPr>
              <w:t>16.8</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No Interruption.</w:t>
            </w:r>
            <w:r>
              <w:rPr>
                <w:noProof/>
                <w:webHidden/>
              </w:rPr>
              <w:tab/>
            </w:r>
            <w:r>
              <w:rPr>
                <w:noProof/>
                <w:webHidden/>
              </w:rPr>
              <w:fldChar w:fldCharType="begin"/>
            </w:r>
            <w:r>
              <w:rPr>
                <w:noProof/>
                <w:webHidden/>
              </w:rPr>
              <w:instrText xml:space="preserve"> PAGEREF _Toc227838423 \h </w:instrText>
            </w:r>
            <w:r>
              <w:rPr>
                <w:noProof/>
                <w:webHidden/>
              </w:rPr>
            </w:r>
            <w:r>
              <w:rPr>
                <w:noProof/>
                <w:webHidden/>
              </w:rPr>
              <w:fldChar w:fldCharType="separate"/>
            </w:r>
            <w:r>
              <w:rPr>
                <w:noProof/>
                <w:webHidden/>
              </w:rPr>
              <w:t>64</w:t>
            </w:r>
            <w:r>
              <w:rPr>
                <w:noProof/>
                <w:webHidden/>
              </w:rPr>
              <w:fldChar w:fldCharType="end"/>
            </w:r>
          </w:hyperlink>
        </w:p>
        <w:p w:rsidR="009F4B0B" w:rsidRDefault="009F4B0B" w14:paraId="01F0A756" w14:textId="50CC4B80">
          <w:pPr>
            <w:pStyle w:val="TOC2"/>
            <w:rPr>
              <w:rFonts w:asciiTheme="minorHAnsi" w:hAnsiTheme="minorHAnsi" w:eastAsiaTheme="minorEastAsia" w:cstheme="minorBidi"/>
              <w:noProof/>
              <w:kern w:val="2"/>
              <w:sz w:val="24"/>
              <w:szCs w:val="24"/>
              <w14:ligatures w14:val="standardContextual"/>
            </w:rPr>
          </w:pPr>
          <w:hyperlink w:history="1" w:anchor="_Toc227838424">
            <w:r w:rsidRPr="00F8043F">
              <w:rPr>
                <w:rStyle w:val="Hyperlink"/>
                <w:rFonts w:eastAsia="PMingLiU" w:cs="Arial"/>
                <w:caps/>
                <w:noProof/>
                <w:specVanish/>
              </w:rPr>
              <w:t>16.9</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Duty to Mitigate.</w:t>
            </w:r>
            <w:r>
              <w:rPr>
                <w:noProof/>
                <w:webHidden/>
              </w:rPr>
              <w:tab/>
            </w:r>
            <w:r>
              <w:rPr>
                <w:noProof/>
                <w:webHidden/>
              </w:rPr>
              <w:fldChar w:fldCharType="begin"/>
            </w:r>
            <w:r>
              <w:rPr>
                <w:noProof/>
                <w:webHidden/>
              </w:rPr>
              <w:instrText xml:space="preserve"> PAGEREF _Toc227838424 \h </w:instrText>
            </w:r>
            <w:r>
              <w:rPr>
                <w:noProof/>
                <w:webHidden/>
              </w:rPr>
            </w:r>
            <w:r>
              <w:rPr>
                <w:noProof/>
                <w:webHidden/>
              </w:rPr>
              <w:fldChar w:fldCharType="separate"/>
            </w:r>
            <w:r>
              <w:rPr>
                <w:noProof/>
                <w:webHidden/>
              </w:rPr>
              <w:t>64</w:t>
            </w:r>
            <w:r>
              <w:rPr>
                <w:noProof/>
                <w:webHidden/>
              </w:rPr>
              <w:fldChar w:fldCharType="end"/>
            </w:r>
          </w:hyperlink>
        </w:p>
        <w:p w:rsidR="009F4B0B" w:rsidRDefault="009F4B0B" w14:paraId="08504B8A" w14:textId="72506824">
          <w:pPr>
            <w:pStyle w:val="TOC1"/>
            <w:rPr>
              <w:rFonts w:asciiTheme="minorHAnsi" w:hAnsiTheme="minorHAnsi" w:eastAsiaTheme="minorEastAsia" w:cstheme="minorBidi"/>
              <w:b w:val="0"/>
              <w:caps w:val="0"/>
              <w:noProof/>
              <w:kern w:val="2"/>
              <w:sz w:val="24"/>
              <w:szCs w:val="24"/>
              <w14:ligatures w14:val="standardContextual"/>
            </w:rPr>
          </w:pPr>
          <w:hyperlink w:history="1" w:anchor="_Toc227838425">
            <w:r w:rsidRPr="00F8043F">
              <w:rPr>
                <w:rStyle w:val="Hyperlink"/>
                <w:noProof/>
                <w14:scene3d>
                  <w14:camera w14:prst="orthographicFront"/>
                  <w14:lightRig w14:rig="threePt" w14:dir="t">
                    <w14:rot w14:lat="0" w14:lon="0" w14:rev="0"/>
                  </w14:lightRig>
                </w14:scene3d>
                <w14:props3d w14:extrusionH="0" w14:contourW="0" w14:prstMaterial="warmMatte"/>
              </w:rPr>
              <w:t>Part 17.</w:t>
            </w:r>
            <w:r>
              <w:rPr>
                <w:rFonts w:asciiTheme="minorHAnsi" w:hAnsiTheme="minorHAnsi" w:eastAsiaTheme="minorEastAsia" w:cstheme="minorBidi"/>
                <w:b w:val="0"/>
                <w:caps w:val="0"/>
                <w:noProof/>
                <w:kern w:val="2"/>
                <w:sz w:val="24"/>
                <w:szCs w:val="24"/>
                <w14:ligatures w14:val="standardContextual"/>
              </w:rPr>
              <w:tab/>
            </w:r>
            <w:r w:rsidRPr="00F8043F">
              <w:rPr>
                <w:rStyle w:val="Hyperlink"/>
                <w:noProof/>
              </w:rPr>
              <w:t>Compliance with Laws</w:t>
            </w:r>
            <w:r>
              <w:rPr>
                <w:noProof/>
                <w:webHidden/>
              </w:rPr>
              <w:tab/>
            </w:r>
            <w:r>
              <w:rPr>
                <w:noProof/>
                <w:webHidden/>
              </w:rPr>
              <w:fldChar w:fldCharType="begin"/>
            </w:r>
            <w:r>
              <w:rPr>
                <w:noProof/>
                <w:webHidden/>
              </w:rPr>
              <w:instrText xml:space="preserve"> PAGEREF _Toc227838425 \h </w:instrText>
            </w:r>
            <w:r>
              <w:rPr>
                <w:noProof/>
                <w:webHidden/>
              </w:rPr>
            </w:r>
            <w:r>
              <w:rPr>
                <w:noProof/>
                <w:webHidden/>
              </w:rPr>
              <w:fldChar w:fldCharType="separate"/>
            </w:r>
            <w:r>
              <w:rPr>
                <w:noProof/>
                <w:webHidden/>
              </w:rPr>
              <w:t>64</w:t>
            </w:r>
            <w:r>
              <w:rPr>
                <w:noProof/>
                <w:webHidden/>
              </w:rPr>
              <w:fldChar w:fldCharType="end"/>
            </w:r>
          </w:hyperlink>
        </w:p>
        <w:p w:rsidR="009F4B0B" w:rsidRDefault="009F4B0B" w14:paraId="0B6E9094" w14:textId="617197B1">
          <w:pPr>
            <w:pStyle w:val="TOC2"/>
            <w:rPr>
              <w:rFonts w:asciiTheme="minorHAnsi" w:hAnsiTheme="minorHAnsi" w:eastAsiaTheme="minorEastAsia" w:cstheme="minorBidi"/>
              <w:noProof/>
              <w:kern w:val="2"/>
              <w:sz w:val="24"/>
              <w:szCs w:val="24"/>
              <w14:ligatures w14:val="standardContextual"/>
            </w:rPr>
          </w:pPr>
          <w:hyperlink w:history="1" w:anchor="_Toc227838426">
            <w:r w:rsidRPr="00F8043F">
              <w:rPr>
                <w:rStyle w:val="Hyperlink"/>
                <w:rFonts w:eastAsia="PMingLiU" w:cs="Arial"/>
                <w:caps/>
                <w:noProof/>
                <w:specVanish/>
              </w:rPr>
              <w:t>17.1</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New GHG Law.</w:t>
            </w:r>
            <w:r>
              <w:rPr>
                <w:noProof/>
                <w:webHidden/>
              </w:rPr>
              <w:tab/>
            </w:r>
            <w:r>
              <w:rPr>
                <w:noProof/>
                <w:webHidden/>
              </w:rPr>
              <w:fldChar w:fldCharType="begin"/>
            </w:r>
            <w:r>
              <w:rPr>
                <w:noProof/>
                <w:webHidden/>
              </w:rPr>
              <w:instrText xml:space="preserve"> PAGEREF _Toc227838426 \h </w:instrText>
            </w:r>
            <w:r>
              <w:rPr>
                <w:noProof/>
                <w:webHidden/>
              </w:rPr>
            </w:r>
            <w:r>
              <w:rPr>
                <w:noProof/>
                <w:webHidden/>
              </w:rPr>
              <w:fldChar w:fldCharType="separate"/>
            </w:r>
            <w:r>
              <w:rPr>
                <w:noProof/>
                <w:webHidden/>
              </w:rPr>
              <w:t>64</w:t>
            </w:r>
            <w:r>
              <w:rPr>
                <w:noProof/>
                <w:webHidden/>
              </w:rPr>
              <w:fldChar w:fldCharType="end"/>
            </w:r>
          </w:hyperlink>
        </w:p>
        <w:p w:rsidR="009F4B0B" w:rsidRDefault="009F4B0B" w14:paraId="2BAD4504" w14:textId="5BC89D87">
          <w:pPr>
            <w:pStyle w:val="TOC2"/>
            <w:rPr>
              <w:rFonts w:asciiTheme="minorHAnsi" w:hAnsiTheme="minorHAnsi" w:eastAsiaTheme="minorEastAsia" w:cstheme="minorBidi"/>
              <w:noProof/>
              <w:kern w:val="2"/>
              <w:sz w:val="24"/>
              <w:szCs w:val="24"/>
              <w14:ligatures w14:val="standardContextual"/>
            </w:rPr>
          </w:pPr>
          <w:hyperlink w:history="1" w:anchor="_Toc227838427">
            <w:r w:rsidRPr="00F8043F">
              <w:rPr>
                <w:rStyle w:val="Hyperlink"/>
                <w:rFonts w:eastAsia="PMingLiU" w:cs="Arial"/>
                <w:caps/>
                <w:noProof/>
                <w:specVanish/>
              </w:rPr>
              <w:t>17.2</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Change of Law.</w:t>
            </w:r>
            <w:r>
              <w:rPr>
                <w:noProof/>
                <w:webHidden/>
              </w:rPr>
              <w:tab/>
            </w:r>
            <w:r>
              <w:rPr>
                <w:noProof/>
                <w:webHidden/>
              </w:rPr>
              <w:fldChar w:fldCharType="begin"/>
            </w:r>
            <w:r>
              <w:rPr>
                <w:noProof/>
                <w:webHidden/>
              </w:rPr>
              <w:instrText xml:space="preserve"> PAGEREF _Toc227838427 \h </w:instrText>
            </w:r>
            <w:r>
              <w:rPr>
                <w:noProof/>
                <w:webHidden/>
              </w:rPr>
            </w:r>
            <w:r>
              <w:rPr>
                <w:noProof/>
                <w:webHidden/>
              </w:rPr>
              <w:fldChar w:fldCharType="separate"/>
            </w:r>
            <w:r>
              <w:rPr>
                <w:noProof/>
                <w:webHidden/>
              </w:rPr>
              <w:t>65</w:t>
            </w:r>
            <w:r>
              <w:rPr>
                <w:noProof/>
                <w:webHidden/>
              </w:rPr>
              <w:fldChar w:fldCharType="end"/>
            </w:r>
          </w:hyperlink>
        </w:p>
        <w:p w:rsidR="009F4B0B" w:rsidRDefault="009F4B0B" w14:paraId="313D6B12" w14:textId="31ECF25D">
          <w:pPr>
            <w:pStyle w:val="TOC2"/>
            <w:rPr>
              <w:rFonts w:asciiTheme="minorHAnsi" w:hAnsiTheme="minorHAnsi" w:eastAsiaTheme="minorEastAsia" w:cstheme="minorBidi"/>
              <w:noProof/>
              <w:kern w:val="2"/>
              <w:sz w:val="24"/>
              <w:szCs w:val="24"/>
              <w14:ligatures w14:val="standardContextual"/>
            </w:rPr>
          </w:pPr>
          <w:hyperlink w:history="1" w:anchor="_Toc227838428">
            <w:r w:rsidRPr="00F8043F">
              <w:rPr>
                <w:rStyle w:val="Hyperlink"/>
                <w:rFonts w:eastAsia="PMingLiU" w:cs="Arial"/>
                <w:caps/>
                <w:noProof/>
                <w:specVanish/>
              </w:rPr>
              <w:t>17.3</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No Dedication.</w:t>
            </w:r>
            <w:r>
              <w:rPr>
                <w:noProof/>
                <w:webHidden/>
              </w:rPr>
              <w:tab/>
            </w:r>
            <w:r>
              <w:rPr>
                <w:noProof/>
                <w:webHidden/>
              </w:rPr>
              <w:fldChar w:fldCharType="begin"/>
            </w:r>
            <w:r>
              <w:rPr>
                <w:noProof/>
                <w:webHidden/>
              </w:rPr>
              <w:instrText xml:space="preserve"> PAGEREF _Toc227838428 \h </w:instrText>
            </w:r>
            <w:r>
              <w:rPr>
                <w:noProof/>
                <w:webHidden/>
              </w:rPr>
            </w:r>
            <w:r>
              <w:rPr>
                <w:noProof/>
                <w:webHidden/>
              </w:rPr>
              <w:fldChar w:fldCharType="separate"/>
            </w:r>
            <w:r>
              <w:rPr>
                <w:noProof/>
                <w:webHidden/>
              </w:rPr>
              <w:t>71</w:t>
            </w:r>
            <w:r>
              <w:rPr>
                <w:noProof/>
                <w:webHidden/>
              </w:rPr>
              <w:fldChar w:fldCharType="end"/>
            </w:r>
          </w:hyperlink>
        </w:p>
        <w:p w:rsidR="009F4B0B" w:rsidRDefault="009F4B0B" w14:paraId="1C416277" w14:textId="1DE56D3D">
          <w:pPr>
            <w:pStyle w:val="TOC2"/>
            <w:rPr>
              <w:rFonts w:asciiTheme="minorHAnsi" w:hAnsiTheme="minorHAnsi" w:eastAsiaTheme="minorEastAsia" w:cstheme="minorBidi"/>
              <w:noProof/>
              <w:kern w:val="2"/>
              <w:sz w:val="24"/>
              <w:szCs w:val="24"/>
              <w14:ligatures w14:val="standardContextual"/>
            </w:rPr>
          </w:pPr>
          <w:hyperlink w:history="1" w:anchor="_Toc227838429">
            <w:r w:rsidRPr="00F8043F">
              <w:rPr>
                <w:rStyle w:val="Hyperlink"/>
                <w:rFonts w:eastAsia="PMingLiU" w:cs="Arial"/>
                <w:caps/>
                <w:noProof/>
                <w:specVanish/>
              </w:rPr>
              <w:t>17.4</w:t>
            </w:r>
            <w:r>
              <w:rPr>
                <w:rFonts w:asciiTheme="minorHAnsi" w:hAnsiTheme="minorHAnsi" w:eastAsiaTheme="minorEastAsia" w:cstheme="minorBidi"/>
                <w:noProof/>
                <w:kern w:val="2"/>
                <w:sz w:val="24"/>
                <w:szCs w:val="24"/>
                <w14:ligatures w14:val="standardContextual"/>
              </w:rPr>
              <w:tab/>
            </w:r>
            <w:r w:rsidRPr="00F8043F">
              <w:rPr>
                <w:rStyle w:val="Hyperlink"/>
                <w:noProof/>
              </w:rPr>
              <w:t>Compliance.</w:t>
            </w:r>
            <w:r>
              <w:rPr>
                <w:noProof/>
                <w:webHidden/>
              </w:rPr>
              <w:tab/>
            </w:r>
            <w:r>
              <w:rPr>
                <w:noProof/>
                <w:webHidden/>
              </w:rPr>
              <w:fldChar w:fldCharType="begin"/>
            </w:r>
            <w:r>
              <w:rPr>
                <w:noProof/>
                <w:webHidden/>
              </w:rPr>
              <w:instrText xml:space="preserve"> PAGEREF _Toc227838429 \h </w:instrText>
            </w:r>
            <w:r>
              <w:rPr>
                <w:noProof/>
                <w:webHidden/>
              </w:rPr>
            </w:r>
            <w:r>
              <w:rPr>
                <w:noProof/>
                <w:webHidden/>
              </w:rPr>
              <w:fldChar w:fldCharType="separate"/>
            </w:r>
            <w:r>
              <w:rPr>
                <w:noProof/>
                <w:webHidden/>
              </w:rPr>
              <w:t>71</w:t>
            </w:r>
            <w:r>
              <w:rPr>
                <w:noProof/>
                <w:webHidden/>
              </w:rPr>
              <w:fldChar w:fldCharType="end"/>
            </w:r>
          </w:hyperlink>
        </w:p>
        <w:p w:rsidR="009F4B0B" w:rsidRDefault="009F4B0B" w14:paraId="136B294E" w14:textId="5FB93671">
          <w:pPr>
            <w:pStyle w:val="TOC2"/>
            <w:rPr>
              <w:rFonts w:asciiTheme="minorHAnsi" w:hAnsiTheme="minorHAnsi" w:eastAsiaTheme="minorEastAsia" w:cstheme="minorBidi"/>
              <w:noProof/>
              <w:kern w:val="2"/>
              <w:sz w:val="24"/>
              <w:szCs w:val="24"/>
              <w14:ligatures w14:val="standardContextual"/>
            </w:rPr>
          </w:pPr>
          <w:hyperlink w:history="1" w:anchor="_Toc227838430">
            <w:r w:rsidRPr="00F8043F">
              <w:rPr>
                <w:rStyle w:val="Hyperlink"/>
                <w:rFonts w:eastAsia="PMingLiU" w:cs="Arial"/>
                <w:caps/>
                <w:noProof/>
                <w:specVanish/>
              </w:rPr>
              <w:t>17.5</w:t>
            </w:r>
            <w:r>
              <w:rPr>
                <w:rFonts w:asciiTheme="minorHAnsi" w:hAnsiTheme="minorHAnsi" w:eastAsiaTheme="minorEastAsia" w:cstheme="minorBidi"/>
                <w:noProof/>
                <w:kern w:val="2"/>
                <w:sz w:val="24"/>
                <w:szCs w:val="24"/>
                <w14:ligatures w14:val="standardContextual"/>
              </w:rPr>
              <w:tab/>
            </w:r>
            <w:r w:rsidRPr="00F8043F">
              <w:rPr>
                <w:rStyle w:val="Hyperlink"/>
                <w:noProof/>
              </w:rPr>
              <w:t>Environmental Compliance.</w:t>
            </w:r>
            <w:r>
              <w:rPr>
                <w:noProof/>
                <w:webHidden/>
              </w:rPr>
              <w:tab/>
            </w:r>
            <w:r>
              <w:rPr>
                <w:noProof/>
                <w:webHidden/>
              </w:rPr>
              <w:fldChar w:fldCharType="begin"/>
            </w:r>
            <w:r>
              <w:rPr>
                <w:noProof/>
                <w:webHidden/>
              </w:rPr>
              <w:instrText xml:space="preserve"> PAGEREF _Toc227838430 \h </w:instrText>
            </w:r>
            <w:r>
              <w:rPr>
                <w:noProof/>
                <w:webHidden/>
              </w:rPr>
            </w:r>
            <w:r>
              <w:rPr>
                <w:noProof/>
                <w:webHidden/>
              </w:rPr>
              <w:fldChar w:fldCharType="separate"/>
            </w:r>
            <w:r>
              <w:rPr>
                <w:noProof/>
                <w:webHidden/>
              </w:rPr>
              <w:t>72</w:t>
            </w:r>
            <w:r>
              <w:rPr>
                <w:noProof/>
                <w:webHidden/>
              </w:rPr>
              <w:fldChar w:fldCharType="end"/>
            </w:r>
          </w:hyperlink>
        </w:p>
        <w:p w:rsidR="009F4B0B" w:rsidRDefault="009F4B0B" w14:paraId="111C400C" w14:textId="13EAFD1C">
          <w:pPr>
            <w:pStyle w:val="TOC2"/>
            <w:rPr>
              <w:rFonts w:asciiTheme="minorHAnsi" w:hAnsiTheme="minorHAnsi" w:eastAsiaTheme="minorEastAsia" w:cstheme="minorBidi"/>
              <w:noProof/>
              <w:kern w:val="2"/>
              <w:sz w:val="24"/>
              <w:szCs w:val="24"/>
              <w14:ligatures w14:val="standardContextual"/>
            </w:rPr>
          </w:pPr>
          <w:hyperlink w:history="1" w:anchor="_Toc227838431">
            <w:r w:rsidRPr="00F8043F">
              <w:rPr>
                <w:rStyle w:val="Hyperlink"/>
                <w:rFonts w:eastAsia="PMingLiU" w:cs="Arial"/>
                <w:caps/>
                <w:noProof/>
                <w:specVanish/>
              </w:rPr>
              <w:t>17.6</w:t>
            </w:r>
            <w:r>
              <w:rPr>
                <w:rFonts w:asciiTheme="minorHAnsi" w:hAnsiTheme="minorHAnsi" w:eastAsiaTheme="minorEastAsia" w:cstheme="minorBidi"/>
                <w:noProof/>
                <w:kern w:val="2"/>
                <w:sz w:val="24"/>
                <w:szCs w:val="24"/>
                <w14:ligatures w14:val="standardContextual"/>
              </w:rPr>
              <w:tab/>
            </w:r>
            <w:r w:rsidRPr="00F8043F">
              <w:rPr>
                <w:rStyle w:val="Hyperlink"/>
                <w:noProof/>
              </w:rPr>
              <w:t>Wildlife.</w:t>
            </w:r>
            <w:r>
              <w:rPr>
                <w:noProof/>
                <w:webHidden/>
              </w:rPr>
              <w:tab/>
            </w:r>
            <w:r>
              <w:rPr>
                <w:noProof/>
                <w:webHidden/>
              </w:rPr>
              <w:fldChar w:fldCharType="begin"/>
            </w:r>
            <w:r>
              <w:rPr>
                <w:noProof/>
                <w:webHidden/>
              </w:rPr>
              <w:instrText xml:space="preserve"> PAGEREF _Toc227838431 \h </w:instrText>
            </w:r>
            <w:r>
              <w:rPr>
                <w:noProof/>
                <w:webHidden/>
              </w:rPr>
            </w:r>
            <w:r>
              <w:rPr>
                <w:noProof/>
                <w:webHidden/>
              </w:rPr>
              <w:fldChar w:fldCharType="separate"/>
            </w:r>
            <w:r>
              <w:rPr>
                <w:noProof/>
                <w:webHidden/>
              </w:rPr>
              <w:t>73</w:t>
            </w:r>
            <w:r>
              <w:rPr>
                <w:noProof/>
                <w:webHidden/>
              </w:rPr>
              <w:fldChar w:fldCharType="end"/>
            </w:r>
          </w:hyperlink>
        </w:p>
        <w:p w:rsidR="009F4B0B" w:rsidRDefault="009F4B0B" w14:paraId="03D1D45F" w14:textId="57315539">
          <w:pPr>
            <w:pStyle w:val="TOC2"/>
            <w:rPr>
              <w:rFonts w:asciiTheme="minorHAnsi" w:hAnsiTheme="minorHAnsi" w:eastAsiaTheme="minorEastAsia" w:cstheme="minorBidi"/>
              <w:noProof/>
              <w:kern w:val="2"/>
              <w:sz w:val="24"/>
              <w:szCs w:val="24"/>
              <w14:ligatures w14:val="standardContextual"/>
            </w:rPr>
          </w:pPr>
          <w:hyperlink w:history="1" w:anchor="_Toc227838432">
            <w:r w:rsidRPr="00F8043F">
              <w:rPr>
                <w:rStyle w:val="Hyperlink"/>
                <w:rFonts w:eastAsia="PMingLiU" w:cs="Arial"/>
                <w:caps/>
                <w:noProof/>
                <w:specVanish/>
              </w:rPr>
              <w:t>17.7</w:t>
            </w:r>
            <w:r>
              <w:rPr>
                <w:rFonts w:asciiTheme="minorHAnsi" w:hAnsiTheme="minorHAnsi" w:eastAsiaTheme="minorEastAsia" w:cstheme="minorBidi"/>
                <w:noProof/>
                <w:kern w:val="2"/>
                <w:sz w:val="24"/>
                <w:szCs w:val="24"/>
                <w14:ligatures w14:val="standardContextual"/>
              </w:rPr>
              <w:tab/>
            </w:r>
            <w:r w:rsidRPr="00F8043F">
              <w:rPr>
                <w:rStyle w:val="Hyperlink"/>
                <w:noProof/>
              </w:rPr>
              <w:t>Notices of Violations and Potential Violations; NOV Remediation Plan.</w:t>
            </w:r>
            <w:r>
              <w:rPr>
                <w:noProof/>
                <w:webHidden/>
              </w:rPr>
              <w:tab/>
            </w:r>
            <w:r>
              <w:rPr>
                <w:noProof/>
                <w:webHidden/>
              </w:rPr>
              <w:fldChar w:fldCharType="begin"/>
            </w:r>
            <w:r>
              <w:rPr>
                <w:noProof/>
                <w:webHidden/>
              </w:rPr>
              <w:instrText xml:space="preserve"> PAGEREF _Toc227838432 \h </w:instrText>
            </w:r>
            <w:r>
              <w:rPr>
                <w:noProof/>
                <w:webHidden/>
              </w:rPr>
            </w:r>
            <w:r>
              <w:rPr>
                <w:noProof/>
                <w:webHidden/>
              </w:rPr>
              <w:fldChar w:fldCharType="separate"/>
            </w:r>
            <w:r>
              <w:rPr>
                <w:noProof/>
                <w:webHidden/>
              </w:rPr>
              <w:t>73</w:t>
            </w:r>
            <w:r>
              <w:rPr>
                <w:noProof/>
                <w:webHidden/>
              </w:rPr>
              <w:fldChar w:fldCharType="end"/>
            </w:r>
          </w:hyperlink>
        </w:p>
        <w:p w:rsidR="009F4B0B" w:rsidRDefault="009F4B0B" w14:paraId="23CCE2FB" w14:textId="6D9A623E">
          <w:pPr>
            <w:pStyle w:val="TOC1"/>
            <w:rPr>
              <w:rFonts w:asciiTheme="minorHAnsi" w:hAnsiTheme="minorHAnsi" w:eastAsiaTheme="minorEastAsia" w:cstheme="minorBidi"/>
              <w:b w:val="0"/>
              <w:caps w:val="0"/>
              <w:noProof/>
              <w:kern w:val="2"/>
              <w:sz w:val="24"/>
              <w:szCs w:val="24"/>
              <w14:ligatures w14:val="standardContextual"/>
            </w:rPr>
          </w:pPr>
          <w:hyperlink w:history="1" w:anchor="_Toc227838433">
            <w:r w:rsidRPr="00F8043F">
              <w:rPr>
                <w:rStyle w:val="Hyperlink"/>
                <w:noProof/>
                <w14:scene3d>
                  <w14:camera w14:prst="orthographicFront"/>
                  <w14:lightRig w14:rig="threePt" w14:dir="t">
                    <w14:rot w14:lat="0" w14:lon="0" w14:rev="0"/>
                  </w14:lightRig>
                </w14:scene3d>
                <w14:props3d w14:extrusionH="0" w14:contourW="0" w14:prstMaterial="warmMatte"/>
              </w:rPr>
              <w:t>Part 18.</w:t>
            </w:r>
            <w:r>
              <w:rPr>
                <w:rFonts w:asciiTheme="minorHAnsi" w:hAnsiTheme="minorHAnsi" w:eastAsiaTheme="minorEastAsia" w:cstheme="minorBidi"/>
                <w:b w:val="0"/>
                <w:caps w:val="0"/>
                <w:noProof/>
                <w:kern w:val="2"/>
                <w:sz w:val="24"/>
                <w:szCs w:val="24"/>
                <w14:ligatures w14:val="standardContextual"/>
              </w:rPr>
              <w:tab/>
            </w:r>
            <w:r w:rsidRPr="00F8043F">
              <w:rPr>
                <w:rStyle w:val="Hyperlink"/>
                <w:noProof/>
              </w:rPr>
              <w:t>Assignment, Transfers, and Changes of Control</w:t>
            </w:r>
            <w:r>
              <w:rPr>
                <w:noProof/>
                <w:webHidden/>
              </w:rPr>
              <w:tab/>
            </w:r>
            <w:r>
              <w:rPr>
                <w:noProof/>
                <w:webHidden/>
              </w:rPr>
              <w:fldChar w:fldCharType="begin"/>
            </w:r>
            <w:r>
              <w:rPr>
                <w:noProof/>
                <w:webHidden/>
              </w:rPr>
              <w:instrText xml:space="preserve"> PAGEREF _Toc227838433 \h </w:instrText>
            </w:r>
            <w:r>
              <w:rPr>
                <w:noProof/>
                <w:webHidden/>
              </w:rPr>
            </w:r>
            <w:r>
              <w:rPr>
                <w:noProof/>
                <w:webHidden/>
              </w:rPr>
              <w:fldChar w:fldCharType="separate"/>
            </w:r>
            <w:r>
              <w:rPr>
                <w:noProof/>
                <w:webHidden/>
              </w:rPr>
              <w:t>73</w:t>
            </w:r>
            <w:r>
              <w:rPr>
                <w:noProof/>
                <w:webHidden/>
              </w:rPr>
              <w:fldChar w:fldCharType="end"/>
            </w:r>
          </w:hyperlink>
        </w:p>
        <w:p w:rsidR="009F4B0B" w:rsidRDefault="009F4B0B" w14:paraId="062C7FF1" w14:textId="63E9121E">
          <w:pPr>
            <w:pStyle w:val="TOC2"/>
            <w:rPr>
              <w:rFonts w:asciiTheme="minorHAnsi" w:hAnsiTheme="minorHAnsi" w:eastAsiaTheme="minorEastAsia" w:cstheme="minorBidi"/>
              <w:noProof/>
              <w:kern w:val="2"/>
              <w:sz w:val="24"/>
              <w:szCs w:val="24"/>
              <w14:ligatures w14:val="standardContextual"/>
            </w:rPr>
          </w:pPr>
          <w:hyperlink w:history="1" w:anchor="_Toc227838434">
            <w:r w:rsidRPr="00F8043F">
              <w:rPr>
                <w:rStyle w:val="Hyperlink"/>
                <w:rFonts w:eastAsia="PMingLiU" w:cs="Arial"/>
                <w:caps/>
                <w:noProof/>
                <w:specVanish/>
              </w:rPr>
              <w:t>18.1</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Assignment, Transfers, and Changes of Control.</w:t>
            </w:r>
            <w:r>
              <w:rPr>
                <w:noProof/>
                <w:webHidden/>
              </w:rPr>
              <w:tab/>
            </w:r>
            <w:r>
              <w:rPr>
                <w:noProof/>
                <w:webHidden/>
              </w:rPr>
              <w:fldChar w:fldCharType="begin"/>
            </w:r>
            <w:r>
              <w:rPr>
                <w:noProof/>
                <w:webHidden/>
              </w:rPr>
              <w:instrText xml:space="preserve"> PAGEREF _Toc227838434 \h </w:instrText>
            </w:r>
            <w:r>
              <w:rPr>
                <w:noProof/>
                <w:webHidden/>
              </w:rPr>
            </w:r>
            <w:r>
              <w:rPr>
                <w:noProof/>
                <w:webHidden/>
              </w:rPr>
              <w:fldChar w:fldCharType="separate"/>
            </w:r>
            <w:r>
              <w:rPr>
                <w:noProof/>
                <w:webHidden/>
              </w:rPr>
              <w:t>73</w:t>
            </w:r>
            <w:r>
              <w:rPr>
                <w:noProof/>
                <w:webHidden/>
              </w:rPr>
              <w:fldChar w:fldCharType="end"/>
            </w:r>
          </w:hyperlink>
        </w:p>
        <w:p w:rsidR="009F4B0B" w:rsidRDefault="009F4B0B" w14:paraId="74350256" w14:textId="77534CDF">
          <w:pPr>
            <w:pStyle w:val="TOC2"/>
            <w:rPr>
              <w:rFonts w:asciiTheme="minorHAnsi" w:hAnsiTheme="minorHAnsi" w:eastAsiaTheme="minorEastAsia" w:cstheme="minorBidi"/>
              <w:noProof/>
              <w:kern w:val="2"/>
              <w:sz w:val="24"/>
              <w:szCs w:val="24"/>
              <w14:ligatures w14:val="standardContextual"/>
            </w:rPr>
          </w:pPr>
          <w:hyperlink w:history="1" w:anchor="_Toc227838435">
            <w:r w:rsidRPr="00F8043F">
              <w:rPr>
                <w:rStyle w:val="Hyperlink"/>
                <w:rFonts w:eastAsia="PMingLiU" w:cs="Arial"/>
                <w:caps/>
                <w:noProof/>
                <w:specVanish/>
              </w:rPr>
              <w:t>18.2</w:t>
            </w:r>
            <w:r>
              <w:rPr>
                <w:rFonts w:asciiTheme="minorHAnsi" w:hAnsiTheme="minorHAnsi" w:eastAsiaTheme="minorEastAsia" w:cstheme="minorBidi"/>
                <w:noProof/>
                <w:kern w:val="2"/>
                <w:sz w:val="24"/>
                <w:szCs w:val="24"/>
                <w14:ligatures w14:val="standardContextual"/>
              </w:rPr>
              <w:tab/>
            </w:r>
            <w:r w:rsidRPr="00F8043F">
              <w:rPr>
                <w:rStyle w:val="Hyperlink"/>
                <w:rFonts w:eastAsia="Arial"/>
                <w:bCs/>
                <w:noProof/>
              </w:rPr>
              <w:t>Financing Assignment; Estoppels.</w:t>
            </w:r>
            <w:r>
              <w:rPr>
                <w:noProof/>
                <w:webHidden/>
              </w:rPr>
              <w:tab/>
            </w:r>
            <w:r>
              <w:rPr>
                <w:noProof/>
                <w:webHidden/>
              </w:rPr>
              <w:fldChar w:fldCharType="begin"/>
            </w:r>
            <w:r>
              <w:rPr>
                <w:noProof/>
                <w:webHidden/>
              </w:rPr>
              <w:instrText xml:space="preserve"> PAGEREF _Toc227838435 \h </w:instrText>
            </w:r>
            <w:r>
              <w:rPr>
                <w:noProof/>
                <w:webHidden/>
              </w:rPr>
            </w:r>
            <w:r>
              <w:rPr>
                <w:noProof/>
                <w:webHidden/>
              </w:rPr>
              <w:fldChar w:fldCharType="separate"/>
            </w:r>
            <w:r>
              <w:rPr>
                <w:noProof/>
                <w:webHidden/>
              </w:rPr>
              <w:t>74</w:t>
            </w:r>
            <w:r>
              <w:rPr>
                <w:noProof/>
                <w:webHidden/>
              </w:rPr>
              <w:fldChar w:fldCharType="end"/>
            </w:r>
          </w:hyperlink>
        </w:p>
        <w:p w:rsidR="009F4B0B" w:rsidRDefault="009F4B0B" w14:paraId="30A78984" w14:textId="3F657C9C">
          <w:pPr>
            <w:pStyle w:val="TOC2"/>
            <w:rPr>
              <w:rFonts w:asciiTheme="minorHAnsi" w:hAnsiTheme="minorHAnsi" w:eastAsiaTheme="minorEastAsia" w:cstheme="minorBidi"/>
              <w:noProof/>
              <w:kern w:val="2"/>
              <w:sz w:val="24"/>
              <w:szCs w:val="24"/>
              <w14:ligatures w14:val="standardContextual"/>
            </w:rPr>
          </w:pPr>
          <w:hyperlink w:history="1" w:anchor="_Toc227838436">
            <w:r w:rsidRPr="00F8043F">
              <w:rPr>
                <w:rStyle w:val="Hyperlink"/>
                <w:rFonts w:eastAsia="PMingLiU" w:cs="Arial"/>
                <w:caps/>
                <w:noProof/>
                <w:specVanish/>
              </w:rPr>
              <w:t>18.3</w:t>
            </w:r>
            <w:r>
              <w:rPr>
                <w:rFonts w:asciiTheme="minorHAnsi" w:hAnsiTheme="minorHAnsi" w:eastAsiaTheme="minorEastAsia" w:cstheme="minorBidi"/>
                <w:noProof/>
                <w:kern w:val="2"/>
                <w:sz w:val="24"/>
                <w:szCs w:val="24"/>
                <w14:ligatures w14:val="standardContextual"/>
              </w:rPr>
              <w:tab/>
            </w:r>
            <w:r w:rsidRPr="00F8043F">
              <w:rPr>
                <w:rStyle w:val="Hyperlink"/>
                <w:rFonts w:eastAsia="Arial"/>
                <w:bCs/>
                <w:noProof/>
              </w:rPr>
              <w:t>Reimbursement of GPC’s Costs</w:t>
            </w:r>
            <w:r w:rsidRPr="00F8043F">
              <w:rPr>
                <w:rStyle w:val="Hyperlink"/>
                <w:rFonts w:eastAsia="Arial"/>
                <w:noProof/>
              </w:rPr>
              <w:t>.</w:t>
            </w:r>
            <w:r>
              <w:rPr>
                <w:noProof/>
                <w:webHidden/>
              </w:rPr>
              <w:tab/>
            </w:r>
            <w:r>
              <w:rPr>
                <w:noProof/>
                <w:webHidden/>
              </w:rPr>
              <w:fldChar w:fldCharType="begin"/>
            </w:r>
            <w:r>
              <w:rPr>
                <w:noProof/>
                <w:webHidden/>
              </w:rPr>
              <w:instrText xml:space="preserve"> PAGEREF _Toc227838436 \h </w:instrText>
            </w:r>
            <w:r>
              <w:rPr>
                <w:noProof/>
                <w:webHidden/>
              </w:rPr>
            </w:r>
            <w:r>
              <w:rPr>
                <w:noProof/>
                <w:webHidden/>
              </w:rPr>
              <w:fldChar w:fldCharType="separate"/>
            </w:r>
            <w:r>
              <w:rPr>
                <w:noProof/>
                <w:webHidden/>
              </w:rPr>
              <w:t>74</w:t>
            </w:r>
            <w:r>
              <w:rPr>
                <w:noProof/>
                <w:webHidden/>
              </w:rPr>
              <w:fldChar w:fldCharType="end"/>
            </w:r>
          </w:hyperlink>
        </w:p>
        <w:p w:rsidR="009F4B0B" w:rsidRDefault="009F4B0B" w14:paraId="26535290" w14:textId="10EEAC72">
          <w:pPr>
            <w:pStyle w:val="TOC2"/>
            <w:rPr>
              <w:rFonts w:asciiTheme="minorHAnsi" w:hAnsiTheme="minorHAnsi" w:eastAsiaTheme="minorEastAsia" w:cstheme="minorBidi"/>
              <w:noProof/>
              <w:kern w:val="2"/>
              <w:sz w:val="24"/>
              <w:szCs w:val="24"/>
              <w14:ligatures w14:val="standardContextual"/>
            </w:rPr>
          </w:pPr>
          <w:hyperlink w:history="1" w:anchor="_Toc227838437">
            <w:r w:rsidRPr="00F8043F">
              <w:rPr>
                <w:rStyle w:val="Hyperlink"/>
                <w:rFonts w:eastAsia="PMingLiU" w:cs="Arial"/>
                <w:caps/>
                <w:noProof/>
                <w:specVanish/>
              </w:rPr>
              <w:t>18.4</w:t>
            </w:r>
            <w:r>
              <w:rPr>
                <w:rFonts w:asciiTheme="minorHAnsi" w:hAnsiTheme="minorHAnsi" w:eastAsiaTheme="minorEastAsia" w:cstheme="minorBidi"/>
                <w:noProof/>
                <w:kern w:val="2"/>
                <w:sz w:val="24"/>
                <w:szCs w:val="24"/>
                <w14:ligatures w14:val="standardContextual"/>
              </w:rPr>
              <w:tab/>
            </w:r>
            <w:r w:rsidRPr="00F8043F">
              <w:rPr>
                <w:rStyle w:val="Hyperlink"/>
                <w:bCs/>
                <w:noProof/>
              </w:rPr>
              <w:t>General Requirements</w:t>
            </w:r>
            <w:r w:rsidRPr="00F8043F">
              <w:rPr>
                <w:rStyle w:val="Hyperlink"/>
                <w:noProof/>
              </w:rPr>
              <w:t>.</w:t>
            </w:r>
            <w:r>
              <w:rPr>
                <w:noProof/>
                <w:webHidden/>
              </w:rPr>
              <w:tab/>
            </w:r>
            <w:r>
              <w:rPr>
                <w:noProof/>
                <w:webHidden/>
              </w:rPr>
              <w:fldChar w:fldCharType="begin"/>
            </w:r>
            <w:r>
              <w:rPr>
                <w:noProof/>
                <w:webHidden/>
              </w:rPr>
              <w:instrText xml:space="preserve"> PAGEREF _Toc227838437 \h </w:instrText>
            </w:r>
            <w:r>
              <w:rPr>
                <w:noProof/>
                <w:webHidden/>
              </w:rPr>
            </w:r>
            <w:r>
              <w:rPr>
                <w:noProof/>
                <w:webHidden/>
              </w:rPr>
              <w:fldChar w:fldCharType="separate"/>
            </w:r>
            <w:r>
              <w:rPr>
                <w:noProof/>
                <w:webHidden/>
              </w:rPr>
              <w:t>74</w:t>
            </w:r>
            <w:r>
              <w:rPr>
                <w:noProof/>
                <w:webHidden/>
              </w:rPr>
              <w:fldChar w:fldCharType="end"/>
            </w:r>
          </w:hyperlink>
        </w:p>
        <w:p w:rsidR="009F4B0B" w:rsidRDefault="009F4B0B" w14:paraId="65932E55" w14:textId="334E64CE">
          <w:pPr>
            <w:pStyle w:val="TOC1"/>
            <w:rPr>
              <w:rFonts w:asciiTheme="minorHAnsi" w:hAnsiTheme="minorHAnsi" w:eastAsiaTheme="minorEastAsia" w:cstheme="minorBidi"/>
              <w:b w:val="0"/>
              <w:caps w:val="0"/>
              <w:noProof/>
              <w:kern w:val="2"/>
              <w:sz w:val="24"/>
              <w:szCs w:val="24"/>
              <w14:ligatures w14:val="standardContextual"/>
            </w:rPr>
          </w:pPr>
          <w:hyperlink w:history="1" w:anchor="_Toc227838438">
            <w:r w:rsidRPr="00F8043F">
              <w:rPr>
                <w:rStyle w:val="Hyperlink"/>
                <w:noProof/>
                <w14:scene3d>
                  <w14:camera w14:prst="orthographicFront"/>
                  <w14:lightRig w14:rig="threePt" w14:dir="t">
                    <w14:rot w14:lat="0" w14:lon="0" w14:rev="0"/>
                  </w14:lightRig>
                </w14:scene3d>
                <w14:props3d w14:extrusionH="0" w14:contourW="0" w14:prstMaterial="warmMatte"/>
              </w:rPr>
              <w:t>Part 19.</w:t>
            </w:r>
            <w:r>
              <w:rPr>
                <w:rFonts w:asciiTheme="minorHAnsi" w:hAnsiTheme="minorHAnsi" w:eastAsiaTheme="minorEastAsia" w:cstheme="minorBidi"/>
                <w:b w:val="0"/>
                <w:caps w:val="0"/>
                <w:noProof/>
                <w:kern w:val="2"/>
                <w:sz w:val="24"/>
                <w:szCs w:val="24"/>
                <w14:ligatures w14:val="standardContextual"/>
              </w:rPr>
              <w:tab/>
            </w:r>
            <w:r w:rsidRPr="00F8043F">
              <w:rPr>
                <w:rStyle w:val="Hyperlink"/>
                <w:noProof/>
              </w:rPr>
              <w:t>Dispute Resolution</w:t>
            </w:r>
            <w:r>
              <w:rPr>
                <w:noProof/>
                <w:webHidden/>
              </w:rPr>
              <w:tab/>
            </w:r>
            <w:r>
              <w:rPr>
                <w:noProof/>
                <w:webHidden/>
              </w:rPr>
              <w:fldChar w:fldCharType="begin"/>
            </w:r>
            <w:r>
              <w:rPr>
                <w:noProof/>
                <w:webHidden/>
              </w:rPr>
              <w:instrText xml:space="preserve"> PAGEREF _Toc227838438 \h </w:instrText>
            </w:r>
            <w:r>
              <w:rPr>
                <w:noProof/>
                <w:webHidden/>
              </w:rPr>
            </w:r>
            <w:r>
              <w:rPr>
                <w:noProof/>
                <w:webHidden/>
              </w:rPr>
              <w:fldChar w:fldCharType="separate"/>
            </w:r>
            <w:r>
              <w:rPr>
                <w:noProof/>
                <w:webHidden/>
              </w:rPr>
              <w:t>75</w:t>
            </w:r>
            <w:r>
              <w:rPr>
                <w:noProof/>
                <w:webHidden/>
              </w:rPr>
              <w:fldChar w:fldCharType="end"/>
            </w:r>
          </w:hyperlink>
        </w:p>
        <w:p w:rsidR="009F4B0B" w:rsidRDefault="009F4B0B" w14:paraId="5A6572C8" w14:textId="3AE18438">
          <w:pPr>
            <w:pStyle w:val="TOC2"/>
            <w:rPr>
              <w:rFonts w:asciiTheme="minorHAnsi" w:hAnsiTheme="minorHAnsi" w:eastAsiaTheme="minorEastAsia" w:cstheme="minorBidi"/>
              <w:noProof/>
              <w:kern w:val="2"/>
              <w:sz w:val="24"/>
              <w:szCs w:val="24"/>
              <w14:ligatures w14:val="standardContextual"/>
            </w:rPr>
          </w:pPr>
          <w:hyperlink w:history="1" w:anchor="_Toc227838439">
            <w:r w:rsidRPr="00F8043F">
              <w:rPr>
                <w:rStyle w:val="Hyperlink"/>
                <w:rFonts w:eastAsia="PMingLiU" w:cs="Arial"/>
                <w:caps/>
                <w:noProof/>
                <w:specVanish/>
              </w:rPr>
              <w:t>19.1</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Notice of Dispute; Dispute Resolution Process.</w:t>
            </w:r>
            <w:r>
              <w:rPr>
                <w:noProof/>
                <w:webHidden/>
              </w:rPr>
              <w:tab/>
            </w:r>
            <w:r>
              <w:rPr>
                <w:noProof/>
                <w:webHidden/>
              </w:rPr>
              <w:fldChar w:fldCharType="begin"/>
            </w:r>
            <w:r>
              <w:rPr>
                <w:noProof/>
                <w:webHidden/>
              </w:rPr>
              <w:instrText xml:space="preserve"> PAGEREF _Toc227838439 \h </w:instrText>
            </w:r>
            <w:r>
              <w:rPr>
                <w:noProof/>
                <w:webHidden/>
              </w:rPr>
            </w:r>
            <w:r>
              <w:rPr>
                <w:noProof/>
                <w:webHidden/>
              </w:rPr>
              <w:fldChar w:fldCharType="separate"/>
            </w:r>
            <w:r>
              <w:rPr>
                <w:noProof/>
                <w:webHidden/>
              </w:rPr>
              <w:t>75</w:t>
            </w:r>
            <w:r>
              <w:rPr>
                <w:noProof/>
                <w:webHidden/>
              </w:rPr>
              <w:fldChar w:fldCharType="end"/>
            </w:r>
          </w:hyperlink>
        </w:p>
        <w:p w:rsidR="009F4B0B" w:rsidRDefault="009F4B0B" w14:paraId="00F13ED2" w14:textId="4EC623C5">
          <w:pPr>
            <w:pStyle w:val="TOC2"/>
            <w:rPr>
              <w:rFonts w:asciiTheme="minorHAnsi" w:hAnsiTheme="minorHAnsi" w:eastAsiaTheme="minorEastAsia" w:cstheme="minorBidi"/>
              <w:noProof/>
              <w:kern w:val="2"/>
              <w:sz w:val="24"/>
              <w:szCs w:val="24"/>
              <w14:ligatures w14:val="standardContextual"/>
            </w:rPr>
          </w:pPr>
          <w:hyperlink w:history="1" w:anchor="_Toc227838440">
            <w:r w:rsidRPr="00F8043F">
              <w:rPr>
                <w:rStyle w:val="Hyperlink"/>
                <w:rFonts w:eastAsia="PMingLiU" w:cs="Arial"/>
                <w:caps/>
                <w:noProof/>
                <w:specVanish/>
              </w:rPr>
              <w:t>19.2</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Expert Arbitration.</w:t>
            </w:r>
            <w:r>
              <w:rPr>
                <w:noProof/>
                <w:webHidden/>
              </w:rPr>
              <w:tab/>
            </w:r>
            <w:r>
              <w:rPr>
                <w:noProof/>
                <w:webHidden/>
              </w:rPr>
              <w:fldChar w:fldCharType="begin"/>
            </w:r>
            <w:r>
              <w:rPr>
                <w:noProof/>
                <w:webHidden/>
              </w:rPr>
              <w:instrText xml:space="preserve"> PAGEREF _Toc227838440 \h </w:instrText>
            </w:r>
            <w:r>
              <w:rPr>
                <w:noProof/>
                <w:webHidden/>
              </w:rPr>
            </w:r>
            <w:r>
              <w:rPr>
                <w:noProof/>
                <w:webHidden/>
              </w:rPr>
              <w:fldChar w:fldCharType="separate"/>
            </w:r>
            <w:r>
              <w:rPr>
                <w:noProof/>
                <w:webHidden/>
              </w:rPr>
              <w:t>75</w:t>
            </w:r>
            <w:r>
              <w:rPr>
                <w:noProof/>
                <w:webHidden/>
              </w:rPr>
              <w:fldChar w:fldCharType="end"/>
            </w:r>
          </w:hyperlink>
        </w:p>
        <w:p w:rsidR="009F4B0B" w:rsidRDefault="009F4B0B" w14:paraId="4203C1CD" w14:textId="0500030E">
          <w:pPr>
            <w:pStyle w:val="TOC2"/>
            <w:rPr>
              <w:rFonts w:asciiTheme="minorHAnsi" w:hAnsiTheme="minorHAnsi" w:eastAsiaTheme="minorEastAsia" w:cstheme="minorBidi"/>
              <w:noProof/>
              <w:kern w:val="2"/>
              <w:sz w:val="24"/>
              <w:szCs w:val="24"/>
              <w14:ligatures w14:val="standardContextual"/>
            </w:rPr>
          </w:pPr>
          <w:hyperlink w:history="1" w:anchor="_Toc227838441">
            <w:r w:rsidRPr="00F8043F">
              <w:rPr>
                <w:rStyle w:val="Hyperlink"/>
                <w:rFonts w:eastAsia="PMingLiU" w:cs="Arial"/>
                <w:caps/>
                <w:noProof/>
                <w:specVanish/>
              </w:rPr>
              <w:t>19.3</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JAMS Arbitration.</w:t>
            </w:r>
            <w:r>
              <w:rPr>
                <w:noProof/>
                <w:webHidden/>
              </w:rPr>
              <w:tab/>
            </w:r>
            <w:r>
              <w:rPr>
                <w:noProof/>
                <w:webHidden/>
              </w:rPr>
              <w:fldChar w:fldCharType="begin"/>
            </w:r>
            <w:r>
              <w:rPr>
                <w:noProof/>
                <w:webHidden/>
              </w:rPr>
              <w:instrText xml:space="preserve"> PAGEREF _Toc227838441 \h </w:instrText>
            </w:r>
            <w:r>
              <w:rPr>
                <w:noProof/>
                <w:webHidden/>
              </w:rPr>
            </w:r>
            <w:r>
              <w:rPr>
                <w:noProof/>
                <w:webHidden/>
              </w:rPr>
              <w:fldChar w:fldCharType="separate"/>
            </w:r>
            <w:r>
              <w:rPr>
                <w:noProof/>
                <w:webHidden/>
              </w:rPr>
              <w:t>76</w:t>
            </w:r>
            <w:r>
              <w:rPr>
                <w:noProof/>
                <w:webHidden/>
              </w:rPr>
              <w:fldChar w:fldCharType="end"/>
            </w:r>
          </w:hyperlink>
        </w:p>
        <w:p w:rsidR="009F4B0B" w:rsidRDefault="009F4B0B" w14:paraId="252EA234" w14:textId="50654191">
          <w:pPr>
            <w:pStyle w:val="TOC2"/>
            <w:rPr>
              <w:rFonts w:asciiTheme="minorHAnsi" w:hAnsiTheme="minorHAnsi" w:eastAsiaTheme="minorEastAsia" w:cstheme="minorBidi"/>
              <w:noProof/>
              <w:kern w:val="2"/>
              <w:sz w:val="24"/>
              <w:szCs w:val="24"/>
              <w14:ligatures w14:val="standardContextual"/>
            </w:rPr>
          </w:pPr>
          <w:hyperlink w:history="1" w:anchor="_Toc227838442">
            <w:r w:rsidRPr="00F8043F">
              <w:rPr>
                <w:rStyle w:val="Hyperlink"/>
                <w:rFonts w:eastAsia="PMingLiU" w:cs="Arial"/>
                <w:caps/>
                <w:noProof/>
                <w:specVanish/>
              </w:rPr>
              <w:t>19.4</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Location of Arbitration.</w:t>
            </w:r>
            <w:r>
              <w:rPr>
                <w:noProof/>
                <w:webHidden/>
              </w:rPr>
              <w:tab/>
            </w:r>
            <w:r>
              <w:rPr>
                <w:noProof/>
                <w:webHidden/>
              </w:rPr>
              <w:fldChar w:fldCharType="begin"/>
            </w:r>
            <w:r>
              <w:rPr>
                <w:noProof/>
                <w:webHidden/>
              </w:rPr>
              <w:instrText xml:space="preserve"> PAGEREF _Toc227838442 \h </w:instrText>
            </w:r>
            <w:r>
              <w:rPr>
                <w:noProof/>
                <w:webHidden/>
              </w:rPr>
            </w:r>
            <w:r>
              <w:rPr>
                <w:noProof/>
                <w:webHidden/>
              </w:rPr>
              <w:fldChar w:fldCharType="separate"/>
            </w:r>
            <w:r>
              <w:rPr>
                <w:noProof/>
                <w:webHidden/>
              </w:rPr>
              <w:t>77</w:t>
            </w:r>
            <w:r>
              <w:rPr>
                <w:noProof/>
                <w:webHidden/>
              </w:rPr>
              <w:fldChar w:fldCharType="end"/>
            </w:r>
          </w:hyperlink>
        </w:p>
        <w:p w:rsidR="009F4B0B" w:rsidRDefault="009F4B0B" w14:paraId="091163D6" w14:textId="79675823">
          <w:pPr>
            <w:pStyle w:val="TOC2"/>
            <w:rPr>
              <w:rFonts w:asciiTheme="minorHAnsi" w:hAnsiTheme="minorHAnsi" w:eastAsiaTheme="minorEastAsia" w:cstheme="minorBidi"/>
              <w:noProof/>
              <w:kern w:val="2"/>
              <w:sz w:val="24"/>
              <w:szCs w:val="24"/>
              <w14:ligatures w14:val="standardContextual"/>
            </w:rPr>
          </w:pPr>
          <w:hyperlink w:history="1" w:anchor="_Toc227838443">
            <w:r w:rsidRPr="00F8043F">
              <w:rPr>
                <w:rStyle w:val="Hyperlink"/>
                <w:rFonts w:eastAsia="PMingLiU" w:cs="Arial"/>
                <w:caps/>
                <w:noProof/>
                <w:specVanish/>
              </w:rPr>
              <w:t>19.5</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Mandatory Arbitration.</w:t>
            </w:r>
            <w:r>
              <w:rPr>
                <w:noProof/>
                <w:webHidden/>
              </w:rPr>
              <w:tab/>
            </w:r>
            <w:r>
              <w:rPr>
                <w:noProof/>
                <w:webHidden/>
              </w:rPr>
              <w:fldChar w:fldCharType="begin"/>
            </w:r>
            <w:r>
              <w:rPr>
                <w:noProof/>
                <w:webHidden/>
              </w:rPr>
              <w:instrText xml:space="preserve"> PAGEREF _Toc227838443 \h </w:instrText>
            </w:r>
            <w:r>
              <w:rPr>
                <w:noProof/>
                <w:webHidden/>
              </w:rPr>
            </w:r>
            <w:r>
              <w:rPr>
                <w:noProof/>
                <w:webHidden/>
              </w:rPr>
              <w:fldChar w:fldCharType="separate"/>
            </w:r>
            <w:r>
              <w:rPr>
                <w:noProof/>
                <w:webHidden/>
              </w:rPr>
              <w:t>78</w:t>
            </w:r>
            <w:r>
              <w:rPr>
                <w:noProof/>
                <w:webHidden/>
              </w:rPr>
              <w:fldChar w:fldCharType="end"/>
            </w:r>
          </w:hyperlink>
        </w:p>
        <w:p w:rsidR="009F4B0B" w:rsidRDefault="009F4B0B" w14:paraId="7B2FAC08" w14:textId="6BE169F6">
          <w:pPr>
            <w:pStyle w:val="TOC2"/>
            <w:rPr>
              <w:rFonts w:asciiTheme="minorHAnsi" w:hAnsiTheme="minorHAnsi" w:eastAsiaTheme="minorEastAsia" w:cstheme="minorBidi"/>
              <w:noProof/>
              <w:kern w:val="2"/>
              <w:sz w:val="24"/>
              <w:szCs w:val="24"/>
              <w14:ligatures w14:val="standardContextual"/>
            </w:rPr>
          </w:pPr>
          <w:hyperlink w:history="1" w:anchor="_Toc227838444">
            <w:r w:rsidRPr="00F8043F">
              <w:rPr>
                <w:rStyle w:val="Hyperlink"/>
                <w:rFonts w:eastAsia="PMingLiU" w:cs="Arial"/>
                <w:caps/>
                <w:noProof/>
                <w:specVanish/>
              </w:rPr>
              <w:t>19.6</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Injunctive Relief.</w:t>
            </w:r>
            <w:r>
              <w:rPr>
                <w:noProof/>
                <w:webHidden/>
              </w:rPr>
              <w:tab/>
            </w:r>
            <w:r>
              <w:rPr>
                <w:noProof/>
                <w:webHidden/>
              </w:rPr>
              <w:fldChar w:fldCharType="begin"/>
            </w:r>
            <w:r>
              <w:rPr>
                <w:noProof/>
                <w:webHidden/>
              </w:rPr>
              <w:instrText xml:space="preserve"> PAGEREF _Toc227838444 \h </w:instrText>
            </w:r>
            <w:r>
              <w:rPr>
                <w:noProof/>
                <w:webHidden/>
              </w:rPr>
            </w:r>
            <w:r>
              <w:rPr>
                <w:noProof/>
                <w:webHidden/>
              </w:rPr>
              <w:fldChar w:fldCharType="separate"/>
            </w:r>
            <w:r>
              <w:rPr>
                <w:noProof/>
                <w:webHidden/>
              </w:rPr>
              <w:t>78</w:t>
            </w:r>
            <w:r>
              <w:rPr>
                <w:noProof/>
                <w:webHidden/>
              </w:rPr>
              <w:fldChar w:fldCharType="end"/>
            </w:r>
          </w:hyperlink>
        </w:p>
        <w:p w:rsidR="009F4B0B" w:rsidRDefault="009F4B0B" w14:paraId="6EE79DF3" w14:textId="55DF6B9E">
          <w:pPr>
            <w:pStyle w:val="TOC2"/>
            <w:rPr>
              <w:rFonts w:asciiTheme="minorHAnsi" w:hAnsiTheme="minorHAnsi" w:eastAsiaTheme="minorEastAsia" w:cstheme="minorBidi"/>
              <w:noProof/>
              <w:kern w:val="2"/>
              <w:sz w:val="24"/>
              <w:szCs w:val="24"/>
              <w14:ligatures w14:val="standardContextual"/>
            </w:rPr>
          </w:pPr>
          <w:hyperlink w:history="1" w:anchor="_Toc227838445">
            <w:r w:rsidRPr="00F8043F">
              <w:rPr>
                <w:rStyle w:val="Hyperlink"/>
                <w:rFonts w:eastAsia="PMingLiU" w:cs="Arial"/>
                <w:caps/>
                <w:noProof/>
                <w:specVanish/>
              </w:rPr>
              <w:t>19.7</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Continued Performance.</w:t>
            </w:r>
            <w:r>
              <w:rPr>
                <w:noProof/>
                <w:webHidden/>
              </w:rPr>
              <w:tab/>
            </w:r>
            <w:r>
              <w:rPr>
                <w:noProof/>
                <w:webHidden/>
              </w:rPr>
              <w:fldChar w:fldCharType="begin"/>
            </w:r>
            <w:r>
              <w:rPr>
                <w:noProof/>
                <w:webHidden/>
              </w:rPr>
              <w:instrText xml:space="preserve"> PAGEREF _Toc227838445 \h </w:instrText>
            </w:r>
            <w:r>
              <w:rPr>
                <w:noProof/>
                <w:webHidden/>
              </w:rPr>
            </w:r>
            <w:r>
              <w:rPr>
                <w:noProof/>
                <w:webHidden/>
              </w:rPr>
              <w:fldChar w:fldCharType="separate"/>
            </w:r>
            <w:r>
              <w:rPr>
                <w:noProof/>
                <w:webHidden/>
              </w:rPr>
              <w:t>78</w:t>
            </w:r>
            <w:r>
              <w:rPr>
                <w:noProof/>
                <w:webHidden/>
              </w:rPr>
              <w:fldChar w:fldCharType="end"/>
            </w:r>
          </w:hyperlink>
        </w:p>
        <w:p w:rsidR="009F4B0B" w:rsidRDefault="009F4B0B" w14:paraId="46A3549C" w14:textId="1A9D77FE">
          <w:pPr>
            <w:pStyle w:val="TOC1"/>
            <w:rPr>
              <w:rFonts w:asciiTheme="minorHAnsi" w:hAnsiTheme="minorHAnsi" w:eastAsiaTheme="minorEastAsia" w:cstheme="minorBidi"/>
              <w:b w:val="0"/>
              <w:caps w:val="0"/>
              <w:noProof/>
              <w:kern w:val="2"/>
              <w:sz w:val="24"/>
              <w:szCs w:val="24"/>
              <w14:ligatures w14:val="standardContextual"/>
            </w:rPr>
          </w:pPr>
          <w:hyperlink w:history="1" w:anchor="_Toc227838446">
            <w:r w:rsidRPr="00F8043F">
              <w:rPr>
                <w:rStyle w:val="Hyperlink"/>
                <w:noProof/>
                <w14:scene3d>
                  <w14:camera w14:prst="orthographicFront"/>
                  <w14:lightRig w14:rig="threePt" w14:dir="t">
                    <w14:rot w14:lat="0" w14:lon="0" w14:rev="0"/>
                  </w14:lightRig>
                </w14:scene3d>
                <w14:props3d w14:extrusionH="0" w14:contourW="0" w14:prstMaterial="warmMatte"/>
              </w:rPr>
              <w:t>Part 20.</w:t>
            </w:r>
            <w:r>
              <w:rPr>
                <w:rFonts w:asciiTheme="minorHAnsi" w:hAnsiTheme="minorHAnsi" w:eastAsiaTheme="minorEastAsia" w:cstheme="minorBidi"/>
                <w:b w:val="0"/>
                <w:caps w:val="0"/>
                <w:noProof/>
                <w:kern w:val="2"/>
                <w:sz w:val="24"/>
                <w:szCs w:val="24"/>
                <w14:ligatures w14:val="standardContextual"/>
              </w:rPr>
              <w:tab/>
            </w:r>
            <w:r w:rsidRPr="00F8043F">
              <w:rPr>
                <w:rStyle w:val="Hyperlink"/>
                <w:noProof/>
              </w:rPr>
              <w:t>Miscellaneous Provisions</w:t>
            </w:r>
            <w:r>
              <w:rPr>
                <w:noProof/>
                <w:webHidden/>
              </w:rPr>
              <w:tab/>
            </w:r>
            <w:r>
              <w:rPr>
                <w:noProof/>
                <w:webHidden/>
              </w:rPr>
              <w:fldChar w:fldCharType="begin"/>
            </w:r>
            <w:r>
              <w:rPr>
                <w:noProof/>
                <w:webHidden/>
              </w:rPr>
              <w:instrText xml:space="preserve"> PAGEREF _Toc227838446 \h </w:instrText>
            </w:r>
            <w:r>
              <w:rPr>
                <w:noProof/>
                <w:webHidden/>
              </w:rPr>
            </w:r>
            <w:r>
              <w:rPr>
                <w:noProof/>
                <w:webHidden/>
              </w:rPr>
              <w:fldChar w:fldCharType="separate"/>
            </w:r>
            <w:r>
              <w:rPr>
                <w:noProof/>
                <w:webHidden/>
              </w:rPr>
              <w:t>78</w:t>
            </w:r>
            <w:r>
              <w:rPr>
                <w:noProof/>
                <w:webHidden/>
              </w:rPr>
              <w:fldChar w:fldCharType="end"/>
            </w:r>
          </w:hyperlink>
        </w:p>
        <w:p w:rsidR="009F4B0B" w:rsidRDefault="009F4B0B" w14:paraId="02F1BCB7" w14:textId="7856F766">
          <w:pPr>
            <w:pStyle w:val="TOC2"/>
            <w:rPr>
              <w:rFonts w:asciiTheme="minorHAnsi" w:hAnsiTheme="minorHAnsi" w:eastAsiaTheme="minorEastAsia" w:cstheme="minorBidi"/>
              <w:noProof/>
              <w:kern w:val="2"/>
              <w:sz w:val="24"/>
              <w:szCs w:val="24"/>
              <w14:ligatures w14:val="standardContextual"/>
            </w:rPr>
          </w:pPr>
          <w:hyperlink w:history="1" w:anchor="_Toc227838447">
            <w:r w:rsidRPr="00F8043F">
              <w:rPr>
                <w:rStyle w:val="Hyperlink"/>
                <w:rFonts w:eastAsia="PMingLiU" w:cs="Arial"/>
                <w:caps/>
                <w:noProof/>
                <w:specVanish/>
              </w:rPr>
              <w:t>20.1</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Amendments.</w:t>
            </w:r>
            <w:r>
              <w:rPr>
                <w:noProof/>
                <w:webHidden/>
              </w:rPr>
              <w:tab/>
            </w:r>
            <w:r>
              <w:rPr>
                <w:noProof/>
                <w:webHidden/>
              </w:rPr>
              <w:fldChar w:fldCharType="begin"/>
            </w:r>
            <w:r>
              <w:rPr>
                <w:noProof/>
                <w:webHidden/>
              </w:rPr>
              <w:instrText xml:space="preserve"> PAGEREF _Toc227838447 \h </w:instrText>
            </w:r>
            <w:r>
              <w:rPr>
                <w:noProof/>
                <w:webHidden/>
              </w:rPr>
            </w:r>
            <w:r>
              <w:rPr>
                <w:noProof/>
                <w:webHidden/>
              </w:rPr>
              <w:fldChar w:fldCharType="separate"/>
            </w:r>
            <w:r>
              <w:rPr>
                <w:noProof/>
                <w:webHidden/>
              </w:rPr>
              <w:t>78</w:t>
            </w:r>
            <w:r>
              <w:rPr>
                <w:noProof/>
                <w:webHidden/>
              </w:rPr>
              <w:fldChar w:fldCharType="end"/>
            </w:r>
          </w:hyperlink>
        </w:p>
        <w:p w:rsidR="009F4B0B" w:rsidRDefault="009F4B0B" w14:paraId="0EE17C5E" w14:textId="1D6C510A">
          <w:pPr>
            <w:pStyle w:val="TOC2"/>
            <w:rPr>
              <w:rFonts w:asciiTheme="minorHAnsi" w:hAnsiTheme="minorHAnsi" w:eastAsiaTheme="minorEastAsia" w:cstheme="minorBidi"/>
              <w:noProof/>
              <w:kern w:val="2"/>
              <w:sz w:val="24"/>
              <w:szCs w:val="24"/>
              <w14:ligatures w14:val="standardContextual"/>
            </w:rPr>
          </w:pPr>
          <w:hyperlink w:history="1" w:anchor="_Toc227838448">
            <w:r w:rsidRPr="00F8043F">
              <w:rPr>
                <w:rStyle w:val="Hyperlink"/>
                <w:rFonts w:eastAsia="PMingLiU" w:cs="Arial"/>
                <w:iCs/>
                <w:caps/>
                <w:noProof/>
                <w:specVanish/>
              </w:rPr>
              <w:t>20.2</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Binding Effect</w:t>
            </w:r>
            <w:r w:rsidRPr="00F8043F">
              <w:rPr>
                <w:rStyle w:val="Hyperlink"/>
                <w:rFonts w:cs="Arial"/>
                <w:i/>
                <w:iCs/>
                <w:noProof/>
              </w:rPr>
              <w:t>.</w:t>
            </w:r>
            <w:r>
              <w:rPr>
                <w:noProof/>
                <w:webHidden/>
              </w:rPr>
              <w:tab/>
            </w:r>
            <w:r>
              <w:rPr>
                <w:noProof/>
                <w:webHidden/>
              </w:rPr>
              <w:fldChar w:fldCharType="begin"/>
            </w:r>
            <w:r>
              <w:rPr>
                <w:noProof/>
                <w:webHidden/>
              </w:rPr>
              <w:instrText xml:space="preserve"> PAGEREF _Toc227838448 \h </w:instrText>
            </w:r>
            <w:r>
              <w:rPr>
                <w:noProof/>
                <w:webHidden/>
              </w:rPr>
            </w:r>
            <w:r>
              <w:rPr>
                <w:noProof/>
                <w:webHidden/>
              </w:rPr>
              <w:fldChar w:fldCharType="separate"/>
            </w:r>
            <w:r>
              <w:rPr>
                <w:noProof/>
                <w:webHidden/>
              </w:rPr>
              <w:t>78</w:t>
            </w:r>
            <w:r>
              <w:rPr>
                <w:noProof/>
                <w:webHidden/>
              </w:rPr>
              <w:fldChar w:fldCharType="end"/>
            </w:r>
          </w:hyperlink>
        </w:p>
        <w:p w:rsidR="009F4B0B" w:rsidRDefault="009F4B0B" w14:paraId="7B6CEB5A" w14:textId="10640D24">
          <w:pPr>
            <w:pStyle w:val="TOC2"/>
            <w:rPr>
              <w:rFonts w:asciiTheme="minorHAnsi" w:hAnsiTheme="minorHAnsi" w:eastAsiaTheme="minorEastAsia" w:cstheme="minorBidi"/>
              <w:noProof/>
              <w:kern w:val="2"/>
              <w:sz w:val="24"/>
              <w:szCs w:val="24"/>
              <w14:ligatures w14:val="standardContextual"/>
            </w:rPr>
          </w:pPr>
          <w:hyperlink w:history="1" w:anchor="_Toc227838449">
            <w:r w:rsidRPr="00F8043F">
              <w:rPr>
                <w:rStyle w:val="Hyperlink"/>
                <w:rFonts w:eastAsia="PMingLiU" w:cs="Arial"/>
                <w:caps/>
                <w:noProof/>
                <w:specVanish/>
              </w:rPr>
              <w:t>20.3</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Counterparts.</w:t>
            </w:r>
            <w:r>
              <w:rPr>
                <w:noProof/>
                <w:webHidden/>
              </w:rPr>
              <w:tab/>
            </w:r>
            <w:r>
              <w:rPr>
                <w:noProof/>
                <w:webHidden/>
              </w:rPr>
              <w:fldChar w:fldCharType="begin"/>
            </w:r>
            <w:r>
              <w:rPr>
                <w:noProof/>
                <w:webHidden/>
              </w:rPr>
              <w:instrText xml:space="preserve"> PAGEREF _Toc227838449 \h </w:instrText>
            </w:r>
            <w:r>
              <w:rPr>
                <w:noProof/>
                <w:webHidden/>
              </w:rPr>
            </w:r>
            <w:r>
              <w:rPr>
                <w:noProof/>
                <w:webHidden/>
              </w:rPr>
              <w:fldChar w:fldCharType="separate"/>
            </w:r>
            <w:r>
              <w:rPr>
                <w:noProof/>
                <w:webHidden/>
              </w:rPr>
              <w:t>78</w:t>
            </w:r>
            <w:r>
              <w:rPr>
                <w:noProof/>
                <w:webHidden/>
              </w:rPr>
              <w:fldChar w:fldCharType="end"/>
            </w:r>
          </w:hyperlink>
        </w:p>
        <w:p w:rsidR="009F4B0B" w:rsidRDefault="009F4B0B" w14:paraId="1C8DDE4C" w14:textId="1293C1EC">
          <w:pPr>
            <w:pStyle w:val="TOC2"/>
            <w:rPr>
              <w:rFonts w:asciiTheme="minorHAnsi" w:hAnsiTheme="minorHAnsi" w:eastAsiaTheme="minorEastAsia" w:cstheme="minorBidi"/>
              <w:noProof/>
              <w:kern w:val="2"/>
              <w:sz w:val="24"/>
              <w:szCs w:val="24"/>
              <w14:ligatures w14:val="standardContextual"/>
            </w:rPr>
          </w:pPr>
          <w:hyperlink w:history="1" w:anchor="_Toc227838450">
            <w:r w:rsidRPr="00F8043F">
              <w:rPr>
                <w:rStyle w:val="Hyperlink"/>
                <w:rFonts w:eastAsia="PMingLiU" w:cs="Arial"/>
                <w:caps/>
                <w:noProof/>
                <w:specVanish/>
              </w:rPr>
              <w:t>20.4</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Notice.</w:t>
            </w:r>
            <w:r>
              <w:rPr>
                <w:noProof/>
                <w:webHidden/>
              </w:rPr>
              <w:tab/>
            </w:r>
            <w:r>
              <w:rPr>
                <w:noProof/>
                <w:webHidden/>
              </w:rPr>
              <w:fldChar w:fldCharType="begin"/>
            </w:r>
            <w:r>
              <w:rPr>
                <w:noProof/>
                <w:webHidden/>
              </w:rPr>
              <w:instrText xml:space="preserve"> PAGEREF _Toc227838450 \h </w:instrText>
            </w:r>
            <w:r>
              <w:rPr>
                <w:noProof/>
                <w:webHidden/>
              </w:rPr>
            </w:r>
            <w:r>
              <w:rPr>
                <w:noProof/>
                <w:webHidden/>
              </w:rPr>
              <w:fldChar w:fldCharType="separate"/>
            </w:r>
            <w:r>
              <w:rPr>
                <w:noProof/>
                <w:webHidden/>
              </w:rPr>
              <w:t>78</w:t>
            </w:r>
            <w:r>
              <w:rPr>
                <w:noProof/>
                <w:webHidden/>
              </w:rPr>
              <w:fldChar w:fldCharType="end"/>
            </w:r>
          </w:hyperlink>
        </w:p>
        <w:p w:rsidR="009F4B0B" w:rsidRDefault="009F4B0B" w14:paraId="0995D42B" w14:textId="476E4C5A">
          <w:pPr>
            <w:pStyle w:val="TOC2"/>
            <w:rPr>
              <w:rFonts w:asciiTheme="minorHAnsi" w:hAnsiTheme="minorHAnsi" w:eastAsiaTheme="minorEastAsia" w:cstheme="minorBidi"/>
              <w:noProof/>
              <w:kern w:val="2"/>
              <w:sz w:val="24"/>
              <w:szCs w:val="24"/>
              <w14:ligatures w14:val="standardContextual"/>
            </w:rPr>
          </w:pPr>
          <w:hyperlink w:history="1" w:anchor="_Toc227838451">
            <w:r w:rsidRPr="00F8043F">
              <w:rPr>
                <w:rStyle w:val="Hyperlink"/>
                <w:rFonts w:eastAsia="PMingLiU" w:cs="Arial"/>
                <w:caps/>
                <w:noProof/>
                <w:specVanish/>
              </w:rPr>
              <w:t>20.5</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Entire Agreement.</w:t>
            </w:r>
            <w:r>
              <w:rPr>
                <w:noProof/>
                <w:webHidden/>
              </w:rPr>
              <w:tab/>
            </w:r>
            <w:r>
              <w:rPr>
                <w:noProof/>
                <w:webHidden/>
              </w:rPr>
              <w:fldChar w:fldCharType="begin"/>
            </w:r>
            <w:r>
              <w:rPr>
                <w:noProof/>
                <w:webHidden/>
              </w:rPr>
              <w:instrText xml:space="preserve"> PAGEREF _Toc227838451 \h </w:instrText>
            </w:r>
            <w:r>
              <w:rPr>
                <w:noProof/>
                <w:webHidden/>
              </w:rPr>
            </w:r>
            <w:r>
              <w:rPr>
                <w:noProof/>
                <w:webHidden/>
              </w:rPr>
              <w:fldChar w:fldCharType="separate"/>
            </w:r>
            <w:r>
              <w:rPr>
                <w:noProof/>
                <w:webHidden/>
              </w:rPr>
              <w:t>78</w:t>
            </w:r>
            <w:r>
              <w:rPr>
                <w:noProof/>
                <w:webHidden/>
              </w:rPr>
              <w:fldChar w:fldCharType="end"/>
            </w:r>
          </w:hyperlink>
        </w:p>
        <w:p w:rsidR="009F4B0B" w:rsidRDefault="009F4B0B" w14:paraId="53F91ED5" w14:textId="133DAE2E">
          <w:pPr>
            <w:pStyle w:val="TOC2"/>
            <w:rPr>
              <w:rFonts w:asciiTheme="minorHAnsi" w:hAnsiTheme="minorHAnsi" w:eastAsiaTheme="minorEastAsia" w:cstheme="minorBidi"/>
              <w:noProof/>
              <w:kern w:val="2"/>
              <w:sz w:val="24"/>
              <w:szCs w:val="24"/>
              <w14:ligatures w14:val="standardContextual"/>
            </w:rPr>
          </w:pPr>
          <w:hyperlink w:history="1" w:anchor="_Toc227838452">
            <w:r w:rsidRPr="00F8043F">
              <w:rPr>
                <w:rStyle w:val="Hyperlink"/>
                <w:rFonts w:eastAsia="PMingLiU" w:cs="Arial"/>
                <w:caps/>
                <w:noProof/>
                <w:specVanish/>
              </w:rPr>
              <w:t>20.6</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Governing Law.</w:t>
            </w:r>
            <w:r>
              <w:rPr>
                <w:noProof/>
                <w:webHidden/>
              </w:rPr>
              <w:tab/>
            </w:r>
            <w:r>
              <w:rPr>
                <w:noProof/>
                <w:webHidden/>
              </w:rPr>
              <w:fldChar w:fldCharType="begin"/>
            </w:r>
            <w:r>
              <w:rPr>
                <w:noProof/>
                <w:webHidden/>
              </w:rPr>
              <w:instrText xml:space="preserve"> PAGEREF _Toc227838452 \h </w:instrText>
            </w:r>
            <w:r>
              <w:rPr>
                <w:noProof/>
                <w:webHidden/>
              </w:rPr>
            </w:r>
            <w:r>
              <w:rPr>
                <w:noProof/>
                <w:webHidden/>
              </w:rPr>
              <w:fldChar w:fldCharType="separate"/>
            </w:r>
            <w:r>
              <w:rPr>
                <w:noProof/>
                <w:webHidden/>
              </w:rPr>
              <w:t>79</w:t>
            </w:r>
            <w:r>
              <w:rPr>
                <w:noProof/>
                <w:webHidden/>
              </w:rPr>
              <w:fldChar w:fldCharType="end"/>
            </w:r>
          </w:hyperlink>
        </w:p>
        <w:p w:rsidR="009F4B0B" w:rsidRDefault="009F4B0B" w14:paraId="1720A779" w14:textId="501BDF51">
          <w:pPr>
            <w:pStyle w:val="TOC2"/>
            <w:rPr>
              <w:rFonts w:asciiTheme="minorHAnsi" w:hAnsiTheme="minorHAnsi" w:eastAsiaTheme="minorEastAsia" w:cstheme="minorBidi"/>
              <w:noProof/>
              <w:kern w:val="2"/>
              <w:sz w:val="24"/>
              <w:szCs w:val="24"/>
              <w14:ligatures w14:val="standardContextual"/>
            </w:rPr>
          </w:pPr>
          <w:hyperlink w:history="1" w:anchor="_Toc227838453">
            <w:r w:rsidRPr="00F8043F">
              <w:rPr>
                <w:rStyle w:val="Hyperlink"/>
                <w:rFonts w:eastAsia="PMingLiU" w:cs="Arial"/>
                <w:caps/>
                <w:noProof/>
                <w:specVanish/>
              </w:rPr>
              <w:t>20.7</w:t>
            </w:r>
            <w:r>
              <w:rPr>
                <w:rFonts w:asciiTheme="minorHAnsi" w:hAnsiTheme="minorHAnsi" w:eastAsiaTheme="minorEastAsia" w:cstheme="minorBidi"/>
                <w:noProof/>
                <w:kern w:val="2"/>
                <w:sz w:val="24"/>
                <w:szCs w:val="24"/>
                <w14:ligatures w14:val="standardContextual"/>
              </w:rPr>
              <w:tab/>
            </w:r>
            <w:r w:rsidRPr="00F8043F">
              <w:rPr>
                <w:rStyle w:val="Hyperlink"/>
                <w:noProof/>
              </w:rPr>
              <w:t>Liability</w:t>
            </w:r>
            <w:r w:rsidRPr="00F8043F">
              <w:rPr>
                <w:rStyle w:val="Hyperlink"/>
                <w:rFonts w:cs="Arial"/>
                <w:noProof/>
              </w:rPr>
              <w:t>.</w:t>
            </w:r>
            <w:r>
              <w:rPr>
                <w:noProof/>
                <w:webHidden/>
              </w:rPr>
              <w:tab/>
            </w:r>
            <w:r>
              <w:rPr>
                <w:noProof/>
                <w:webHidden/>
              </w:rPr>
              <w:fldChar w:fldCharType="begin"/>
            </w:r>
            <w:r>
              <w:rPr>
                <w:noProof/>
                <w:webHidden/>
              </w:rPr>
              <w:instrText xml:space="preserve"> PAGEREF _Toc227838453 \h </w:instrText>
            </w:r>
            <w:r>
              <w:rPr>
                <w:noProof/>
                <w:webHidden/>
              </w:rPr>
            </w:r>
            <w:r>
              <w:rPr>
                <w:noProof/>
                <w:webHidden/>
              </w:rPr>
              <w:fldChar w:fldCharType="separate"/>
            </w:r>
            <w:r>
              <w:rPr>
                <w:noProof/>
                <w:webHidden/>
              </w:rPr>
              <w:t>79</w:t>
            </w:r>
            <w:r>
              <w:rPr>
                <w:noProof/>
                <w:webHidden/>
              </w:rPr>
              <w:fldChar w:fldCharType="end"/>
            </w:r>
          </w:hyperlink>
        </w:p>
        <w:p w:rsidR="009F4B0B" w:rsidRDefault="009F4B0B" w14:paraId="5AC59B7B" w14:textId="0412B8CF">
          <w:pPr>
            <w:pStyle w:val="TOC2"/>
            <w:rPr>
              <w:rFonts w:asciiTheme="minorHAnsi" w:hAnsiTheme="minorHAnsi" w:eastAsiaTheme="minorEastAsia" w:cstheme="minorBidi"/>
              <w:noProof/>
              <w:kern w:val="2"/>
              <w:sz w:val="24"/>
              <w:szCs w:val="24"/>
              <w14:ligatures w14:val="standardContextual"/>
            </w:rPr>
          </w:pPr>
          <w:hyperlink w:history="1" w:anchor="_Toc227838454">
            <w:r w:rsidRPr="00F8043F">
              <w:rPr>
                <w:rStyle w:val="Hyperlink"/>
                <w:caps/>
                <w:noProof/>
                <w:specVanish/>
              </w:rPr>
              <w:t>20.8</w:t>
            </w:r>
            <w:r>
              <w:rPr>
                <w:rFonts w:asciiTheme="minorHAnsi" w:hAnsiTheme="minorHAnsi" w:eastAsiaTheme="minorEastAsia" w:cstheme="minorBidi"/>
                <w:noProof/>
                <w:kern w:val="2"/>
                <w:sz w:val="24"/>
                <w:szCs w:val="24"/>
                <w14:ligatures w14:val="standardContextual"/>
              </w:rPr>
              <w:tab/>
            </w:r>
            <w:r w:rsidRPr="00F8043F">
              <w:rPr>
                <w:rStyle w:val="Hyperlink"/>
                <w:noProof/>
              </w:rPr>
              <w:t>GPC’s Agent.</w:t>
            </w:r>
            <w:r>
              <w:rPr>
                <w:noProof/>
                <w:webHidden/>
              </w:rPr>
              <w:tab/>
            </w:r>
            <w:r>
              <w:rPr>
                <w:noProof/>
                <w:webHidden/>
              </w:rPr>
              <w:fldChar w:fldCharType="begin"/>
            </w:r>
            <w:r>
              <w:rPr>
                <w:noProof/>
                <w:webHidden/>
              </w:rPr>
              <w:instrText xml:space="preserve"> PAGEREF _Toc227838454 \h </w:instrText>
            </w:r>
            <w:r>
              <w:rPr>
                <w:noProof/>
                <w:webHidden/>
              </w:rPr>
            </w:r>
            <w:r>
              <w:rPr>
                <w:noProof/>
                <w:webHidden/>
              </w:rPr>
              <w:fldChar w:fldCharType="separate"/>
            </w:r>
            <w:r>
              <w:rPr>
                <w:noProof/>
                <w:webHidden/>
              </w:rPr>
              <w:t>79</w:t>
            </w:r>
            <w:r>
              <w:rPr>
                <w:noProof/>
                <w:webHidden/>
              </w:rPr>
              <w:fldChar w:fldCharType="end"/>
            </w:r>
          </w:hyperlink>
        </w:p>
        <w:p w:rsidR="009F4B0B" w:rsidRDefault="009F4B0B" w14:paraId="69EAA54F" w14:textId="441C8BEF">
          <w:pPr>
            <w:pStyle w:val="TOC2"/>
            <w:rPr>
              <w:rFonts w:asciiTheme="minorHAnsi" w:hAnsiTheme="minorHAnsi" w:eastAsiaTheme="minorEastAsia" w:cstheme="minorBidi"/>
              <w:noProof/>
              <w:kern w:val="2"/>
              <w:sz w:val="24"/>
              <w:szCs w:val="24"/>
              <w14:ligatures w14:val="standardContextual"/>
            </w:rPr>
          </w:pPr>
          <w:hyperlink w:history="1" w:anchor="_Toc227838455">
            <w:r w:rsidRPr="00F8043F">
              <w:rPr>
                <w:rStyle w:val="Hyperlink"/>
                <w:caps/>
                <w:noProof/>
                <w:specVanish/>
              </w:rPr>
              <w:t>20.9</w:t>
            </w:r>
            <w:r>
              <w:rPr>
                <w:rFonts w:asciiTheme="minorHAnsi" w:hAnsiTheme="minorHAnsi" w:eastAsiaTheme="minorEastAsia" w:cstheme="minorBidi"/>
                <w:noProof/>
                <w:kern w:val="2"/>
                <w:sz w:val="24"/>
                <w:szCs w:val="24"/>
                <w14:ligatures w14:val="standardContextual"/>
              </w:rPr>
              <w:tab/>
            </w:r>
            <w:r w:rsidRPr="00F8043F">
              <w:rPr>
                <w:rStyle w:val="Hyperlink"/>
                <w:noProof/>
              </w:rPr>
              <w:t>No GPC Affiliate Liability.</w:t>
            </w:r>
            <w:r>
              <w:rPr>
                <w:noProof/>
                <w:webHidden/>
              </w:rPr>
              <w:tab/>
            </w:r>
            <w:r>
              <w:rPr>
                <w:noProof/>
                <w:webHidden/>
              </w:rPr>
              <w:fldChar w:fldCharType="begin"/>
            </w:r>
            <w:r>
              <w:rPr>
                <w:noProof/>
                <w:webHidden/>
              </w:rPr>
              <w:instrText xml:space="preserve"> PAGEREF _Toc227838455 \h </w:instrText>
            </w:r>
            <w:r>
              <w:rPr>
                <w:noProof/>
                <w:webHidden/>
              </w:rPr>
            </w:r>
            <w:r>
              <w:rPr>
                <w:noProof/>
                <w:webHidden/>
              </w:rPr>
              <w:fldChar w:fldCharType="separate"/>
            </w:r>
            <w:r>
              <w:rPr>
                <w:noProof/>
                <w:webHidden/>
              </w:rPr>
              <w:t>79</w:t>
            </w:r>
            <w:r>
              <w:rPr>
                <w:noProof/>
                <w:webHidden/>
              </w:rPr>
              <w:fldChar w:fldCharType="end"/>
            </w:r>
          </w:hyperlink>
        </w:p>
        <w:p w:rsidR="009F4B0B" w:rsidRDefault="009F4B0B" w14:paraId="69D4A98E" w14:textId="762C7B08">
          <w:pPr>
            <w:pStyle w:val="TOC2"/>
            <w:rPr>
              <w:rFonts w:asciiTheme="minorHAnsi" w:hAnsiTheme="minorHAnsi" w:eastAsiaTheme="minorEastAsia" w:cstheme="minorBidi"/>
              <w:noProof/>
              <w:kern w:val="2"/>
              <w:sz w:val="24"/>
              <w:szCs w:val="24"/>
              <w14:ligatures w14:val="standardContextual"/>
            </w:rPr>
          </w:pPr>
          <w:hyperlink w:history="1" w:anchor="_Toc227838456">
            <w:r w:rsidRPr="00F8043F">
              <w:rPr>
                <w:rStyle w:val="Hyperlink"/>
                <w:rFonts w:eastAsia="PMingLiU" w:cs="Arial"/>
                <w:caps/>
                <w:noProof/>
                <w:specVanish/>
              </w:rPr>
              <w:t>20.10</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Time of Essence; No Waiver.</w:t>
            </w:r>
            <w:r>
              <w:rPr>
                <w:noProof/>
                <w:webHidden/>
              </w:rPr>
              <w:tab/>
            </w:r>
            <w:r>
              <w:rPr>
                <w:noProof/>
                <w:webHidden/>
              </w:rPr>
              <w:fldChar w:fldCharType="begin"/>
            </w:r>
            <w:r>
              <w:rPr>
                <w:noProof/>
                <w:webHidden/>
              </w:rPr>
              <w:instrText xml:space="preserve"> PAGEREF _Toc227838456 \h </w:instrText>
            </w:r>
            <w:r>
              <w:rPr>
                <w:noProof/>
                <w:webHidden/>
              </w:rPr>
            </w:r>
            <w:r>
              <w:rPr>
                <w:noProof/>
                <w:webHidden/>
              </w:rPr>
              <w:fldChar w:fldCharType="separate"/>
            </w:r>
            <w:r>
              <w:rPr>
                <w:noProof/>
                <w:webHidden/>
              </w:rPr>
              <w:t>79</w:t>
            </w:r>
            <w:r>
              <w:rPr>
                <w:noProof/>
                <w:webHidden/>
              </w:rPr>
              <w:fldChar w:fldCharType="end"/>
            </w:r>
          </w:hyperlink>
        </w:p>
        <w:p w:rsidR="009F4B0B" w:rsidRDefault="009F4B0B" w14:paraId="1E798EF8" w14:textId="6E5C2B5E">
          <w:pPr>
            <w:pStyle w:val="TOC2"/>
            <w:rPr>
              <w:rFonts w:asciiTheme="minorHAnsi" w:hAnsiTheme="minorHAnsi" w:eastAsiaTheme="minorEastAsia" w:cstheme="minorBidi"/>
              <w:noProof/>
              <w:kern w:val="2"/>
              <w:sz w:val="24"/>
              <w:szCs w:val="24"/>
              <w14:ligatures w14:val="standardContextual"/>
            </w:rPr>
          </w:pPr>
          <w:hyperlink w:history="1" w:anchor="_Toc227838457">
            <w:r w:rsidRPr="00F8043F">
              <w:rPr>
                <w:rStyle w:val="Hyperlink"/>
                <w:rFonts w:eastAsia="PMingLiU" w:cs="Arial"/>
                <w:caps/>
                <w:noProof/>
                <w:specVanish/>
              </w:rPr>
              <w:t>20.11</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Headings.</w:t>
            </w:r>
            <w:r>
              <w:rPr>
                <w:noProof/>
                <w:webHidden/>
              </w:rPr>
              <w:tab/>
            </w:r>
            <w:r>
              <w:rPr>
                <w:noProof/>
                <w:webHidden/>
              </w:rPr>
              <w:fldChar w:fldCharType="begin"/>
            </w:r>
            <w:r>
              <w:rPr>
                <w:noProof/>
                <w:webHidden/>
              </w:rPr>
              <w:instrText xml:space="preserve"> PAGEREF _Toc227838457 \h </w:instrText>
            </w:r>
            <w:r>
              <w:rPr>
                <w:noProof/>
                <w:webHidden/>
              </w:rPr>
            </w:r>
            <w:r>
              <w:rPr>
                <w:noProof/>
                <w:webHidden/>
              </w:rPr>
              <w:fldChar w:fldCharType="separate"/>
            </w:r>
            <w:r>
              <w:rPr>
                <w:noProof/>
                <w:webHidden/>
              </w:rPr>
              <w:t>79</w:t>
            </w:r>
            <w:r>
              <w:rPr>
                <w:noProof/>
                <w:webHidden/>
              </w:rPr>
              <w:fldChar w:fldCharType="end"/>
            </w:r>
          </w:hyperlink>
        </w:p>
        <w:p w:rsidR="009F4B0B" w:rsidRDefault="009F4B0B" w14:paraId="386E8687" w14:textId="3C895B1A">
          <w:pPr>
            <w:pStyle w:val="TOC2"/>
            <w:rPr>
              <w:rFonts w:asciiTheme="minorHAnsi" w:hAnsiTheme="minorHAnsi" w:eastAsiaTheme="minorEastAsia" w:cstheme="minorBidi"/>
              <w:noProof/>
              <w:kern w:val="2"/>
              <w:sz w:val="24"/>
              <w:szCs w:val="24"/>
              <w14:ligatures w14:val="standardContextual"/>
            </w:rPr>
          </w:pPr>
          <w:hyperlink w:history="1" w:anchor="_Toc227838458">
            <w:r w:rsidRPr="00F8043F">
              <w:rPr>
                <w:rStyle w:val="Hyperlink"/>
                <w:rFonts w:eastAsia="PMingLiU" w:cs="Arial"/>
                <w:caps/>
                <w:noProof/>
                <w:specVanish/>
              </w:rPr>
              <w:t>20.12</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Third Parties.</w:t>
            </w:r>
            <w:r>
              <w:rPr>
                <w:noProof/>
                <w:webHidden/>
              </w:rPr>
              <w:tab/>
            </w:r>
            <w:r>
              <w:rPr>
                <w:noProof/>
                <w:webHidden/>
              </w:rPr>
              <w:fldChar w:fldCharType="begin"/>
            </w:r>
            <w:r>
              <w:rPr>
                <w:noProof/>
                <w:webHidden/>
              </w:rPr>
              <w:instrText xml:space="preserve"> PAGEREF _Toc227838458 \h </w:instrText>
            </w:r>
            <w:r>
              <w:rPr>
                <w:noProof/>
                <w:webHidden/>
              </w:rPr>
            </w:r>
            <w:r>
              <w:rPr>
                <w:noProof/>
                <w:webHidden/>
              </w:rPr>
              <w:fldChar w:fldCharType="separate"/>
            </w:r>
            <w:r>
              <w:rPr>
                <w:noProof/>
                <w:webHidden/>
              </w:rPr>
              <w:t>79</w:t>
            </w:r>
            <w:r>
              <w:rPr>
                <w:noProof/>
                <w:webHidden/>
              </w:rPr>
              <w:fldChar w:fldCharType="end"/>
            </w:r>
          </w:hyperlink>
        </w:p>
        <w:p w:rsidR="009F4B0B" w:rsidRDefault="009F4B0B" w14:paraId="032BB8FF" w14:textId="3EFC55CF">
          <w:pPr>
            <w:pStyle w:val="TOC2"/>
            <w:rPr>
              <w:rFonts w:asciiTheme="minorHAnsi" w:hAnsiTheme="minorHAnsi" w:eastAsiaTheme="minorEastAsia" w:cstheme="minorBidi"/>
              <w:noProof/>
              <w:kern w:val="2"/>
              <w:sz w:val="24"/>
              <w:szCs w:val="24"/>
              <w14:ligatures w14:val="standardContextual"/>
            </w:rPr>
          </w:pPr>
          <w:hyperlink w:history="1" w:anchor="_Toc227838459">
            <w:r w:rsidRPr="00F8043F">
              <w:rPr>
                <w:rStyle w:val="Hyperlink"/>
                <w:rFonts w:eastAsia="PMingLiU" w:cs="Arial"/>
                <w:caps/>
                <w:noProof/>
                <w:specVanish/>
              </w:rPr>
              <w:t>20.13</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Agency.</w:t>
            </w:r>
            <w:r>
              <w:rPr>
                <w:noProof/>
                <w:webHidden/>
              </w:rPr>
              <w:tab/>
            </w:r>
            <w:r>
              <w:rPr>
                <w:noProof/>
                <w:webHidden/>
              </w:rPr>
              <w:fldChar w:fldCharType="begin"/>
            </w:r>
            <w:r>
              <w:rPr>
                <w:noProof/>
                <w:webHidden/>
              </w:rPr>
              <w:instrText xml:space="preserve"> PAGEREF _Toc227838459 \h </w:instrText>
            </w:r>
            <w:r>
              <w:rPr>
                <w:noProof/>
                <w:webHidden/>
              </w:rPr>
            </w:r>
            <w:r>
              <w:rPr>
                <w:noProof/>
                <w:webHidden/>
              </w:rPr>
              <w:fldChar w:fldCharType="separate"/>
            </w:r>
            <w:r>
              <w:rPr>
                <w:noProof/>
                <w:webHidden/>
              </w:rPr>
              <w:t>79</w:t>
            </w:r>
            <w:r>
              <w:rPr>
                <w:noProof/>
                <w:webHidden/>
              </w:rPr>
              <w:fldChar w:fldCharType="end"/>
            </w:r>
          </w:hyperlink>
        </w:p>
        <w:p w:rsidR="009F4B0B" w:rsidRDefault="009F4B0B" w14:paraId="3F64BAD8" w14:textId="249C6C77">
          <w:pPr>
            <w:pStyle w:val="TOC2"/>
            <w:rPr>
              <w:rFonts w:asciiTheme="minorHAnsi" w:hAnsiTheme="minorHAnsi" w:eastAsiaTheme="minorEastAsia" w:cstheme="minorBidi"/>
              <w:noProof/>
              <w:kern w:val="2"/>
              <w:sz w:val="24"/>
              <w:szCs w:val="24"/>
              <w14:ligatures w14:val="standardContextual"/>
            </w:rPr>
          </w:pPr>
          <w:hyperlink w:history="1" w:anchor="_Toc227838460">
            <w:r w:rsidRPr="00F8043F">
              <w:rPr>
                <w:rStyle w:val="Hyperlink"/>
                <w:rFonts w:eastAsia="PMingLiU" w:cs="Arial"/>
                <w:caps/>
                <w:noProof/>
                <w:specVanish/>
              </w:rPr>
              <w:t>20.14</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Severability.</w:t>
            </w:r>
            <w:r>
              <w:rPr>
                <w:noProof/>
                <w:webHidden/>
              </w:rPr>
              <w:tab/>
            </w:r>
            <w:r>
              <w:rPr>
                <w:noProof/>
                <w:webHidden/>
              </w:rPr>
              <w:fldChar w:fldCharType="begin"/>
            </w:r>
            <w:r>
              <w:rPr>
                <w:noProof/>
                <w:webHidden/>
              </w:rPr>
              <w:instrText xml:space="preserve"> PAGEREF _Toc227838460 \h </w:instrText>
            </w:r>
            <w:r>
              <w:rPr>
                <w:noProof/>
                <w:webHidden/>
              </w:rPr>
            </w:r>
            <w:r>
              <w:rPr>
                <w:noProof/>
                <w:webHidden/>
              </w:rPr>
              <w:fldChar w:fldCharType="separate"/>
            </w:r>
            <w:r>
              <w:rPr>
                <w:noProof/>
                <w:webHidden/>
              </w:rPr>
              <w:t>79</w:t>
            </w:r>
            <w:r>
              <w:rPr>
                <w:noProof/>
                <w:webHidden/>
              </w:rPr>
              <w:fldChar w:fldCharType="end"/>
            </w:r>
          </w:hyperlink>
        </w:p>
        <w:p w:rsidR="009F4B0B" w:rsidRDefault="009F4B0B" w14:paraId="1660D0C2" w14:textId="4F210137">
          <w:pPr>
            <w:pStyle w:val="TOC2"/>
            <w:rPr>
              <w:rFonts w:asciiTheme="minorHAnsi" w:hAnsiTheme="minorHAnsi" w:eastAsiaTheme="minorEastAsia" w:cstheme="minorBidi"/>
              <w:noProof/>
              <w:kern w:val="2"/>
              <w:sz w:val="24"/>
              <w:szCs w:val="24"/>
              <w14:ligatures w14:val="standardContextual"/>
            </w:rPr>
          </w:pPr>
          <w:hyperlink w:history="1" w:anchor="_Toc227838461">
            <w:r w:rsidRPr="00F8043F">
              <w:rPr>
                <w:rStyle w:val="Hyperlink"/>
                <w:rFonts w:eastAsia="PMingLiU" w:cs="Arial"/>
                <w:caps/>
                <w:noProof/>
                <w:specVanish/>
              </w:rPr>
              <w:t>20.15</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Negotiated Agreement.</w:t>
            </w:r>
            <w:r>
              <w:rPr>
                <w:noProof/>
                <w:webHidden/>
              </w:rPr>
              <w:tab/>
            </w:r>
            <w:r>
              <w:rPr>
                <w:noProof/>
                <w:webHidden/>
              </w:rPr>
              <w:fldChar w:fldCharType="begin"/>
            </w:r>
            <w:r>
              <w:rPr>
                <w:noProof/>
                <w:webHidden/>
              </w:rPr>
              <w:instrText xml:space="preserve"> PAGEREF _Toc227838461 \h </w:instrText>
            </w:r>
            <w:r>
              <w:rPr>
                <w:noProof/>
                <w:webHidden/>
              </w:rPr>
            </w:r>
            <w:r>
              <w:rPr>
                <w:noProof/>
                <w:webHidden/>
              </w:rPr>
              <w:fldChar w:fldCharType="separate"/>
            </w:r>
            <w:r>
              <w:rPr>
                <w:noProof/>
                <w:webHidden/>
              </w:rPr>
              <w:t>79</w:t>
            </w:r>
            <w:r>
              <w:rPr>
                <w:noProof/>
                <w:webHidden/>
              </w:rPr>
              <w:fldChar w:fldCharType="end"/>
            </w:r>
          </w:hyperlink>
        </w:p>
        <w:p w:rsidR="009F4B0B" w:rsidRDefault="009F4B0B" w14:paraId="1B355641" w14:textId="506233E9">
          <w:pPr>
            <w:pStyle w:val="TOC2"/>
            <w:rPr>
              <w:rFonts w:asciiTheme="minorHAnsi" w:hAnsiTheme="minorHAnsi" w:eastAsiaTheme="minorEastAsia" w:cstheme="minorBidi"/>
              <w:noProof/>
              <w:kern w:val="2"/>
              <w:sz w:val="24"/>
              <w:szCs w:val="24"/>
              <w14:ligatures w14:val="standardContextual"/>
            </w:rPr>
          </w:pPr>
          <w:hyperlink w:history="1" w:anchor="_Toc227838462">
            <w:r w:rsidRPr="00F8043F">
              <w:rPr>
                <w:rStyle w:val="Hyperlink"/>
                <w:rFonts w:eastAsia="PMingLiU" w:cs="Arial"/>
                <w:caps/>
                <w:noProof/>
                <w:specVanish/>
              </w:rPr>
              <w:t>20.16</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Confidentiality.</w:t>
            </w:r>
            <w:r>
              <w:rPr>
                <w:noProof/>
                <w:webHidden/>
              </w:rPr>
              <w:tab/>
            </w:r>
            <w:r>
              <w:rPr>
                <w:noProof/>
                <w:webHidden/>
              </w:rPr>
              <w:fldChar w:fldCharType="begin"/>
            </w:r>
            <w:r>
              <w:rPr>
                <w:noProof/>
                <w:webHidden/>
              </w:rPr>
              <w:instrText xml:space="preserve"> PAGEREF _Toc227838462 \h </w:instrText>
            </w:r>
            <w:r>
              <w:rPr>
                <w:noProof/>
                <w:webHidden/>
              </w:rPr>
            </w:r>
            <w:r>
              <w:rPr>
                <w:noProof/>
                <w:webHidden/>
              </w:rPr>
              <w:fldChar w:fldCharType="separate"/>
            </w:r>
            <w:r>
              <w:rPr>
                <w:noProof/>
                <w:webHidden/>
              </w:rPr>
              <w:t>79</w:t>
            </w:r>
            <w:r>
              <w:rPr>
                <w:noProof/>
                <w:webHidden/>
              </w:rPr>
              <w:fldChar w:fldCharType="end"/>
            </w:r>
          </w:hyperlink>
        </w:p>
        <w:p w:rsidR="009F4B0B" w:rsidRDefault="009F4B0B" w14:paraId="683AC2CB" w14:textId="3BEB2A60">
          <w:pPr>
            <w:pStyle w:val="TOC2"/>
            <w:rPr>
              <w:rFonts w:asciiTheme="minorHAnsi" w:hAnsiTheme="minorHAnsi" w:eastAsiaTheme="minorEastAsia" w:cstheme="minorBidi"/>
              <w:noProof/>
              <w:kern w:val="2"/>
              <w:sz w:val="24"/>
              <w:szCs w:val="24"/>
              <w14:ligatures w14:val="standardContextual"/>
            </w:rPr>
          </w:pPr>
          <w:hyperlink w:history="1" w:anchor="_Toc227838463">
            <w:r w:rsidRPr="00F8043F">
              <w:rPr>
                <w:rStyle w:val="Hyperlink"/>
                <w:rFonts w:eastAsia="PMingLiU" w:cs="Arial"/>
                <w:caps/>
                <w:noProof/>
                <w:specVanish/>
              </w:rPr>
              <w:t>20.17</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Contract Interpretation.</w:t>
            </w:r>
            <w:r>
              <w:rPr>
                <w:noProof/>
                <w:webHidden/>
              </w:rPr>
              <w:tab/>
            </w:r>
            <w:r>
              <w:rPr>
                <w:noProof/>
                <w:webHidden/>
              </w:rPr>
              <w:fldChar w:fldCharType="begin"/>
            </w:r>
            <w:r>
              <w:rPr>
                <w:noProof/>
                <w:webHidden/>
              </w:rPr>
              <w:instrText xml:space="preserve"> PAGEREF _Toc227838463 \h </w:instrText>
            </w:r>
            <w:r>
              <w:rPr>
                <w:noProof/>
                <w:webHidden/>
              </w:rPr>
            </w:r>
            <w:r>
              <w:rPr>
                <w:noProof/>
                <w:webHidden/>
              </w:rPr>
              <w:fldChar w:fldCharType="separate"/>
            </w:r>
            <w:r>
              <w:rPr>
                <w:noProof/>
                <w:webHidden/>
              </w:rPr>
              <w:t>81</w:t>
            </w:r>
            <w:r>
              <w:rPr>
                <w:noProof/>
                <w:webHidden/>
              </w:rPr>
              <w:fldChar w:fldCharType="end"/>
            </w:r>
          </w:hyperlink>
        </w:p>
        <w:p w:rsidR="009F4B0B" w:rsidRDefault="009F4B0B" w14:paraId="314FD504" w14:textId="7DC64DB8">
          <w:pPr>
            <w:pStyle w:val="TOC2"/>
            <w:rPr>
              <w:rFonts w:asciiTheme="minorHAnsi" w:hAnsiTheme="minorHAnsi" w:eastAsiaTheme="minorEastAsia" w:cstheme="minorBidi"/>
              <w:noProof/>
              <w:kern w:val="2"/>
              <w:sz w:val="24"/>
              <w:szCs w:val="24"/>
              <w14:ligatures w14:val="standardContextual"/>
            </w:rPr>
          </w:pPr>
          <w:hyperlink w:history="1" w:anchor="_Toc227838464">
            <w:r w:rsidRPr="00F8043F">
              <w:rPr>
                <w:rStyle w:val="Hyperlink"/>
                <w:rFonts w:eastAsia="PMingLiU" w:cs="Arial"/>
                <w:caps/>
                <w:noProof/>
                <w:specVanish/>
              </w:rPr>
              <w:t>20.18</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Replacement Index.</w:t>
            </w:r>
            <w:r>
              <w:rPr>
                <w:noProof/>
                <w:webHidden/>
              </w:rPr>
              <w:tab/>
            </w:r>
            <w:r>
              <w:rPr>
                <w:noProof/>
                <w:webHidden/>
              </w:rPr>
              <w:fldChar w:fldCharType="begin"/>
            </w:r>
            <w:r>
              <w:rPr>
                <w:noProof/>
                <w:webHidden/>
              </w:rPr>
              <w:instrText xml:space="preserve"> PAGEREF _Toc227838464 \h </w:instrText>
            </w:r>
            <w:r>
              <w:rPr>
                <w:noProof/>
                <w:webHidden/>
              </w:rPr>
            </w:r>
            <w:r>
              <w:rPr>
                <w:noProof/>
                <w:webHidden/>
              </w:rPr>
              <w:fldChar w:fldCharType="separate"/>
            </w:r>
            <w:r>
              <w:rPr>
                <w:noProof/>
                <w:webHidden/>
              </w:rPr>
              <w:t>81</w:t>
            </w:r>
            <w:r>
              <w:rPr>
                <w:noProof/>
                <w:webHidden/>
              </w:rPr>
              <w:fldChar w:fldCharType="end"/>
            </w:r>
          </w:hyperlink>
        </w:p>
        <w:p w:rsidR="009F4B0B" w:rsidRDefault="009F4B0B" w14:paraId="5EABCA2D" w14:textId="18CD7E3F">
          <w:pPr>
            <w:pStyle w:val="TOC2"/>
            <w:rPr>
              <w:rFonts w:asciiTheme="minorHAnsi" w:hAnsiTheme="minorHAnsi" w:eastAsiaTheme="minorEastAsia" w:cstheme="minorBidi"/>
              <w:noProof/>
              <w:kern w:val="2"/>
              <w:sz w:val="24"/>
              <w:szCs w:val="24"/>
              <w14:ligatures w14:val="standardContextual"/>
            </w:rPr>
          </w:pPr>
          <w:hyperlink w:history="1" w:anchor="_Toc227838465">
            <w:r w:rsidRPr="00F8043F">
              <w:rPr>
                <w:rStyle w:val="Hyperlink"/>
                <w:rFonts w:eastAsia="PMingLiU" w:cs="Arial"/>
                <w:caps/>
                <w:noProof/>
                <w:specVanish/>
              </w:rPr>
              <w:t>20.19</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Recording.</w:t>
            </w:r>
            <w:r>
              <w:rPr>
                <w:noProof/>
                <w:webHidden/>
              </w:rPr>
              <w:tab/>
            </w:r>
            <w:r>
              <w:rPr>
                <w:noProof/>
                <w:webHidden/>
              </w:rPr>
              <w:fldChar w:fldCharType="begin"/>
            </w:r>
            <w:r>
              <w:rPr>
                <w:noProof/>
                <w:webHidden/>
              </w:rPr>
              <w:instrText xml:space="preserve"> PAGEREF _Toc227838465 \h </w:instrText>
            </w:r>
            <w:r>
              <w:rPr>
                <w:noProof/>
                <w:webHidden/>
              </w:rPr>
            </w:r>
            <w:r>
              <w:rPr>
                <w:noProof/>
                <w:webHidden/>
              </w:rPr>
              <w:fldChar w:fldCharType="separate"/>
            </w:r>
            <w:r>
              <w:rPr>
                <w:noProof/>
                <w:webHidden/>
              </w:rPr>
              <w:t>81</w:t>
            </w:r>
            <w:r>
              <w:rPr>
                <w:noProof/>
                <w:webHidden/>
              </w:rPr>
              <w:fldChar w:fldCharType="end"/>
            </w:r>
          </w:hyperlink>
        </w:p>
        <w:p w:rsidR="009F4B0B" w:rsidRDefault="009F4B0B" w14:paraId="7F780460" w14:textId="7059BB3C">
          <w:pPr>
            <w:pStyle w:val="TOC2"/>
            <w:rPr>
              <w:rFonts w:asciiTheme="minorHAnsi" w:hAnsiTheme="minorHAnsi" w:eastAsiaTheme="minorEastAsia" w:cstheme="minorBidi"/>
              <w:noProof/>
              <w:kern w:val="2"/>
              <w:sz w:val="24"/>
              <w:szCs w:val="24"/>
              <w14:ligatures w14:val="standardContextual"/>
            </w:rPr>
          </w:pPr>
          <w:hyperlink w:history="1" w:anchor="_Toc227838466">
            <w:r w:rsidRPr="00F8043F">
              <w:rPr>
                <w:rStyle w:val="Hyperlink"/>
                <w:rFonts w:eastAsia="PMingLiU" w:cs="Arial"/>
                <w:caps/>
                <w:noProof/>
                <w:specVanish/>
              </w:rPr>
              <w:t>20.20</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Further Assurances.</w:t>
            </w:r>
            <w:r>
              <w:rPr>
                <w:noProof/>
                <w:webHidden/>
              </w:rPr>
              <w:tab/>
            </w:r>
            <w:r>
              <w:rPr>
                <w:noProof/>
                <w:webHidden/>
              </w:rPr>
              <w:fldChar w:fldCharType="begin"/>
            </w:r>
            <w:r>
              <w:rPr>
                <w:noProof/>
                <w:webHidden/>
              </w:rPr>
              <w:instrText xml:space="preserve"> PAGEREF _Toc227838466 \h </w:instrText>
            </w:r>
            <w:r>
              <w:rPr>
                <w:noProof/>
                <w:webHidden/>
              </w:rPr>
            </w:r>
            <w:r>
              <w:rPr>
                <w:noProof/>
                <w:webHidden/>
              </w:rPr>
              <w:fldChar w:fldCharType="separate"/>
            </w:r>
            <w:r>
              <w:rPr>
                <w:noProof/>
                <w:webHidden/>
              </w:rPr>
              <w:t>81</w:t>
            </w:r>
            <w:r>
              <w:rPr>
                <w:noProof/>
                <w:webHidden/>
              </w:rPr>
              <w:fldChar w:fldCharType="end"/>
            </w:r>
          </w:hyperlink>
        </w:p>
        <w:p w:rsidR="009F4B0B" w:rsidRDefault="009F4B0B" w14:paraId="3A4CC386" w14:textId="2DD6E67A">
          <w:pPr>
            <w:pStyle w:val="TOC2"/>
            <w:rPr>
              <w:rFonts w:asciiTheme="minorHAnsi" w:hAnsiTheme="minorHAnsi" w:eastAsiaTheme="minorEastAsia" w:cstheme="minorBidi"/>
              <w:noProof/>
              <w:kern w:val="2"/>
              <w:sz w:val="24"/>
              <w:szCs w:val="24"/>
              <w14:ligatures w14:val="standardContextual"/>
            </w:rPr>
          </w:pPr>
          <w:hyperlink w:history="1" w:anchor="_Toc227838467">
            <w:r w:rsidRPr="00F8043F">
              <w:rPr>
                <w:rStyle w:val="Hyperlink"/>
                <w:rFonts w:eastAsia="PMingLiU" w:cs="Arial"/>
                <w:caps/>
                <w:noProof/>
                <w:specVanish/>
              </w:rPr>
              <w:t>20.21</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Transfer of Information Acknowledgement.</w:t>
            </w:r>
            <w:r>
              <w:rPr>
                <w:noProof/>
                <w:webHidden/>
              </w:rPr>
              <w:tab/>
            </w:r>
            <w:r>
              <w:rPr>
                <w:noProof/>
                <w:webHidden/>
              </w:rPr>
              <w:fldChar w:fldCharType="begin"/>
            </w:r>
            <w:r>
              <w:rPr>
                <w:noProof/>
                <w:webHidden/>
              </w:rPr>
              <w:instrText xml:space="preserve"> PAGEREF _Toc227838467 \h </w:instrText>
            </w:r>
            <w:r>
              <w:rPr>
                <w:noProof/>
                <w:webHidden/>
              </w:rPr>
            </w:r>
            <w:r>
              <w:rPr>
                <w:noProof/>
                <w:webHidden/>
              </w:rPr>
              <w:fldChar w:fldCharType="separate"/>
            </w:r>
            <w:r>
              <w:rPr>
                <w:noProof/>
                <w:webHidden/>
              </w:rPr>
              <w:t>81</w:t>
            </w:r>
            <w:r>
              <w:rPr>
                <w:noProof/>
                <w:webHidden/>
              </w:rPr>
              <w:fldChar w:fldCharType="end"/>
            </w:r>
          </w:hyperlink>
        </w:p>
        <w:p w:rsidR="009F4B0B" w:rsidRDefault="009F4B0B" w14:paraId="2DF5ADD8" w14:textId="54728101">
          <w:pPr>
            <w:pStyle w:val="TOC2"/>
            <w:rPr>
              <w:rFonts w:asciiTheme="minorHAnsi" w:hAnsiTheme="minorHAnsi" w:eastAsiaTheme="minorEastAsia" w:cstheme="minorBidi"/>
              <w:noProof/>
              <w:kern w:val="2"/>
              <w:sz w:val="24"/>
              <w:szCs w:val="24"/>
              <w14:ligatures w14:val="standardContextual"/>
            </w:rPr>
          </w:pPr>
          <w:hyperlink w:history="1" w:anchor="_Toc227838468">
            <w:r w:rsidRPr="00F8043F">
              <w:rPr>
                <w:rStyle w:val="Hyperlink"/>
                <w:caps/>
                <w:noProof/>
                <w:specVanish/>
              </w:rPr>
              <w:t>20.22</w:t>
            </w:r>
            <w:r>
              <w:rPr>
                <w:rFonts w:asciiTheme="minorHAnsi" w:hAnsiTheme="minorHAnsi" w:eastAsiaTheme="minorEastAsia" w:cstheme="minorBidi"/>
                <w:noProof/>
                <w:kern w:val="2"/>
                <w:sz w:val="24"/>
                <w:szCs w:val="24"/>
                <w14:ligatures w14:val="standardContextual"/>
              </w:rPr>
              <w:tab/>
            </w:r>
            <w:r w:rsidRPr="00F8043F">
              <w:rPr>
                <w:rStyle w:val="Hyperlink"/>
                <w:rFonts w:cs="Arial"/>
                <w:noProof/>
              </w:rPr>
              <w:t>Service Contract.</w:t>
            </w:r>
            <w:r>
              <w:rPr>
                <w:noProof/>
                <w:webHidden/>
              </w:rPr>
              <w:tab/>
            </w:r>
            <w:r>
              <w:rPr>
                <w:noProof/>
                <w:webHidden/>
              </w:rPr>
              <w:fldChar w:fldCharType="begin"/>
            </w:r>
            <w:r>
              <w:rPr>
                <w:noProof/>
                <w:webHidden/>
              </w:rPr>
              <w:instrText xml:space="preserve"> PAGEREF _Toc227838468 \h </w:instrText>
            </w:r>
            <w:r>
              <w:rPr>
                <w:noProof/>
                <w:webHidden/>
              </w:rPr>
            </w:r>
            <w:r>
              <w:rPr>
                <w:noProof/>
                <w:webHidden/>
              </w:rPr>
              <w:fldChar w:fldCharType="separate"/>
            </w:r>
            <w:r>
              <w:rPr>
                <w:noProof/>
                <w:webHidden/>
              </w:rPr>
              <w:t>81</w:t>
            </w:r>
            <w:r>
              <w:rPr>
                <w:noProof/>
                <w:webHidden/>
              </w:rPr>
              <w:fldChar w:fldCharType="end"/>
            </w:r>
          </w:hyperlink>
        </w:p>
        <w:p w:rsidR="009F4B0B" w:rsidRDefault="009F4B0B" w14:paraId="451AF9DB" w14:textId="75112D1E">
          <w:pPr>
            <w:pStyle w:val="TOC1"/>
            <w:rPr>
              <w:rFonts w:asciiTheme="minorHAnsi" w:hAnsiTheme="minorHAnsi" w:eastAsiaTheme="minorEastAsia" w:cstheme="minorBidi"/>
              <w:b w:val="0"/>
              <w:caps w:val="0"/>
              <w:noProof/>
              <w:kern w:val="2"/>
              <w:sz w:val="24"/>
              <w:szCs w:val="24"/>
              <w14:ligatures w14:val="standardContextual"/>
            </w:rPr>
          </w:pPr>
          <w:hyperlink w:history="1" w:anchor="_Toc227838469">
            <w:r w:rsidRPr="00F8043F">
              <w:rPr>
                <w:rStyle w:val="Hyperlink"/>
                <w:noProof/>
              </w:rPr>
              <w:t>Exhibit A – Facility Description and Additional Details</w:t>
            </w:r>
            <w:r>
              <w:rPr>
                <w:noProof/>
                <w:webHidden/>
              </w:rPr>
              <w:tab/>
            </w:r>
            <w:r>
              <w:rPr>
                <w:noProof/>
                <w:webHidden/>
              </w:rPr>
              <w:fldChar w:fldCharType="begin"/>
            </w:r>
            <w:r>
              <w:rPr>
                <w:noProof/>
                <w:webHidden/>
              </w:rPr>
              <w:instrText xml:space="preserve"> PAGEREF _Toc227838469 \h </w:instrText>
            </w:r>
            <w:r>
              <w:rPr>
                <w:noProof/>
                <w:webHidden/>
              </w:rPr>
            </w:r>
            <w:r>
              <w:rPr>
                <w:noProof/>
                <w:webHidden/>
              </w:rPr>
              <w:fldChar w:fldCharType="separate"/>
            </w:r>
            <w:r>
              <w:rPr>
                <w:noProof/>
                <w:webHidden/>
              </w:rPr>
              <w:t>83</w:t>
            </w:r>
            <w:r>
              <w:rPr>
                <w:noProof/>
                <w:webHidden/>
              </w:rPr>
              <w:fldChar w:fldCharType="end"/>
            </w:r>
          </w:hyperlink>
        </w:p>
        <w:p w:rsidR="009F4B0B" w:rsidRDefault="009F4B0B" w14:paraId="36F01DDA" w14:textId="332C6417">
          <w:pPr>
            <w:pStyle w:val="TOC1"/>
            <w:rPr>
              <w:rFonts w:asciiTheme="minorHAnsi" w:hAnsiTheme="minorHAnsi" w:eastAsiaTheme="minorEastAsia" w:cstheme="minorBidi"/>
              <w:b w:val="0"/>
              <w:caps w:val="0"/>
              <w:noProof/>
              <w:kern w:val="2"/>
              <w:sz w:val="24"/>
              <w:szCs w:val="24"/>
              <w14:ligatures w14:val="standardContextual"/>
            </w:rPr>
          </w:pPr>
          <w:hyperlink w:history="1" w:anchor="_Toc227838470">
            <w:r w:rsidRPr="00F8043F">
              <w:rPr>
                <w:rStyle w:val="Hyperlink"/>
                <w:noProof/>
              </w:rPr>
              <w:t>Exhibit A-1 – Key Milestones and Required Key Milestone Dates</w:t>
            </w:r>
            <w:r>
              <w:rPr>
                <w:noProof/>
                <w:webHidden/>
              </w:rPr>
              <w:tab/>
            </w:r>
            <w:r>
              <w:rPr>
                <w:noProof/>
                <w:webHidden/>
              </w:rPr>
              <w:fldChar w:fldCharType="begin"/>
            </w:r>
            <w:r>
              <w:rPr>
                <w:noProof/>
                <w:webHidden/>
              </w:rPr>
              <w:instrText xml:space="preserve"> PAGEREF _Toc227838470 \h </w:instrText>
            </w:r>
            <w:r>
              <w:rPr>
                <w:noProof/>
                <w:webHidden/>
              </w:rPr>
            </w:r>
            <w:r>
              <w:rPr>
                <w:noProof/>
                <w:webHidden/>
              </w:rPr>
              <w:fldChar w:fldCharType="separate"/>
            </w:r>
            <w:r>
              <w:rPr>
                <w:noProof/>
                <w:webHidden/>
              </w:rPr>
              <w:t>85</w:t>
            </w:r>
            <w:r>
              <w:rPr>
                <w:noProof/>
                <w:webHidden/>
              </w:rPr>
              <w:fldChar w:fldCharType="end"/>
            </w:r>
          </w:hyperlink>
        </w:p>
        <w:p w:rsidR="009F4B0B" w:rsidRDefault="009F4B0B" w14:paraId="34B5FF20" w14:textId="68EE273E">
          <w:pPr>
            <w:pStyle w:val="TOC1"/>
            <w:rPr>
              <w:rFonts w:asciiTheme="minorHAnsi" w:hAnsiTheme="minorHAnsi" w:eastAsiaTheme="minorEastAsia" w:cstheme="minorBidi"/>
              <w:b w:val="0"/>
              <w:caps w:val="0"/>
              <w:noProof/>
              <w:kern w:val="2"/>
              <w:sz w:val="24"/>
              <w:szCs w:val="24"/>
              <w14:ligatures w14:val="standardContextual"/>
            </w:rPr>
          </w:pPr>
          <w:hyperlink w:history="1" w:anchor="_Toc227838471">
            <w:r w:rsidRPr="00F8043F">
              <w:rPr>
                <w:rStyle w:val="Hyperlink"/>
                <w:noProof/>
              </w:rPr>
              <w:t>Exhibit A-2 – Performance Security and Liquidated Damages</w:t>
            </w:r>
            <w:r>
              <w:rPr>
                <w:noProof/>
                <w:webHidden/>
              </w:rPr>
              <w:tab/>
            </w:r>
            <w:r>
              <w:rPr>
                <w:noProof/>
                <w:webHidden/>
              </w:rPr>
              <w:fldChar w:fldCharType="begin"/>
            </w:r>
            <w:r>
              <w:rPr>
                <w:noProof/>
                <w:webHidden/>
              </w:rPr>
              <w:instrText xml:space="preserve"> PAGEREF _Toc227838471 \h </w:instrText>
            </w:r>
            <w:r>
              <w:rPr>
                <w:noProof/>
                <w:webHidden/>
              </w:rPr>
            </w:r>
            <w:r>
              <w:rPr>
                <w:noProof/>
                <w:webHidden/>
              </w:rPr>
              <w:fldChar w:fldCharType="separate"/>
            </w:r>
            <w:r>
              <w:rPr>
                <w:noProof/>
                <w:webHidden/>
              </w:rPr>
              <w:t>88</w:t>
            </w:r>
            <w:r>
              <w:rPr>
                <w:noProof/>
                <w:webHidden/>
              </w:rPr>
              <w:fldChar w:fldCharType="end"/>
            </w:r>
          </w:hyperlink>
        </w:p>
        <w:p w:rsidR="009F4B0B" w:rsidRDefault="009F4B0B" w14:paraId="45093AAD" w14:textId="0CC0B7E1">
          <w:pPr>
            <w:pStyle w:val="TOC1"/>
            <w:rPr>
              <w:rFonts w:asciiTheme="minorHAnsi" w:hAnsiTheme="minorHAnsi" w:eastAsiaTheme="minorEastAsia" w:cstheme="minorBidi"/>
              <w:b w:val="0"/>
              <w:caps w:val="0"/>
              <w:noProof/>
              <w:kern w:val="2"/>
              <w:sz w:val="24"/>
              <w:szCs w:val="24"/>
              <w14:ligatures w14:val="standardContextual"/>
            </w:rPr>
          </w:pPr>
          <w:hyperlink w:history="1" w:anchor="_Toc227838472">
            <w:r w:rsidRPr="00F8043F">
              <w:rPr>
                <w:rStyle w:val="Hyperlink"/>
                <w:noProof/>
              </w:rPr>
              <w:t>Exhibit B – Capacity; Capacity Payments and Payment Reductions; BuyDown</w:t>
            </w:r>
            <w:r>
              <w:rPr>
                <w:noProof/>
                <w:webHidden/>
              </w:rPr>
              <w:tab/>
            </w:r>
            <w:r>
              <w:rPr>
                <w:noProof/>
                <w:webHidden/>
              </w:rPr>
              <w:fldChar w:fldCharType="begin"/>
            </w:r>
            <w:r>
              <w:rPr>
                <w:noProof/>
                <w:webHidden/>
              </w:rPr>
              <w:instrText xml:space="preserve"> PAGEREF _Toc227838472 \h </w:instrText>
            </w:r>
            <w:r>
              <w:rPr>
                <w:noProof/>
                <w:webHidden/>
              </w:rPr>
            </w:r>
            <w:r>
              <w:rPr>
                <w:noProof/>
                <w:webHidden/>
              </w:rPr>
              <w:fldChar w:fldCharType="separate"/>
            </w:r>
            <w:r>
              <w:rPr>
                <w:noProof/>
                <w:webHidden/>
              </w:rPr>
              <w:t>89</w:t>
            </w:r>
            <w:r>
              <w:rPr>
                <w:noProof/>
                <w:webHidden/>
              </w:rPr>
              <w:fldChar w:fldCharType="end"/>
            </w:r>
          </w:hyperlink>
        </w:p>
        <w:p w:rsidR="009F4B0B" w:rsidRDefault="009F4B0B" w14:paraId="0E1CE6B4" w14:textId="33ABAD3B">
          <w:pPr>
            <w:pStyle w:val="TOC1"/>
            <w:rPr>
              <w:rFonts w:asciiTheme="minorHAnsi" w:hAnsiTheme="minorHAnsi" w:eastAsiaTheme="minorEastAsia" w:cstheme="minorBidi"/>
              <w:b w:val="0"/>
              <w:caps w:val="0"/>
              <w:noProof/>
              <w:kern w:val="2"/>
              <w:sz w:val="24"/>
              <w:szCs w:val="24"/>
              <w14:ligatures w14:val="standardContextual"/>
            </w:rPr>
          </w:pPr>
          <w:hyperlink w:history="1" w:anchor="_Toc227838473">
            <w:r w:rsidRPr="00F8043F">
              <w:rPr>
                <w:rStyle w:val="Hyperlink"/>
                <w:noProof/>
              </w:rPr>
              <w:t>Exhibit C – Energy Payment Calculation</w:t>
            </w:r>
            <w:r>
              <w:rPr>
                <w:noProof/>
                <w:webHidden/>
              </w:rPr>
              <w:tab/>
            </w:r>
            <w:r>
              <w:rPr>
                <w:noProof/>
                <w:webHidden/>
              </w:rPr>
              <w:fldChar w:fldCharType="begin"/>
            </w:r>
            <w:r>
              <w:rPr>
                <w:noProof/>
                <w:webHidden/>
              </w:rPr>
              <w:instrText xml:space="preserve"> PAGEREF _Toc227838473 \h </w:instrText>
            </w:r>
            <w:r>
              <w:rPr>
                <w:noProof/>
                <w:webHidden/>
              </w:rPr>
            </w:r>
            <w:r>
              <w:rPr>
                <w:noProof/>
                <w:webHidden/>
              </w:rPr>
              <w:fldChar w:fldCharType="separate"/>
            </w:r>
            <w:r>
              <w:rPr>
                <w:noProof/>
                <w:webHidden/>
              </w:rPr>
              <w:t>99</w:t>
            </w:r>
            <w:r>
              <w:rPr>
                <w:noProof/>
                <w:webHidden/>
              </w:rPr>
              <w:fldChar w:fldCharType="end"/>
            </w:r>
          </w:hyperlink>
        </w:p>
        <w:p w:rsidR="009F4B0B" w:rsidRDefault="009F4B0B" w14:paraId="05CB316E" w14:textId="09FF7C6E">
          <w:pPr>
            <w:pStyle w:val="TOC1"/>
            <w:rPr>
              <w:rFonts w:asciiTheme="minorHAnsi" w:hAnsiTheme="minorHAnsi" w:eastAsiaTheme="minorEastAsia" w:cstheme="minorBidi"/>
              <w:b w:val="0"/>
              <w:caps w:val="0"/>
              <w:noProof/>
              <w:kern w:val="2"/>
              <w:sz w:val="24"/>
              <w:szCs w:val="24"/>
              <w14:ligatures w14:val="standardContextual"/>
            </w:rPr>
          </w:pPr>
          <w:hyperlink w:history="1" w:anchor="_Toc227838474">
            <w:r w:rsidRPr="00F8043F">
              <w:rPr>
                <w:rStyle w:val="Hyperlink"/>
                <w:noProof/>
              </w:rPr>
              <w:t>Exhibit D – Technical Limits and Schedule Procedures</w:t>
            </w:r>
            <w:r>
              <w:rPr>
                <w:noProof/>
                <w:webHidden/>
              </w:rPr>
              <w:tab/>
            </w:r>
            <w:r>
              <w:rPr>
                <w:noProof/>
                <w:webHidden/>
              </w:rPr>
              <w:fldChar w:fldCharType="begin"/>
            </w:r>
            <w:r>
              <w:rPr>
                <w:noProof/>
                <w:webHidden/>
              </w:rPr>
              <w:instrText xml:space="preserve"> PAGEREF _Toc227838474 \h </w:instrText>
            </w:r>
            <w:r>
              <w:rPr>
                <w:noProof/>
                <w:webHidden/>
              </w:rPr>
            </w:r>
            <w:r>
              <w:rPr>
                <w:noProof/>
                <w:webHidden/>
              </w:rPr>
              <w:fldChar w:fldCharType="separate"/>
            </w:r>
            <w:r>
              <w:rPr>
                <w:noProof/>
                <w:webHidden/>
              </w:rPr>
              <w:t>107</w:t>
            </w:r>
            <w:r>
              <w:rPr>
                <w:noProof/>
                <w:webHidden/>
              </w:rPr>
              <w:fldChar w:fldCharType="end"/>
            </w:r>
          </w:hyperlink>
        </w:p>
        <w:p w:rsidR="009F4B0B" w:rsidRDefault="009F4B0B" w14:paraId="5F33F89D" w14:textId="45B0AB0A">
          <w:pPr>
            <w:pStyle w:val="TOC1"/>
            <w:rPr>
              <w:rFonts w:asciiTheme="minorHAnsi" w:hAnsiTheme="minorHAnsi" w:eastAsiaTheme="minorEastAsia" w:cstheme="minorBidi"/>
              <w:b w:val="0"/>
              <w:caps w:val="0"/>
              <w:noProof/>
              <w:kern w:val="2"/>
              <w:sz w:val="24"/>
              <w:szCs w:val="24"/>
              <w14:ligatures w14:val="standardContextual"/>
            </w:rPr>
          </w:pPr>
          <w:hyperlink w:history="1" w:anchor="_Toc227838475">
            <w:r w:rsidRPr="00F8043F">
              <w:rPr>
                <w:rStyle w:val="Hyperlink"/>
                <w:noProof/>
              </w:rPr>
              <w:t>Exhibit E – Performance Testing Procedures</w:t>
            </w:r>
            <w:r>
              <w:rPr>
                <w:noProof/>
                <w:webHidden/>
              </w:rPr>
              <w:tab/>
            </w:r>
            <w:r>
              <w:rPr>
                <w:noProof/>
                <w:webHidden/>
              </w:rPr>
              <w:fldChar w:fldCharType="begin"/>
            </w:r>
            <w:r>
              <w:rPr>
                <w:noProof/>
                <w:webHidden/>
              </w:rPr>
              <w:instrText xml:space="preserve"> PAGEREF _Toc227838475 \h </w:instrText>
            </w:r>
            <w:r>
              <w:rPr>
                <w:noProof/>
                <w:webHidden/>
              </w:rPr>
            </w:r>
            <w:r>
              <w:rPr>
                <w:noProof/>
                <w:webHidden/>
              </w:rPr>
              <w:fldChar w:fldCharType="separate"/>
            </w:r>
            <w:r>
              <w:rPr>
                <w:noProof/>
                <w:webHidden/>
              </w:rPr>
              <w:t>110</w:t>
            </w:r>
            <w:r>
              <w:rPr>
                <w:noProof/>
                <w:webHidden/>
              </w:rPr>
              <w:fldChar w:fldCharType="end"/>
            </w:r>
          </w:hyperlink>
        </w:p>
        <w:p w:rsidR="009F4B0B" w:rsidRDefault="009F4B0B" w14:paraId="67D58CF4" w14:textId="4DB6D227">
          <w:pPr>
            <w:pStyle w:val="TOC1"/>
            <w:rPr>
              <w:rFonts w:asciiTheme="minorHAnsi" w:hAnsiTheme="minorHAnsi" w:eastAsiaTheme="minorEastAsia" w:cstheme="minorBidi"/>
              <w:b w:val="0"/>
              <w:caps w:val="0"/>
              <w:noProof/>
              <w:kern w:val="2"/>
              <w:sz w:val="24"/>
              <w:szCs w:val="24"/>
              <w14:ligatures w14:val="standardContextual"/>
            </w:rPr>
          </w:pPr>
          <w:hyperlink w:history="1" w:anchor="_Toc227838476">
            <w:r w:rsidRPr="00F8043F">
              <w:rPr>
                <w:rStyle w:val="Hyperlink"/>
                <w:noProof/>
              </w:rPr>
              <w:t>Exhibit F – Guaranteed Heat Rates</w:t>
            </w:r>
            <w:r>
              <w:rPr>
                <w:noProof/>
                <w:webHidden/>
              </w:rPr>
              <w:tab/>
            </w:r>
            <w:r>
              <w:rPr>
                <w:noProof/>
                <w:webHidden/>
              </w:rPr>
              <w:fldChar w:fldCharType="begin"/>
            </w:r>
            <w:r>
              <w:rPr>
                <w:noProof/>
                <w:webHidden/>
              </w:rPr>
              <w:instrText xml:space="preserve"> PAGEREF _Toc227838476 \h </w:instrText>
            </w:r>
            <w:r>
              <w:rPr>
                <w:noProof/>
                <w:webHidden/>
              </w:rPr>
            </w:r>
            <w:r>
              <w:rPr>
                <w:noProof/>
                <w:webHidden/>
              </w:rPr>
              <w:fldChar w:fldCharType="separate"/>
            </w:r>
            <w:r>
              <w:rPr>
                <w:noProof/>
                <w:webHidden/>
              </w:rPr>
              <w:t>112</w:t>
            </w:r>
            <w:r>
              <w:rPr>
                <w:noProof/>
                <w:webHidden/>
              </w:rPr>
              <w:fldChar w:fldCharType="end"/>
            </w:r>
          </w:hyperlink>
        </w:p>
        <w:p w:rsidR="009F4B0B" w:rsidRDefault="009F4B0B" w14:paraId="068D5864" w14:textId="61D8D5E8">
          <w:pPr>
            <w:pStyle w:val="TOC1"/>
            <w:rPr>
              <w:rFonts w:asciiTheme="minorHAnsi" w:hAnsiTheme="minorHAnsi" w:eastAsiaTheme="minorEastAsia" w:cstheme="minorBidi"/>
              <w:b w:val="0"/>
              <w:caps w:val="0"/>
              <w:noProof/>
              <w:kern w:val="2"/>
              <w:sz w:val="24"/>
              <w:szCs w:val="24"/>
              <w14:ligatures w14:val="standardContextual"/>
            </w:rPr>
          </w:pPr>
          <w:hyperlink w:history="1" w:anchor="_Toc227838477">
            <w:r w:rsidRPr="00F8043F">
              <w:rPr>
                <w:rStyle w:val="Hyperlink"/>
                <w:noProof/>
              </w:rPr>
              <w:t>Exhibit G – Form of Guaranty</w:t>
            </w:r>
            <w:r>
              <w:rPr>
                <w:noProof/>
                <w:webHidden/>
              </w:rPr>
              <w:tab/>
            </w:r>
            <w:r>
              <w:rPr>
                <w:noProof/>
                <w:webHidden/>
              </w:rPr>
              <w:fldChar w:fldCharType="begin"/>
            </w:r>
            <w:r>
              <w:rPr>
                <w:noProof/>
                <w:webHidden/>
              </w:rPr>
              <w:instrText xml:space="preserve"> PAGEREF _Toc227838477 \h </w:instrText>
            </w:r>
            <w:r>
              <w:rPr>
                <w:noProof/>
                <w:webHidden/>
              </w:rPr>
            </w:r>
            <w:r>
              <w:rPr>
                <w:noProof/>
                <w:webHidden/>
              </w:rPr>
              <w:fldChar w:fldCharType="separate"/>
            </w:r>
            <w:r>
              <w:rPr>
                <w:noProof/>
                <w:webHidden/>
              </w:rPr>
              <w:t>113</w:t>
            </w:r>
            <w:r>
              <w:rPr>
                <w:noProof/>
                <w:webHidden/>
              </w:rPr>
              <w:fldChar w:fldCharType="end"/>
            </w:r>
          </w:hyperlink>
        </w:p>
        <w:p w:rsidR="009F4B0B" w:rsidRDefault="009F4B0B" w14:paraId="7784AF72" w14:textId="637CB576">
          <w:pPr>
            <w:pStyle w:val="TOC1"/>
            <w:rPr>
              <w:rFonts w:asciiTheme="minorHAnsi" w:hAnsiTheme="minorHAnsi" w:eastAsiaTheme="minorEastAsia" w:cstheme="minorBidi"/>
              <w:b w:val="0"/>
              <w:caps w:val="0"/>
              <w:noProof/>
              <w:kern w:val="2"/>
              <w:sz w:val="24"/>
              <w:szCs w:val="24"/>
              <w14:ligatures w14:val="standardContextual"/>
            </w:rPr>
          </w:pPr>
          <w:hyperlink w:history="1" w:anchor="_Toc227838478">
            <w:r w:rsidRPr="00F8043F">
              <w:rPr>
                <w:rStyle w:val="Hyperlink"/>
                <w:noProof/>
              </w:rPr>
              <w:t>Exhibit H – Form of StandBy Letter of Credit</w:t>
            </w:r>
            <w:r>
              <w:rPr>
                <w:noProof/>
                <w:webHidden/>
              </w:rPr>
              <w:tab/>
            </w:r>
            <w:r>
              <w:rPr>
                <w:noProof/>
                <w:webHidden/>
              </w:rPr>
              <w:fldChar w:fldCharType="begin"/>
            </w:r>
            <w:r>
              <w:rPr>
                <w:noProof/>
                <w:webHidden/>
              </w:rPr>
              <w:instrText xml:space="preserve"> PAGEREF _Toc227838478 \h </w:instrText>
            </w:r>
            <w:r>
              <w:rPr>
                <w:noProof/>
                <w:webHidden/>
              </w:rPr>
            </w:r>
            <w:r>
              <w:rPr>
                <w:noProof/>
                <w:webHidden/>
              </w:rPr>
              <w:fldChar w:fldCharType="separate"/>
            </w:r>
            <w:r>
              <w:rPr>
                <w:noProof/>
                <w:webHidden/>
              </w:rPr>
              <w:t>122</w:t>
            </w:r>
            <w:r>
              <w:rPr>
                <w:noProof/>
                <w:webHidden/>
              </w:rPr>
              <w:fldChar w:fldCharType="end"/>
            </w:r>
          </w:hyperlink>
        </w:p>
        <w:p w:rsidR="009F4B0B" w:rsidRDefault="009F4B0B" w14:paraId="384B8E51" w14:textId="3AF9C863">
          <w:pPr>
            <w:pStyle w:val="TOC1"/>
            <w:rPr>
              <w:rFonts w:asciiTheme="minorHAnsi" w:hAnsiTheme="minorHAnsi" w:eastAsiaTheme="minorEastAsia" w:cstheme="minorBidi"/>
              <w:b w:val="0"/>
              <w:caps w:val="0"/>
              <w:noProof/>
              <w:kern w:val="2"/>
              <w:sz w:val="24"/>
              <w:szCs w:val="24"/>
              <w14:ligatures w14:val="standardContextual"/>
            </w:rPr>
          </w:pPr>
          <w:hyperlink w:history="1" w:anchor="_Toc227838479">
            <w:r w:rsidRPr="00F8043F">
              <w:rPr>
                <w:rStyle w:val="Hyperlink"/>
                <w:noProof/>
              </w:rPr>
              <w:t>Exhibit I – Form of Commercial Operation Completion Certificate</w:t>
            </w:r>
            <w:r>
              <w:rPr>
                <w:noProof/>
                <w:webHidden/>
              </w:rPr>
              <w:tab/>
            </w:r>
            <w:r>
              <w:rPr>
                <w:noProof/>
                <w:webHidden/>
              </w:rPr>
              <w:fldChar w:fldCharType="begin"/>
            </w:r>
            <w:r>
              <w:rPr>
                <w:noProof/>
                <w:webHidden/>
              </w:rPr>
              <w:instrText xml:space="preserve"> PAGEREF _Toc227838479 \h </w:instrText>
            </w:r>
            <w:r>
              <w:rPr>
                <w:noProof/>
                <w:webHidden/>
              </w:rPr>
            </w:r>
            <w:r>
              <w:rPr>
                <w:noProof/>
                <w:webHidden/>
              </w:rPr>
              <w:fldChar w:fldCharType="separate"/>
            </w:r>
            <w:r>
              <w:rPr>
                <w:noProof/>
                <w:webHidden/>
              </w:rPr>
              <w:t>127</w:t>
            </w:r>
            <w:r>
              <w:rPr>
                <w:noProof/>
                <w:webHidden/>
              </w:rPr>
              <w:fldChar w:fldCharType="end"/>
            </w:r>
          </w:hyperlink>
        </w:p>
        <w:p w:rsidR="009F4B0B" w:rsidRDefault="009F4B0B" w14:paraId="459F9477" w14:textId="7D849C51">
          <w:pPr>
            <w:pStyle w:val="TOC1"/>
            <w:rPr>
              <w:rFonts w:asciiTheme="minorHAnsi" w:hAnsiTheme="minorHAnsi" w:eastAsiaTheme="minorEastAsia" w:cstheme="minorBidi"/>
              <w:b w:val="0"/>
              <w:caps w:val="0"/>
              <w:noProof/>
              <w:kern w:val="2"/>
              <w:sz w:val="24"/>
              <w:szCs w:val="24"/>
              <w14:ligatures w14:val="standardContextual"/>
            </w:rPr>
          </w:pPr>
          <w:hyperlink w:history="1" w:anchor="_Toc227838480">
            <w:r w:rsidRPr="00F8043F">
              <w:rPr>
                <w:rStyle w:val="Hyperlink"/>
                <w:noProof/>
              </w:rPr>
              <w:t>Exhibit J – VIE Certification</w:t>
            </w:r>
            <w:r>
              <w:rPr>
                <w:noProof/>
                <w:webHidden/>
              </w:rPr>
              <w:tab/>
            </w:r>
            <w:r>
              <w:rPr>
                <w:noProof/>
                <w:webHidden/>
              </w:rPr>
              <w:fldChar w:fldCharType="begin"/>
            </w:r>
            <w:r>
              <w:rPr>
                <w:noProof/>
                <w:webHidden/>
              </w:rPr>
              <w:instrText xml:space="preserve"> PAGEREF _Toc227838480 \h </w:instrText>
            </w:r>
            <w:r>
              <w:rPr>
                <w:noProof/>
                <w:webHidden/>
              </w:rPr>
            </w:r>
            <w:r>
              <w:rPr>
                <w:noProof/>
                <w:webHidden/>
              </w:rPr>
              <w:fldChar w:fldCharType="separate"/>
            </w:r>
            <w:r>
              <w:rPr>
                <w:noProof/>
                <w:webHidden/>
              </w:rPr>
              <w:t>129</w:t>
            </w:r>
            <w:r>
              <w:rPr>
                <w:noProof/>
                <w:webHidden/>
              </w:rPr>
              <w:fldChar w:fldCharType="end"/>
            </w:r>
          </w:hyperlink>
        </w:p>
        <w:p w:rsidR="009F4B0B" w:rsidRDefault="009F4B0B" w14:paraId="160F674F" w14:textId="067E2858">
          <w:pPr>
            <w:pStyle w:val="TOC1"/>
            <w:rPr>
              <w:rFonts w:asciiTheme="minorHAnsi" w:hAnsiTheme="minorHAnsi" w:eastAsiaTheme="minorEastAsia" w:cstheme="minorBidi"/>
              <w:b w:val="0"/>
              <w:caps w:val="0"/>
              <w:noProof/>
              <w:kern w:val="2"/>
              <w:sz w:val="24"/>
              <w:szCs w:val="24"/>
              <w14:ligatures w14:val="standardContextual"/>
            </w:rPr>
          </w:pPr>
          <w:hyperlink w:history="1" w:anchor="_Toc227838481">
            <w:r w:rsidRPr="00F8043F">
              <w:rPr>
                <w:rStyle w:val="Hyperlink"/>
                <w:noProof/>
                <w:w w:val="0"/>
              </w:rPr>
              <w:t>Exhibit K – Transfer of Information Acknowledgement</w:t>
            </w:r>
            <w:r>
              <w:rPr>
                <w:noProof/>
                <w:webHidden/>
              </w:rPr>
              <w:tab/>
            </w:r>
            <w:r>
              <w:rPr>
                <w:noProof/>
                <w:webHidden/>
              </w:rPr>
              <w:fldChar w:fldCharType="begin"/>
            </w:r>
            <w:r>
              <w:rPr>
                <w:noProof/>
                <w:webHidden/>
              </w:rPr>
              <w:instrText xml:space="preserve"> PAGEREF _Toc227838481 \h </w:instrText>
            </w:r>
            <w:r>
              <w:rPr>
                <w:noProof/>
                <w:webHidden/>
              </w:rPr>
            </w:r>
            <w:r>
              <w:rPr>
                <w:noProof/>
                <w:webHidden/>
              </w:rPr>
              <w:fldChar w:fldCharType="separate"/>
            </w:r>
            <w:r>
              <w:rPr>
                <w:noProof/>
                <w:webHidden/>
              </w:rPr>
              <w:t>132</w:t>
            </w:r>
            <w:r>
              <w:rPr>
                <w:noProof/>
                <w:webHidden/>
              </w:rPr>
              <w:fldChar w:fldCharType="end"/>
            </w:r>
          </w:hyperlink>
        </w:p>
        <w:p w:rsidR="009F4B0B" w:rsidRDefault="009F4B0B" w14:paraId="67FAFF83" w14:textId="5E59F6C4">
          <w:pPr>
            <w:pStyle w:val="TOC1"/>
            <w:rPr>
              <w:rFonts w:asciiTheme="minorHAnsi" w:hAnsiTheme="minorHAnsi" w:eastAsiaTheme="minorEastAsia" w:cstheme="minorBidi"/>
              <w:b w:val="0"/>
              <w:caps w:val="0"/>
              <w:noProof/>
              <w:kern w:val="2"/>
              <w:sz w:val="24"/>
              <w:szCs w:val="24"/>
              <w14:ligatures w14:val="standardContextual"/>
            </w:rPr>
          </w:pPr>
          <w:hyperlink w:history="1" w:anchor="_Toc227838482">
            <w:r w:rsidRPr="00F8043F">
              <w:rPr>
                <w:rStyle w:val="Hyperlink"/>
                <w:noProof/>
              </w:rPr>
              <w:t>Exhibit l – Environmental Compliance Certification</w:t>
            </w:r>
            <w:r>
              <w:rPr>
                <w:noProof/>
                <w:webHidden/>
              </w:rPr>
              <w:tab/>
            </w:r>
            <w:r>
              <w:rPr>
                <w:noProof/>
                <w:webHidden/>
              </w:rPr>
              <w:fldChar w:fldCharType="begin"/>
            </w:r>
            <w:r>
              <w:rPr>
                <w:noProof/>
                <w:webHidden/>
              </w:rPr>
              <w:instrText xml:space="preserve"> PAGEREF _Toc227838482 \h </w:instrText>
            </w:r>
            <w:r>
              <w:rPr>
                <w:noProof/>
                <w:webHidden/>
              </w:rPr>
            </w:r>
            <w:r>
              <w:rPr>
                <w:noProof/>
                <w:webHidden/>
              </w:rPr>
              <w:fldChar w:fldCharType="separate"/>
            </w:r>
            <w:r>
              <w:rPr>
                <w:noProof/>
                <w:webHidden/>
              </w:rPr>
              <w:t>133</w:t>
            </w:r>
            <w:r>
              <w:rPr>
                <w:noProof/>
                <w:webHidden/>
              </w:rPr>
              <w:fldChar w:fldCharType="end"/>
            </w:r>
          </w:hyperlink>
        </w:p>
        <w:p w:rsidR="009F4B0B" w:rsidRDefault="009F4B0B" w14:paraId="23293F2D" w14:textId="4BF7FAAB">
          <w:pPr>
            <w:pStyle w:val="TOC1"/>
            <w:rPr>
              <w:rFonts w:asciiTheme="minorHAnsi" w:hAnsiTheme="minorHAnsi" w:eastAsiaTheme="minorEastAsia" w:cstheme="minorBidi"/>
              <w:b w:val="0"/>
              <w:caps w:val="0"/>
              <w:noProof/>
              <w:kern w:val="2"/>
              <w:sz w:val="24"/>
              <w:szCs w:val="24"/>
              <w14:ligatures w14:val="standardContextual"/>
            </w:rPr>
          </w:pPr>
          <w:hyperlink w:history="1" w:anchor="_Toc227838483">
            <w:r w:rsidRPr="00F8043F">
              <w:rPr>
                <w:rStyle w:val="Hyperlink"/>
                <w:noProof/>
              </w:rPr>
              <w:t>Exhibit M – Notices</w:t>
            </w:r>
            <w:r>
              <w:rPr>
                <w:noProof/>
                <w:webHidden/>
              </w:rPr>
              <w:tab/>
            </w:r>
            <w:r>
              <w:rPr>
                <w:noProof/>
                <w:webHidden/>
              </w:rPr>
              <w:fldChar w:fldCharType="begin"/>
            </w:r>
            <w:r>
              <w:rPr>
                <w:noProof/>
                <w:webHidden/>
              </w:rPr>
              <w:instrText xml:space="preserve"> PAGEREF _Toc227838483 \h </w:instrText>
            </w:r>
            <w:r>
              <w:rPr>
                <w:noProof/>
                <w:webHidden/>
              </w:rPr>
            </w:r>
            <w:r>
              <w:rPr>
                <w:noProof/>
                <w:webHidden/>
              </w:rPr>
              <w:fldChar w:fldCharType="separate"/>
            </w:r>
            <w:r>
              <w:rPr>
                <w:noProof/>
                <w:webHidden/>
              </w:rPr>
              <w:t>134</w:t>
            </w:r>
            <w:r>
              <w:rPr>
                <w:noProof/>
                <w:webHidden/>
              </w:rPr>
              <w:fldChar w:fldCharType="end"/>
            </w:r>
          </w:hyperlink>
        </w:p>
        <w:p w:rsidR="009411D6" w:rsidP="00FA42FD" w:rsidRDefault="00FA42FD" w14:paraId="5739666C" w14:textId="00695B1F">
          <w:pPr>
            <w:pStyle w:val="TOC1"/>
            <w:rPr>
              <w:rStyle w:val="Hyperlink"/>
              <w:noProof/>
              <w:color w:val="auto"/>
              <w:u w:val="none"/>
            </w:rPr>
          </w:pPr>
          <w:r w:rsidRPr="000247F7">
            <w:fldChar w:fldCharType="end"/>
          </w:r>
        </w:p>
      </w:sdtContent>
    </w:sdt>
    <w:p w:rsidRPr="00EC5599" w:rsidR="00EC5599" w:rsidP="00EC5599" w:rsidRDefault="00EC5599" w14:paraId="4740AD04" w14:textId="313B2E9F">
      <w:pPr>
        <w:pStyle w:val="zGNormal"/>
        <w:sectPr w:rsidRPr="00EC5599" w:rsidR="00EC5599" w:rsidSect="006B1C54">
          <w:headerReference w:type="even" r:id="rId13"/>
          <w:headerReference w:type="default" r:id="rId14"/>
          <w:footerReference w:type="even" r:id="rId15"/>
          <w:footerReference w:type="default" r:id="rId16"/>
          <w:footerReference w:type="first" r:id="rId17"/>
          <w:pgSz w:w="12240" w:h="15840" w:code="1"/>
          <w:pgMar w:top="1080" w:right="1080" w:bottom="936" w:left="1224" w:header="432" w:footer="576" w:gutter="0"/>
          <w:cols w:space="720"/>
          <w:docGrid w:linePitch="360"/>
        </w:sectPr>
      </w:pPr>
    </w:p>
    <w:p w:rsidRPr="00986365" w:rsidR="00D96326" w:rsidP="009411D6" w:rsidRDefault="00D96326" w14:paraId="68791B62" w14:textId="77777777">
      <w:pPr>
        <w:pStyle w:val="zGTitleExhibit"/>
      </w:pPr>
      <w:bookmarkStart w:name="_Toc212475634" w:id="24"/>
      <w:bookmarkStart w:name="_Toc227838332" w:id="25"/>
      <w:bookmarkEnd w:id="18"/>
      <w:r>
        <w:lastRenderedPageBreak/>
        <w:t>Schedule of Defined Terms</w:t>
      </w:r>
      <w:bookmarkEnd w:id="24"/>
      <w:bookmarkEnd w:id="25"/>
    </w:p>
    <w:p w:rsidR="00D96326" w:rsidP="00F91989" w:rsidRDefault="00D96326" w14:paraId="091C706C" w14:textId="09845DD8">
      <w:pPr>
        <w:pStyle w:val="Heading2"/>
        <w:keepNext w:val="0"/>
        <w:widowControl w:val="0"/>
        <w:spacing w:before="120"/>
        <w:rPr>
          <w:rFonts w:cs="Arial"/>
        </w:rPr>
      </w:pPr>
      <w:r>
        <w:rPr>
          <w:rFonts w:cs="Arial"/>
        </w:rPr>
        <w:t xml:space="preserve">This PPA uses the defined terms identified in this </w:t>
      </w:r>
      <w:r>
        <w:rPr>
          <w:rFonts w:cs="Arial"/>
          <w:i/>
          <w:iCs/>
        </w:rPr>
        <w:t>Schedule of Defined Terms</w:t>
      </w:r>
      <w:r>
        <w:rPr>
          <w:rFonts w:cs="Arial"/>
        </w:rPr>
        <w:t xml:space="preserve"> or in the body of this PPA and the rules of construction identified in Section 20.17 (</w:t>
      </w:r>
      <w:r>
        <w:rPr>
          <w:rFonts w:cs="Arial"/>
          <w:i/>
        </w:rPr>
        <w:t>Contract Interpretation</w:t>
      </w:r>
      <w:r>
        <w:rPr>
          <w:rFonts w:cs="Arial"/>
        </w:rPr>
        <w:t xml:space="preserve">). </w:t>
      </w:r>
      <w:bookmarkEnd w:id="19"/>
      <w:bookmarkEnd w:id="20"/>
      <w:bookmarkEnd w:id="21"/>
      <w:bookmarkEnd w:id="22"/>
      <w:bookmarkEnd w:id="23"/>
    </w:p>
    <w:p w:rsidRPr="00DE318A" w:rsidR="00DE318A" w:rsidP="00F91989" w:rsidRDefault="00DE318A" w14:paraId="0A077088" w14:textId="651CE3BA">
      <w:pPr>
        <w:pStyle w:val="Heading3"/>
        <w:spacing w:after="120"/>
        <w:rPr>
          <w:rStyle w:val="Strong"/>
        </w:rPr>
      </w:pPr>
      <w:r>
        <w:rPr>
          <w:b/>
          <w:bCs/>
          <w:u w:val="single"/>
        </w:rPr>
        <w:t>Abandonment</w:t>
      </w:r>
      <w:r>
        <w:rPr>
          <w:b/>
          <w:bCs/>
        </w:rPr>
        <w:t>:</w:t>
      </w:r>
      <w:r>
        <w:t xml:space="preserve"> </w:t>
      </w:r>
      <w:r w:rsidR="008248BD">
        <w:rPr>
          <w:rFonts w:eastAsia="Calibri" w:cs="Arial"/>
          <w:iCs w:val="0"/>
        </w:rPr>
        <w:t>A</w:t>
      </w:r>
      <w:r w:rsidRPr="005C4949" w:rsidR="005C4949">
        <w:rPr>
          <w:rFonts w:eastAsia="Calibri" w:cs="Arial"/>
          <w:iCs w:val="0"/>
        </w:rPr>
        <w:t>ny Seller</w:t>
      </w:r>
      <w:r w:rsidR="00315903">
        <w:rPr>
          <w:rFonts w:eastAsia="Calibri" w:cs="Arial"/>
          <w:iCs w:val="0"/>
        </w:rPr>
        <w:t>:</w:t>
      </w:r>
      <w:r w:rsidRPr="005C4949" w:rsidR="005C4949">
        <w:rPr>
          <w:rFonts w:eastAsia="Calibri" w:cs="Arial"/>
          <w:iCs w:val="0"/>
        </w:rPr>
        <w:t xml:space="preserve"> (</w:t>
      </w:r>
      <w:proofErr w:type="spellStart"/>
      <w:r w:rsidRPr="005C4949" w:rsidR="005C4949">
        <w:rPr>
          <w:rFonts w:eastAsia="Calibri" w:cs="Arial"/>
          <w:iCs w:val="0"/>
        </w:rPr>
        <w:t>i</w:t>
      </w:r>
      <w:proofErr w:type="spellEnd"/>
      <w:r w:rsidRPr="005C4949" w:rsidR="005C4949">
        <w:rPr>
          <w:rFonts w:eastAsia="Calibri" w:cs="Arial"/>
          <w:iCs w:val="0"/>
        </w:rPr>
        <w:t>) cessation of Facility development, construction, or installation activities for a continuous period of not less than 90 consecutive Days, other than</w:t>
      </w:r>
      <w:r w:rsidR="00315903">
        <w:rPr>
          <w:rFonts w:eastAsia="Calibri" w:cs="Arial"/>
          <w:iCs w:val="0"/>
        </w:rPr>
        <w:t>:</w:t>
      </w:r>
      <w:r w:rsidRPr="005C4949" w:rsidR="005C4949">
        <w:rPr>
          <w:rFonts w:eastAsia="Calibri" w:cs="Arial"/>
          <w:iCs w:val="0"/>
        </w:rPr>
        <w:t xml:space="preserve"> (a) as mutually agreed by the Parties in writing</w:t>
      </w:r>
      <w:r w:rsidR="00315903">
        <w:rPr>
          <w:rFonts w:eastAsia="Calibri" w:cs="Arial"/>
          <w:iCs w:val="0"/>
        </w:rPr>
        <w:t>;</w:t>
      </w:r>
      <w:r w:rsidRPr="005C4949" w:rsidR="005C4949">
        <w:rPr>
          <w:rFonts w:eastAsia="Calibri" w:cs="Arial"/>
          <w:iCs w:val="0"/>
        </w:rPr>
        <w:t xml:space="preserve"> (b) a suspension resulting from an FME</w:t>
      </w:r>
      <w:r w:rsidR="00315903">
        <w:rPr>
          <w:rFonts w:eastAsia="Calibri" w:cs="Arial"/>
          <w:iCs w:val="0"/>
        </w:rPr>
        <w:t>;</w:t>
      </w:r>
      <w:r w:rsidRPr="005C4949" w:rsidR="005C4949">
        <w:rPr>
          <w:rFonts w:eastAsia="Calibri" w:cs="Arial"/>
          <w:iCs w:val="0"/>
        </w:rPr>
        <w:t xml:space="preserve"> or (c) planned periods of inactivity reflected in the level 3 critical path method </w:t>
      </w:r>
      <w:r w:rsidRPr="00801FFE" w:rsidR="005C4949">
        <w:rPr>
          <w:rFonts w:eastAsia="Calibri" w:cs="Arial"/>
          <w:iCs w:val="0"/>
        </w:rPr>
        <w:t>EPC Contract Schedule</w:t>
      </w:r>
      <w:r w:rsidRPr="005C4949" w:rsidR="005C4949">
        <w:rPr>
          <w:rFonts w:eastAsia="Calibri" w:cs="Arial"/>
          <w:iCs w:val="0"/>
        </w:rPr>
        <w:t xml:space="preserve"> provided by Seller for the corresponding Key Milestone Date; or (ii) written statement or action evidencing Seller’s intent to permanently discontinue development or construction of the Facility or otherwise not to achieve Commercial Operation.</w:t>
      </w:r>
    </w:p>
    <w:p w:rsidR="007B15FD" w:rsidP="00F91989" w:rsidRDefault="007B15FD" w14:paraId="75766AF2" w14:textId="0D4E25A9">
      <w:pPr>
        <w:pStyle w:val="Heading3"/>
        <w:keepNext w:val="0"/>
        <w:widowControl w:val="0"/>
        <w:spacing w:after="120"/>
        <w:rPr>
          <w:b/>
          <w:bCs/>
          <w:u w:val="single"/>
        </w:rPr>
      </w:pPr>
      <w:r>
        <w:rPr>
          <w:rStyle w:val="Strong"/>
          <w:u w:val="single"/>
        </w:rPr>
        <w:t>AC</w:t>
      </w:r>
      <w:r>
        <w:rPr>
          <w:rStyle w:val="Strong"/>
        </w:rPr>
        <w:t>:</w:t>
      </w:r>
      <w:r>
        <w:t xml:space="preserve"> Alternating current.</w:t>
      </w:r>
    </w:p>
    <w:p w:rsidR="00D96326" w:rsidP="00F91989" w:rsidRDefault="00D96326" w14:paraId="23118F57" w14:textId="482CB05B">
      <w:pPr>
        <w:pStyle w:val="Heading3"/>
        <w:spacing w:after="120"/>
        <w:rPr>
          <w:rFonts w:cs="Arial"/>
          <w:bCs/>
        </w:rPr>
      </w:pPr>
      <w:r>
        <w:rPr>
          <w:b/>
          <w:bCs/>
          <w:u w:val="single"/>
        </w:rPr>
        <w:t>ACP</w:t>
      </w:r>
      <w:r>
        <w:rPr>
          <w:b/>
          <w:bCs/>
        </w:rPr>
        <w:t>:</w:t>
      </w:r>
      <w:r>
        <w:rPr>
          <w:rFonts w:cs="Arial"/>
          <w:b/>
          <w:bCs/>
        </w:rPr>
        <w:t xml:space="preserve"> </w:t>
      </w:r>
      <w:r>
        <w:rPr>
          <w:rFonts w:cs="Arial"/>
          <w:bCs/>
        </w:rPr>
        <w:t>See</w:t>
      </w:r>
      <w:r>
        <w:rPr>
          <w:rFonts w:cs="Arial"/>
          <w:bCs/>
          <w:i/>
          <w:iCs w:val="0"/>
        </w:rPr>
        <w:t xml:space="preserve"> </w:t>
      </w:r>
      <w:r>
        <w:rPr>
          <w:rFonts w:cs="Arial"/>
          <w:bCs/>
          <w:i/>
        </w:rPr>
        <w:t>Annual Capacity Price</w:t>
      </w:r>
      <w:r>
        <w:rPr>
          <w:rFonts w:cs="Arial"/>
          <w:bCs/>
        </w:rPr>
        <w:t>.</w:t>
      </w:r>
    </w:p>
    <w:p w:rsidR="009077CD" w:rsidP="00F91989" w:rsidRDefault="000E2B85" w14:paraId="669A4324" w14:textId="373D49CB">
      <w:pPr>
        <w:pStyle w:val="Heading3"/>
        <w:spacing w:after="120"/>
        <w:rPr>
          <w:b/>
          <w:bCs/>
        </w:rPr>
      </w:pPr>
      <w:r>
        <w:rPr>
          <w:rFonts w:cs="Arial"/>
          <w:b/>
          <w:u w:val="single"/>
        </w:rPr>
        <w:t>ACP Adjustment</w:t>
      </w:r>
      <w:r>
        <w:rPr>
          <w:rFonts w:cs="Arial"/>
          <w:b/>
        </w:rPr>
        <w:t xml:space="preserve">: </w:t>
      </w:r>
      <w:r>
        <w:rPr>
          <w:rFonts w:cs="Arial"/>
          <w:bCs/>
        </w:rPr>
        <w:t xml:space="preserve">As defined in </w:t>
      </w:r>
      <w:r w:rsidRPr="009D2F68">
        <w:rPr>
          <w:rFonts w:cs="Arial"/>
          <w:bCs/>
        </w:rPr>
        <w:t>Section 17.</w:t>
      </w:r>
      <w:r w:rsidRPr="009D2F68" w:rsidR="001B6A7E">
        <w:rPr>
          <w:rFonts w:cs="Arial"/>
          <w:bCs/>
        </w:rPr>
        <w:t>2</w:t>
      </w:r>
      <w:r w:rsidRPr="009D2F68">
        <w:rPr>
          <w:rFonts w:cs="Arial"/>
          <w:bCs/>
        </w:rPr>
        <w:t>.</w:t>
      </w:r>
      <w:r w:rsidRPr="009D2F68" w:rsidR="001B6A7E">
        <w:rPr>
          <w:rFonts w:cs="Arial"/>
          <w:bCs/>
        </w:rPr>
        <w:t>3</w:t>
      </w:r>
      <w:r w:rsidRPr="009D2F68">
        <w:rPr>
          <w:rFonts w:cs="Arial"/>
          <w:bCs/>
        </w:rPr>
        <w:t xml:space="preserve"> (</w:t>
      </w:r>
      <w:r w:rsidRPr="00692DDA">
        <w:rPr>
          <w:rFonts w:cs="Arial"/>
          <w:bCs/>
          <w:i/>
        </w:rPr>
        <w:t>GPC Review; ACP Adjustment</w:t>
      </w:r>
      <w:r w:rsidRPr="009D2F68">
        <w:rPr>
          <w:rFonts w:cs="Arial"/>
          <w:bCs/>
        </w:rPr>
        <w:t>).</w:t>
      </w:r>
    </w:p>
    <w:p w:rsidR="531CE1E5" w:rsidP="54C72364" w:rsidRDefault="531CE1E5" w14:paraId="1A7C0AE7" w14:textId="3CBBDE63">
      <w:pPr>
        <w:pStyle w:val="Heading3"/>
        <w:spacing w:after="120"/>
        <w:rPr>
          <w:rFonts w:cs="Arial"/>
        </w:rPr>
      </w:pPr>
      <w:r>
        <w:rPr>
          <w:rFonts w:cs="Arial"/>
          <w:b/>
          <w:bCs/>
          <w:u w:val="single"/>
        </w:rPr>
        <w:t>Adjustment Period</w:t>
      </w:r>
      <w:r>
        <w:rPr>
          <w:rFonts w:cs="Arial"/>
          <w:b/>
          <w:bCs/>
        </w:rPr>
        <w:t xml:space="preserve">: </w:t>
      </w:r>
      <w:r>
        <w:rPr>
          <w:rFonts w:cs="Arial"/>
        </w:rPr>
        <w:t>Defined in Section 8.2.3 (</w:t>
      </w:r>
      <w:r>
        <w:rPr>
          <w:rFonts w:cs="Arial"/>
          <w:i/>
        </w:rPr>
        <w:t>Adjustments</w:t>
      </w:r>
      <w:r>
        <w:rPr>
          <w:rFonts w:cs="Arial"/>
        </w:rPr>
        <w:t>).</w:t>
      </w:r>
    </w:p>
    <w:p w:rsidRPr="00EE5A84" w:rsidR="005715E9" w:rsidP="004A5539" w:rsidRDefault="005715E9" w14:paraId="367CBAE6" w14:textId="7521DC50">
      <w:pPr>
        <w:pStyle w:val="Heading3"/>
        <w:keepNext w:val="0"/>
        <w:widowControl w:val="0"/>
        <w:spacing w:after="120"/>
      </w:pPr>
      <w:r>
        <w:rPr>
          <w:rFonts w:eastAsia="Times New Roman"/>
          <w:b/>
          <w:color w:val="000000" w:themeColor="text1"/>
          <w:u w:val="single"/>
        </w:rPr>
        <w:t>Affected System</w:t>
      </w:r>
      <w:r>
        <w:rPr>
          <w:b/>
        </w:rPr>
        <w:t>:</w:t>
      </w:r>
      <w:r>
        <w:t xml:space="preserve"> </w:t>
      </w:r>
      <w:r>
        <w:rPr>
          <w:bCs/>
          <w:color w:val="000000"/>
        </w:rPr>
        <w:t>A</w:t>
      </w:r>
      <w:r>
        <w:rPr>
          <w:bCs/>
        </w:rPr>
        <w:t>n</w:t>
      </w:r>
      <w:r>
        <w:t xml:space="preserve"> Electric System utility other than the</w:t>
      </w:r>
      <w:r>
        <w:rPr>
          <w:bCs/>
        </w:rPr>
        <w:t xml:space="preserve"> Southern Company Transmission System or</w:t>
      </w:r>
      <w:r>
        <w:t xml:space="preserve"> an </w:t>
      </w:r>
      <w:r>
        <w:rPr>
          <w:color w:val="000000" w:themeColor="text1"/>
        </w:rPr>
        <w:t xml:space="preserve">electric facility owner </w:t>
      </w:r>
      <w:r>
        <w:t>whose facilities require additions, modifications, or upgrades that are necessary for safe and reliable operation of the Electric System during parallel operation of the Facility, other than those required due to GPC’s designation of the Facility output to serve GPC’s customers (i.e., to deliver the energy from the Point of Delivery to GPC’s customers).</w:t>
      </w:r>
    </w:p>
    <w:p w:rsidRPr="00F10071" w:rsidR="00D96326" w:rsidP="004A5539" w:rsidRDefault="00D96326" w14:paraId="73B4C79B" w14:textId="023ED96C">
      <w:pPr>
        <w:pStyle w:val="Heading3"/>
        <w:keepNext w:val="0"/>
        <w:widowControl w:val="0"/>
        <w:spacing w:after="120"/>
        <w:rPr>
          <w:rFonts w:cs="Arial"/>
        </w:rPr>
      </w:pPr>
      <w:r>
        <w:rPr>
          <w:rFonts w:cs="Arial"/>
          <w:b/>
          <w:bCs/>
          <w:u w:val="single"/>
        </w:rPr>
        <w:t>Affiliate</w:t>
      </w:r>
      <w:r>
        <w:rPr>
          <w:rFonts w:cs="Arial"/>
          <w:b/>
          <w:bCs/>
        </w:rPr>
        <w:t>:</w:t>
      </w:r>
      <w:r>
        <w:rPr>
          <w:rFonts w:cs="Arial"/>
        </w:rPr>
        <w:t xml:space="preserve"> For any specific Person, any other Person directly or indirectly controlling, or controlled by or under common control with that Person. For purposes of this definition, “control” when used regarding any entity means the power to direct the management and policies of the entity, directly or indirectly, whether through the ownership of voting securities, by contract, or otherwise. For purposes of this PPA, it is assumed that a Person directly or indirectly owning 50% or more of the outstanding stock or other equity interest of another Person has “control” of that Person. The terms “controlling” and “controlled” have meanings correlative to “control.”</w:t>
      </w:r>
    </w:p>
    <w:p w:rsidR="00D96326" w:rsidP="004A5539" w:rsidRDefault="00D96326" w14:paraId="795A7EB0" w14:textId="4A2A5A91">
      <w:pPr>
        <w:pStyle w:val="Heading3"/>
        <w:keepNext w:val="0"/>
        <w:widowControl w:val="0"/>
        <w:spacing w:after="120"/>
        <w:rPr>
          <w:rFonts w:cs="Arial"/>
        </w:rPr>
      </w:pPr>
      <w:r>
        <w:rPr>
          <w:rFonts w:cs="Arial"/>
          <w:b/>
          <w:u w:val="single"/>
        </w:rPr>
        <w:t>After-Tax Basis</w:t>
      </w:r>
      <w:r>
        <w:rPr>
          <w:rFonts w:cs="Arial"/>
          <w:b/>
        </w:rPr>
        <w:t>:</w:t>
      </w:r>
      <w:r>
        <w:rPr>
          <w:rFonts w:cs="Arial"/>
        </w:rPr>
        <w:t xml:space="preserve"> </w:t>
      </w:r>
      <w:r w:rsidR="00FE5052">
        <w:rPr>
          <w:rFonts w:cs="Arial"/>
        </w:rPr>
        <w:t>With respect to a given</w:t>
      </w:r>
      <w:r>
        <w:rPr>
          <w:rFonts w:cs="Arial"/>
        </w:rPr>
        <w:t xml:space="preserve"> payment </w:t>
      </w:r>
      <w:r w:rsidR="0009734C">
        <w:rPr>
          <w:rFonts w:cs="Arial"/>
        </w:rPr>
        <w:t>required to be made to any Person</w:t>
      </w:r>
      <w:r>
        <w:rPr>
          <w:rFonts w:cs="Arial"/>
        </w:rPr>
        <w:t xml:space="preserve">, the amount of </w:t>
      </w:r>
      <w:r w:rsidR="003368CC">
        <w:rPr>
          <w:rFonts w:cs="Arial"/>
        </w:rPr>
        <w:t xml:space="preserve">the </w:t>
      </w:r>
      <w:r>
        <w:rPr>
          <w:rFonts w:cs="Arial"/>
        </w:rPr>
        <w:t>payment (</w:t>
      </w:r>
      <w:r w:rsidR="0009734C">
        <w:rPr>
          <w:rFonts w:cs="Arial"/>
        </w:rPr>
        <w:t>“</w:t>
      </w:r>
      <w:r w:rsidRPr="0009734C" w:rsidR="0009734C">
        <w:rPr>
          <w:rFonts w:cs="Arial"/>
          <w:b/>
          <w:bCs/>
        </w:rPr>
        <w:t>Base Payment</w:t>
      </w:r>
      <w:r w:rsidR="0009734C">
        <w:rPr>
          <w:rFonts w:cs="Arial"/>
        </w:rPr>
        <w:t>”</w:t>
      </w:r>
      <w:r>
        <w:rPr>
          <w:rFonts w:cs="Arial"/>
        </w:rPr>
        <w:t>) supplemented by a further payment (</w:t>
      </w:r>
      <w:r w:rsidR="0009734C">
        <w:rPr>
          <w:rFonts w:cs="Arial"/>
        </w:rPr>
        <w:t>“</w:t>
      </w:r>
      <w:r w:rsidRPr="0009734C" w:rsidR="0009734C">
        <w:rPr>
          <w:rFonts w:cs="Arial"/>
          <w:b/>
          <w:bCs/>
        </w:rPr>
        <w:t>Additional</w:t>
      </w:r>
      <w:r w:rsidRPr="0009734C">
        <w:rPr>
          <w:rFonts w:cs="Arial"/>
          <w:b/>
          <w:bCs/>
        </w:rPr>
        <w:t xml:space="preserve"> </w:t>
      </w:r>
      <w:r w:rsidRPr="0009734C" w:rsidR="0009734C">
        <w:rPr>
          <w:rFonts w:cs="Arial"/>
          <w:b/>
          <w:bCs/>
        </w:rPr>
        <w:t>P</w:t>
      </w:r>
      <w:r w:rsidRPr="0009734C">
        <w:rPr>
          <w:rFonts w:cs="Arial"/>
          <w:b/>
          <w:bCs/>
        </w:rPr>
        <w:t>ayment</w:t>
      </w:r>
      <w:r w:rsidR="0009734C">
        <w:rPr>
          <w:rFonts w:cs="Arial"/>
        </w:rPr>
        <w:t>”</w:t>
      </w:r>
      <w:r>
        <w:rPr>
          <w:rFonts w:cs="Arial"/>
        </w:rPr>
        <w:t xml:space="preserve">) to that Person so that the sum of the </w:t>
      </w:r>
      <w:r w:rsidR="00164389">
        <w:rPr>
          <w:rFonts w:cs="Arial"/>
        </w:rPr>
        <w:t>B</w:t>
      </w:r>
      <w:r>
        <w:rPr>
          <w:rFonts w:cs="Arial"/>
        </w:rPr>
        <w:t xml:space="preserve">ase </w:t>
      </w:r>
      <w:r w:rsidR="00164389">
        <w:rPr>
          <w:rFonts w:cs="Arial"/>
        </w:rPr>
        <w:t>P</w:t>
      </w:r>
      <w:r>
        <w:rPr>
          <w:rFonts w:cs="Arial"/>
        </w:rPr>
        <w:t xml:space="preserve">ayment plus the </w:t>
      </w:r>
      <w:r w:rsidR="00164389">
        <w:rPr>
          <w:rFonts w:cs="Arial"/>
        </w:rPr>
        <w:t>A</w:t>
      </w:r>
      <w:r>
        <w:rPr>
          <w:rFonts w:cs="Arial"/>
        </w:rPr>
        <w:t xml:space="preserve">dditional </w:t>
      </w:r>
      <w:r w:rsidR="00164389">
        <w:rPr>
          <w:rFonts w:cs="Arial"/>
        </w:rPr>
        <w:t>P</w:t>
      </w:r>
      <w:r>
        <w:rPr>
          <w:rFonts w:cs="Arial"/>
        </w:rPr>
        <w:t xml:space="preserve">ayment will, after deduction of the amount of all </w:t>
      </w:r>
      <w:r w:rsidR="00164389">
        <w:rPr>
          <w:rFonts w:cs="Arial"/>
        </w:rPr>
        <w:t>income t</w:t>
      </w:r>
      <w:r>
        <w:rPr>
          <w:rFonts w:cs="Arial"/>
        </w:rPr>
        <w:t xml:space="preserve">axes required to be paid by </w:t>
      </w:r>
      <w:r w:rsidR="002D581B">
        <w:rPr>
          <w:rFonts w:cs="Arial"/>
        </w:rPr>
        <w:t xml:space="preserve">the </w:t>
      </w:r>
      <w:r>
        <w:rPr>
          <w:rFonts w:cs="Arial"/>
        </w:rPr>
        <w:t xml:space="preserve">Person </w:t>
      </w:r>
      <w:r w:rsidR="002D581B">
        <w:rPr>
          <w:rFonts w:cs="Arial"/>
        </w:rPr>
        <w:t>regarding</w:t>
      </w:r>
      <w:r>
        <w:rPr>
          <w:rFonts w:cs="Arial"/>
        </w:rPr>
        <w:t xml:space="preserve"> the receipt or accrual of the</w:t>
      </w:r>
      <w:r w:rsidR="007C3131">
        <w:rPr>
          <w:rFonts w:cs="Arial"/>
        </w:rPr>
        <w:t xml:space="preserve"> B</w:t>
      </w:r>
      <w:r>
        <w:rPr>
          <w:rFonts w:cs="Arial"/>
        </w:rPr>
        <w:t xml:space="preserve">ase </w:t>
      </w:r>
      <w:r w:rsidR="007C3131">
        <w:rPr>
          <w:rFonts w:cs="Arial"/>
        </w:rPr>
        <w:t>P</w:t>
      </w:r>
      <w:r>
        <w:rPr>
          <w:rFonts w:cs="Arial"/>
        </w:rPr>
        <w:t xml:space="preserve">ayment and the </w:t>
      </w:r>
      <w:r w:rsidR="007C3131">
        <w:rPr>
          <w:rFonts w:cs="Arial"/>
        </w:rPr>
        <w:t>A</w:t>
      </w:r>
      <w:r>
        <w:rPr>
          <w:rFonts w:cs="Arial"/>
        </w:rPr>
        <w:t xml:space="preserve">dditional </w:t>
      </w:r>
      <w:r w:rsidR="007C3131">
        <w:rPr>
          <w:rFonts w:cs="Arial"/>
        </w:rPr>
        <w:t>P</w:t>
      </w:r>
      <w:r>
        <w:rPr>
          <w:rFonts w:cs="Arial"/>
        </w:rPr>
        <w:t>ayment (taking into account</w:t>
      </w:r>
      <w:r w:rsidR="007C3131">
        <w:rPr>
          <w:rFonts w:cs="Arial"/>
        </w:rPr>
        <w:t xml:space="preserve"> the net present value of any reduction in income taxes resulting from </w:t>
      </w:r>
      <w:r w:rsidR="00E06740">
        <w:rPr>
          <w:rFonts w:cs="Arial"/>
        </w:rPr>
        <w:t>tax benefits realized by the recipient as a result of the payment or the event giving rise to the payment</w:t>
      </w:r>
      <w:r>
        <w:rPr>
          <w:rFonts w:cs="Arial"/>
        </w:rPr>
        <w:t xml:space="preserve">), be equal to the amount required to be received. </w:t>
      </w:r>
      <w:r w:rsidR="00FE3CCB">
        <w:rPr>
          <w:rFonts w:cs="Arial"/>
        </w:rPr>
        <w:t>The</w:t>
      </w:r>
      <w:r>
        <w:rPr>
          <w:rFonts w:cs="Arial"/>
        </w:rPr>
        <w:t xml:space="preserve"> calculations will be made </w:t>
      </w:r>
      <w:proofErr w:type="gramStart"/>
      <w:r>
        <w:rPr>
          <w:rFonts w:cs="Arial"/>
        </w:rPr>
        <w:t>on the basis of</w:t>
      </w:r>
      <w:proofErr w:type="gramEnd"/>
      <w:r>
        <w:rPr>
          <w:rFonts w:cs="Arial"/>
        </w:rPr>
        <w:t xml:space="preserve"> the </w:t>
      </w:r>
      <w:r w:rsidR="00610088">
        <w:rPr>
          <w:rFonts w:cs="Arial"/>
        </w:rPr>
        <w:t>highest generally applicable federal, state, and local income tax</w:t>
      </w:r>
      <w:r>
        <w:rPr>
          <w:rFonts w:cs="Arial"/>
        </w:rPr>
        <w:t xml:space="preserve"> rate</w:t>
      </w:r>
      <w:r w:rsidR="00610088">
        <w:rPr>
          <w:rFonts w:cs="Arial"/>
        </w:rPr>
        <w:t>s</w:t>
      </w:r>
      <w:r>
        <w:rPr>
          <w:rFonts w:cs="Arial"/>
        </w:rPr>
        <w:t xml:space="preserve"> applicable to </w:t>
      </w:r>
      <w:r w:rsidR="00610088">
        <w:rPr>
          <w:rFonts w:cs="Arial"/>
        </w:rPr>
        <w:t>the Person for whom the calculation is being made for all</w:t>
      </w:r>
      <w:r>
        <w:rPr>
          <w:rFonts w:cs="Arial"/>
        </w:rPr>
        <w:t xml:space="preserve"> relevant</w:t>
      </w:r>
      <w:r w:rsidR="00A105E8">
        <w:rPr>
          <w:rFonts w:cs="Arial"/>
        </w:rPr>
        <w:t xml:space="preserve"> </w:t>
      </w:r>
      <w:r>
        <w:rPr>
          <w:rFonts w:cs="Arial"/>
        </w:rPr>
        <w:t xml:space="preserve">periods </w:t>
      </w:r>
      <w:r w:rsidR="00A105E8">
        <w:rPr>
          <w:rFonts w:cs="Arial"/>
        </w:rPr>
        <w:t xml:space="preserve">and will </w:t>
      </w:r>
      <w:proofErr w:type="gramStart"/>
      <w:r w:rsidR="00A105E8">
        <w:rPr>
          <w:rFonts w:cs="Arial"/>
        </w:rPr>
        <w:t>take into account</w:t>
      </w:r>
      <w:proofErr w:type="gramEnd"/>
      <w:r w:rsidR="00A105E8">
        <w:rPr>
          <w:rFonts w:cs="Arial"/>
        </w:rPr>
        <w:t xml:space="preserve"> the deductibility of state and local income taxes for federal income tax purposes</w:t>
      </w:r>
      <w:r>
        <w:rPr>
          <w:rFonts w:cs="Arial"/>
        </w:rPr>
        <w:t>.</w:t>
      </w:r>
    </w:p>
    <w:p w:rsidRPr="00A50CC1" w:rsidR="00D96326" w:rsidP="004A5539" w:rsidRDefault="00D96326" w14:paraId="1FBB3008" w14:textId="77777777">
      <w:pPr>
        <w:pStyle w:val="Heading3"/>
        <w:keepNext w:val="0"/>
        <w:widowControl w:val="0"/>
        <w:spacing w:after="120"/>
        <w:rPr>
          <w:rFonts w:cs="Arial"/>
          <w:u w:val="single"/>
        </w:rPr>
      </w:pPr>
      <w:r>
        <w:rPr>
          <w:rFonts w:cs="Arial"/>
          <w:b/>
          <w:bCs/>
          <w:u w:val="single"/>
        </w:rPr>
        <w:t>AGC</w:t>
      </w:r>
      <w:r>
        <w:rPr>
          <w:rFonts w:cs="Arial"/>
          <w:b/>
          <w:bCs/>
        </w:rPr>
        <w:t>:</w:t>
      </w:r>
      <w:r>
        <w:rPr>
          <w:rFonts w:cs="Arial"/>
        </w:rPr>
        <w:t xml:space="preserve"> See </w:t>
      </w:r>
      <w:r>
        <w:rPr>
          <w:rFonts w:cs="Arial"/>
          <w:i/>
        </w:rPr>
        <w:t>Automatic Generation Control</w:t>
      </w:r>
      <w:r>
        <w:rPr>
          <w:rFonts w:cs="Arial"/>
        </w:rPr>
        <w:t xml:space="preserve">. </w:t>
      </w:r>
    </w:p>
    <w:p w:rsidRPr="00BF404C" w:rsidR="00D96326" w:rsidP="004A5539" w:rsidRDefault="00D96326" w14:paraId="6B2E73C0" w14:textId="77777777">
      <w:pPr>
        <w:pStyle w:val="Heading3"/>
        <w:keepNext w:val="0"/>
        <w:widowControl w:val="0"/>
        <w:spacing w:after="120"/>
        <w:rPr>
          <w:rFonts w:cs="Arial"/>
        </w:rPr>
      </w:pPr>
      <w:r>
        <w:rPr>
          <w:rFonts w:cs="Arial"/>
          <w:b/>
          <w:bCs/>
          <w:u w:val="single"/>
        </w:rPr>
        <w:t>AIER</w:t>
      </w:r>
      <w:r>
        <w:rPr>
          <w:rFonts w:cs="Arial"/>
          <w:b/>
          <w:bCs/>
        </w:rPr>
        <w:t>:</w:t>
      </w:r>
      <w:r>
        <w:rPr>
          <w:rFonts w:cs="Arial"/>
        </w:rPr>
        <w:t xml:space="preserve"> See </w:t>
      </w:r>
      <w:r>
        <w:rPr>
          <w:rFonts w:cs="Arial"/>
          <w:i/>
          <w:iCs w:val="0"/>
        </w:rPr>
        <w:t>Associated Interchange Energy Rate</w:t>
      </w:r>
      <w:r>
        <w:rPr>
          <w:rFonts w:cs="Arial"/>
        </w:rPr>
        <w:t xml:space="preserve">. </w:t>
      </w:r>
    </w:p>
    <w:p w:rsidR="00D96326" w:rsidP="004A5539" w:rsidRDefault="00D96326" w14:paraId="701B8C93" w14:textId="77777777">
      <w:pPr>
        <w:pStyle w:val="Heading3"/>
        <w:keepNext w:val="0"/>
        <w:widowControl w:val="0"/>
        <w:spacing w:after="120"/>
      </w:pPr>
      <w:r>
        <w:rPr>
          <w:rFonts w:cs="Arial"/>
          <w:b/>
          <w:bCs/>
          <w:u w:val="single"/>
        </w:rPr>
        <w:t>Air Permit</w:t>
      </w:r>
      <w:r>
        <w:rPr>
          <w:rFonts w:cs="Arial"/>
          <w:b/>
          <w:bCs/>
        </w:rPr>
        <w:t>:</w:t>
      </w:r>
      <w:r>
        <w:rPr>
          <w:rFonts w:cs="Arial"/>
        </w:rPr>
        <w:t xml:space="preserve"> </w:t>
      </w:r>
      <w:r>
        <w:t>Consent(s) pertaining to air emissions necessary for the performance of Seller’s obligations under this PPA.</w:t>
      </w:r>
    </w:p>
    <w:p w:rsidRPr="00DC06DB" w:rsidR="00D96326" w:rsidP="004A5539" w:rsidRDefault="00D96326" w14:paraId="6BECDF1B" w14:textId="38307E0D">
      <w:pPr>
        <w:pStyle w:val="Heading3"/>
        <w:keepNext w:val="0"/>
        <w:widowControl w:val="0"/>
        <w:spacing w:after="120"/>
        <w:rPr>
          <w:rFonts w:cs="Arial"/>
          <w:bCs/>
        </w:rPr>
      </w:pPr>
      <w:r>
        <w:rPr>
          <w:b/>
          <w:u w:val="single"/>
        </w:rPr>
        <w:t>Air Permit Operating Limits</w:t>
      </w:r>
      <w:r>
        <w:rPr>
          <w:b/>
        </w:rPr>
        <w:t>:</w:t>
      </w:r>
      <w:r>
        <w:t xml:space="preserve"> As described in Exhibit A (</w:t>
      </w:r>
      <w:r>
        <w:rPr>
          <w:i/>
        </w:rPr>
        <w:t>Facility Description and Additional Details</w:t>
      </w:r>
      <w:r>
        <w:t>), the operational limitations specified in the Air Permit, as such limitations may be modified from time to time because of a Change of Law or other circumstance beyond Seller’s reasonable control.</w:t>
      </w:r>
    </w:p>
    <w:p w:rsidRPr="00F10071" w:rsidR="00D96326" w:rsidP="004A5539" w:rsidRDefault="00D96326" w14:paraId="79380AD0" w14:textId="55E1422C">
      <w:pPr>
        <w:pStyle w:val="Heading3"/>
        <w:keepNext w:val="0"/>
        <w:widowControl w:val="0"/>
        <w:spacing w:after="120"/>
        <w:rPr>
          <w:rFonts w:cs="Arial"/>
        </w:rPr>
      </w:pPr>
      <w:r>
        <w:rPr>
          <w:rFonts w:cs="Arial"/>
          <w:b/>
          <w:u w:val="single"/>
        </w:rPr>
        <w:t xml:space="preserve">Air Permit </w:t>
      </w:r>
      <w:r w:rsidR="00C215C7">
        <w:rPr>
          <w:rFonts w:cs="Arial"/>
          <w:b/>
          <w:u w:val="single"/>
        </w:rPr>
        <w:t xml:space="preserve">Milestone </w:t>
      </w:r>
      <w:r>
        <w:rPr>
          <w:rFonts w:cs="Arial"/>
          <w:b/>
          <w:u w:val="single"/>
        </w:rPr>
        <w:t>Date</w:t>
      </w:r>
      <w:r>
        <w:rPr>
          <w:rFonts w:cs="Arial"/>
          <w:b/>
        </w:rPr>
        <w:t>:</w:t>
      </w:r>
      <w:r>
        <w:rPr>
          <w:rFonts w:cs="Arial"/>
        </w:rPr>
        <w:t xml:space="preserve"> The date by which Seller must obtain an Air Permit, as identified in Exhibit A-1 (</w:t>
      </w:r>
      <w:r>
        <w:rPr>
          <w:rFonts w:cs="Arial"/>
          <w:i/>
        </w:rPr>
        <w:t>Key Milestones and Required Key Milestone Dates</w:t>
      </w:r>
      <w:r>
        <w:rPr>
          <w:rFonts w:cs="Arial"/>
        </w:rPr>
        <w:t>).</w:t>
      </w:r>
    </w:p>
    <w:p w:rsidRPr="00F10071" w:rsidR="00FD7F81" w:rsidP="004A5539" w:rsidRDefault="00FD7F81" w14:paraId="6C55F9B5" w14:textId="70EBBC35">
      <w:pPr>
        <w:pStyle w:val="Heading3"/>
        <w:keepNext w:val="0"/>
        <w:widowControl w:val="0"/>
        <w:spacing w:after="120"/>
        <w:rPr>
          <w:rFonts w:cs="Arial"/>
        </w:rPr>
      </w:pPr>
      <w:r w:rsidRPr="00390580">
        <w:rPr>
          <w:rFonts w:cs="Arial"/>
          <w:b/>
          <w:bCs/>
          <w:u w:val="single"/>
        </w:rPr>
        <w:t>Air Permit</w:t>
      </w:r>
      <w:r w:rsidRPr="00390580" w:rsidR="00390580">
        <w:rPr>
          <w:rFonts w:cs="Arial"/>
          <w:b/>
          <w:bCs/>
          <w:u w:val="single"/>
        </w:rPr>
        <w:t xml:space="preserve"> Outside Date</w:t>
      </w:r>
      <w:r w:rsidRPr="00390580" w:rsidR="00390580">
        <w:rPr>
          <w:rFonts w:cs="Arial"/>
          <w:b/>
          <w:bCs/>
        </w:rPr>
        <w:t>:</w:t>
      </w:r>
      <w:r w:rsidR="00390580">
        <w:rPr>
          <w:rFonts w:cs="Arial"/>
        </w:rPr>
        <w:t xml:space="preserve"> The date that is 18 Months before RCOD.</w:t>
      </w:r>
    </w:p>
    <w:p w:rsidRPr="00F10071" w:rsidR="00D96326" w:rsidP="004A5539" w:rsidRDefault="00D96326" w14:paraId="7603BF13" w14:textId="77777777">
      <w:pPr>
        <w:pStyle w:val="Heading3"/>
        <w:keepNext w:val="0"/>
        <w:widowControl w:val="0"/>
        <w:spacing w:after="120"/>
        <w:rPr>
          <w:rFonts w:cs="Arial"/>
        </w:rPr>
      </w:pPr>
      <w:r>
        <w:rPr>
          <w:rFonts w:cs="Arial"/>
          <w:b/>
          <w:u w:val="single"/>
        </w:rPr>
        <w:t>Alternate Delivery</w:t>
      </w:r>
      <w:r>
        <w:rPr>
          <w:rFonts w:cs="Arial"/>
          <w:b/>
        </w:rPr>
        <w:t>:</w:t>
      </w:r>
      <w:r>
        <w:rPr>
          <w:rFonts w:cs="Arial"/>
        </w:rPr>
        <w:t xml:space="preserve"> Delivery of capacity and energy from </w:t>
      </w:r>
      <w:proofErr w:type="gramStart"/>
      <w:r>
        <w:rPr>
          <w:rFonts w:cs="Arial"/>
        </w:rPr>
        <w:t>an Alternate</w:t>
      </w:r>
      <w:proofErr w:type="gramEnd"/>
      <w:r>
        <w:rPr>
          <w:rFonts w:cs="Arial"/>
        </w:rPr>
        <w:t xml:space="preserve"> Resource to </w:t>
      </w:r>
      <w:proofErr w:type="gramStart"/>
      <w:r>
        <w:rPr>
          <w:rFonts w:cs="Arial"/>
        </w:rPr>
        <w:t>an Alternate</w:t>
      </w:r>
      <w:proofErr w:type="gramEnd"/>
      <w:r>
        <w:rPr>
          <w:rFonts w:cs="Arial"/>
        </w:rPr>
        <w:t xml:space="preserve"> Delivery Point.</w:t>
      </w:r>
    </w:p>
    <w:p w:rsidRPr="00F10071" w:rsidR="00D96326" w:rsidP="004A5539" w:rsidRDefault="00D96326" w14:paraId="08C6434D" w14:textId="7243A074">
      <w:pPr>
        <w:pStyle w:val="Heading3"/>
        <w:keepNext w:val="0"/>
        <w:widowControl w:val="0"/>
        <w:spacing w:after="120"/>
        <w:rPr>
          <w:rFonts w:cs="Arial"/>
        </w:rPr>
      </w:pPr>
      <w:r>
        <w:rPr>
          <w:rFonts w:cs="Arial"/>
          <w:b/>
          <w:bCs/>
          <w:u w:val="single"/>
        </w:rPr>
        <w:t>Alternate Delivery Point</w:t>
      </w:r>
      <w:r>
        <w:rPr>
          <w:rFonts w:cs="Arial"/>
          <w:b/>
        </w:rPr>
        <w:t>:</w:t>
      </w:r>
      <w:r>
        <w:rPr>
          <w:rFonts w:cs="Arial"/>
        </w:rPr>
        <w:t xml:space="preserve"> Any point of interconnection between the Alternate Resource and the Electric System, or the point(s) of interface between the transmission system to which the Alternate Resource is interconnected and the Electric System: (</w:t>
      </w:r>
      <w:proofErr w:type="spellStart"/>
      <w:r>
        <w:rPr>
          <w:rFonts w:cs="Arial"/>
        </w:rPr>
        <w:t>i</w:t>
      </w:r>
      <w:proofErr w:type="spellEnd"/>
      <w:r>
        <w:rPr>
          <w:rFonts w:cs="Arial"/>
        </w:rPr>
        <w:t xml:space="preserve">) at which GPC is capable of receiving energy in the quantity to be delivered at the point in accordance with the Southern OATT; (ii) from which GPC can obtain Firm Transmission Service to deliver all the energy from the applicable Alternate Resource from the point to serve GPC’s native load customers at no </w:t>
      </w:r>
      <w:r>
        <w:rPr>
          <w:rFonts w:cs="Arial"/>
        </w:rPr>
        <w:lastRenderedPageBreak/>
        <w:t>additional cost to GPC or its customers; and (iii) from which GPC is able to transmit the energy to its load without being required to either materially change the output of generating resources available to GPC or materially change the schedule of its preexisting power purchases or sales (other than purchases or sales under this PPA) that results in material economic harm to GPC.</w:t>
      </w:r>
    </w:p>
    <w:p w:rsidRPr="00FB4BA1" w:rsidR="00D96326" w:rsidP="004A5539" w:rsidRDefault="00D96326" w14:paraId="39109D24" w14:textId="77777777">
      <w:pPr>
        <w:pStyle w:val="Heading3"/>
        <w:keepNext w:val="0"/>
        <w:widowControl w:val="0"/>
        <w:spacing w:after="120"/>
        <w:rPr>
          <w:rFonts w:cs="Arial"/>
        </w:rPr>
      </w:pPr>
      <w:r>
        <w:rPr>
          <w:rFonts w:cs="Arial"/>
          <w:b/>
          <w:u w:val="single"/>
        </w:rPr>
        <w:t>Alternate Resource</w:t>
      </w:r>
      <w:r>
        <w:rPr>
          <w:rFonts w:cs="Arial"/>
          <w:b/>
        </w:rPr>
        <w:t>:</w:t>
      </w:r>
      <w:r>
        <w:rPr>
          <w:rFonts w:cs="Arial"/>
        </w:rPr>
        <w:t xml:space="preserve"> A generating resource, other than the Facility, that: (</w:t>
      </w:r>
      <w:proofErr w:type="spellStart"/>
      <w:r>
        <w:rPr>
          <w:rFonts w:cs="Arial"/>
        </w:rPr>
        <w:t>i</w:t>
      </w:r>
      <w:proofErr w:type="spellEnd"/>
      <w:r>
        <w:rPr>
          <w:rFonts w:cs="Arial"/>
        </w:rPr>
        <w:t>) is connected to the Southern Company Transmission System, either directly or through other transmission systems; (ii) can be called on a first-call basis by Seller; and (iii) is reasonably reliable to meet GPC’s Schedule, as determined in GPC’s sole judgment.</w:t>
      </w:r>
    </w:p>
    <w:p w:rsidRPr="00F10071" w:rsidR="00D96326" w:rsidP="004A5539" w:rsidRDefault="00D96326" w14:paraId="4D694272" w14:textId="15671C49">
      <w:pPr>
        <w:pStyle w:val="Heading3"/>
        <w:keepNext w:val="0"/>
        <w:widowControl w:val="0"/>
        <w:spacing w:after="120"/>
        <w:rPr>
          <w:rFonts w:cs="Arial"/>
        </w:rPr>
      </w:pPr>
      <w:r>
        <w:rPr>
          <w:rFonts w:cs="Arial"/>
          <w:b/>
          <w:u w:val="single"/>
        </w:rPr>
        <w:t>Alternate Resource Delivery Hours (ARDH)</w:t>
      </w:r>
      <w:r>
        <w:rPr>
          <w:rFonts w:cs="Arial"/>
          <w:b/>
        </w:rPr>
        <w:t>:</w:t>
      </w:r>
      <w:r>
        <w:rPr>
          <w:rFonts w:cs="Arial"/>
        </w:rPr>
        <w:t xml:space="preserve"> The Unplanned (Forced) Outage Hours or Equivalent Unplanned (Forced) Derated Hours in which delivery is made from an Alternate Resource in accordance with PPA Section 4.1.4 (</w:t>
      </w:r>
      <w:r>
        <w:rPr>
          <w:rFonts w:cs="Arial"/>
          <w:i/>
        </w:rPr>
        <w:t>Unavailability</w:t>
      </w:r>
      <w:r>
        <w:rPr>
          <w:rFonts w:cs="Arial"/>
        </w:rPr>
        <w:t>), as further</w:t>
      </w:r>
      <w:r w:rsidR="00226179">
        <w:rPr>
          <w:rFonts w:cs="Arial"/>
        </w:rPr>
        <w:t xml:space="preserve"> d</w:t>
      </w:r>
      <w:r>
        <w:rPr>
          <w:rFonts w:cs="Arial"/>
        </w:rPr>
        <w:t>efined and determined in accordance with Exhibit B (</w:t>
      </w:r>
      <w:r>
        <w:rPr>
          <w:rFonts w:cs="Arial"/>
          <w:i/>
        </w:rPr>
        <w:t>Capacity; Capacity Payments and Payment Reductions; Buydown</w:t>
      </w:r>
      <w:r>
        <w:rPr>
          <w:rFonts w:cs="Arial"/>
        </w:rPr>
        <w:t>), Section 3.2 (</w:t>
      </w:r>
      <w:r>
        <w:rPr>
          <w:rFonts w:cs="Arial"/>
          <w:i/>
        </w:rPr>
        <w:t>Calculation of Monthly Availability Percentage</w:t>
      </w:r>
      <w:r>
        <w:rPr>
          <w:rFonts w:cs="Arial"/>
        </w:rPr>
        <w:t>).</w:t>
      </w:r>
    </w:p>
    <w:p w:rsidR="2BFF1820" w:rsidP="54C72364" w:rsidRDefault="2BFF1820" w14:paraId="107CC395" w14:textId="52B9E7D6">
      <w:pPr>
        <w:pStyle w:val="Heading3"/>
        <w:keepNext w:val="0"/>
        <w:widowControl w:val="0"/>
        <w:spacing w:after="120"/>
        <w:rPr>
          <w:rFonts w:cs="Arial"/>
        </w:rPr>
      </w:pPr>
      <w:r>
        <w:rPr>
          <w:rFonts w:cs="Arial"/>
          <w:b/>
          <w:bCs/>
          <w:u w:val="single"/>
        </w:rPr>
        <w:t>Amended Commission Certificate</w:t>
      </w:r>
      <w:r>
        <w:rPr>
          <w:rFonts w:cs="Arial"/>
          <w:b/>
          <w:bCs/>
        </w:rPr>
        <w:t>:</w:t>
      </w:r>
      <w:r>
        <w:rPr>
          <w:rFonts w:cs="Arial"/>
        </w:rPr>
        <w:t xml:space="preserve"> Defined in Section 1.3.4 (</w:t>
      </w:r>
      <w:r>
        <w:rPr>
          <w:rFonts w:cs="Arial"/>
          <w:i/>
        </w:rPr>
        <w:t>Revocation, Qualifications, or Conditions</w:t>
      </w:r>
      <w:r>
        <w:rPr>
          <w:rFonts w:cs="Arial"/>
        </w:rPr>
        <w:t>)</w:t>
      </w:r>
    </w:p>
    <w:p w:rsidRPr="00F10071" w:rsidR="00D96326" w:rsidP="004A5539" w:rsidRDefault="00D96326" w14:paraId="5A26FD7C" w14:textId="459DA6C2">
      <w:pPr>
        <w:pStyle w:val="Heading3"/>
        <w:keepNext w:val="0"/>
        <w:widowControl w:val="0"/>
        <w:spacing w:after="120"/>
        <w:rPr>
          <w:rFonts w:cs="Arial"/>
        </w:rPr>
      </w:pPr>
      <w:r>
        <w:rPr>
          <w:rFonts w:cs="Arial"/>
          <w:b/>
          <w:bCs/>
          <w:u w:val="single"/>
        </w:rPr>
        <w:t>Ancillary Services</w:t>
      </w:r>
      <w:r>
        <w:rPr>
          <w:rFonts w:cs="Arial"/>
          <w:b/>
          <w:bCs/>
        </w:rPr>
        <w:t>:</w:t>
      </w:r>
      <w:r>
        <w:rPr>
          <w:rFonts w:cs="Arial"/>
        </w:rPr>
        <w:t xml:space="preserve"> All commercial products other than electrical output that are produced by or related to the Facility, including Electrical Products, Environmental Attributes, any other environmental or regulatory credits or allowances resulting from operation of the Facility, and any other benefit GPC otherwise would have realized from or related to the Facility if GPC rather than Seller had constructed, owned, or operated the Facility, it being the Parties’ intent that all the benefits and entitlements in addition to electrical output that flow to the owner or operator of the Facility, whether existing as of the Effective Date or at any time during the Term, belong to GPC at no additional cost to GPC. However, if a commercial product is not produced by the Facility, Seller will not be required to acquire the commercial product in the market to comply with this PPA.</w:t>
      </w:r>
      <w:r>
        <w:rPr>
          <w:rFonts w:eastAsia="Calibri" w:cs="Arial"/>
          <w:w w:val="0"/>
        </w:rPr>
        <w:t xml:space="preserve"> Ancillary Services </w:t>
      </w:r>
      <w:r>
        <w:rPr>
          <w:rFonts w:cs="Arial"/>
        </w:rPr>
        <w:t>do not include: (</w:t>
      </w:r>
      <w:proofErr w:type="spellStart"/>
      <w:r>
        <w:rPr>
          <w:rFonts w:cs="Arial"/>
        </w:rPr>
        <w:t>i</w:t>
      </w:r>
      <w:proofErr w:type="spellEnd"/>
      <w:r>
        <w:rPr>
          <w:rFonts w:cs="Arial"/>
        </w:rPr>
        <w:t>) any federal, state, or local tax attribute</w:t>
      </w:r>
      <w:r w:rsidR="005C65DB">
        <w:rPr>
          <w:rFonts w:cs="Arial"/>
        </w:rPr>
        <w:t>s</w:t>
      </w:r>
      <w:r>
        <w:rPr>
          <w:rFonts w:cs="Arial"/>
        </w:rPr>
        <w:t xml:space="preserve"> arising from </w:t>
      </w:r>
      <w:r w:rsidR="00940C74">
        <w:rPr>
          <w:rFonts w:cs="Arial"/>
        </w:rPr>
        <w:t xml:space="preserve">the </w:t>
      </w:r>
      <w:r>
        <w:rPr>
          <w:rFonts w:cs="Arial"/>
        </w:rPr>
        <w:t xml:space="preserve">ownership of the Facility, including investment tax credit (ITC), production tax credit (PTC), </w:t>
      </w:r>
      <w:r w:rsidR="00321383">
        <w:rPr>
          <w:rFonts w:cs="Arial"/>
        </w:rPr>
        <w:t>and</w:t>
      </w:r>
      <w:r>
        <w:rPr>
          <w:rFonts w:cs="Arial"/>
        </w:rPr>
        <w:t xml:space="preserve"> depreciation deduction</w:t>
      </w:r>
      <w:r w:rsidR="00321383">
        <w:rPr>
          <w:rFonts w:cs="Arial"/>
        </w:rPr>
        <w:t>s</w:t>
      </w:r>
      <w:r>
        <w:rPr>
          <w:rFonts w:cs="Arial"/>
        </w:rPr>
        <w:t>; (ii) grant</w:t>
      </w:r>
      <w:r w:rsidR="00483AFB">
        <w:rPr>
          <w:rFonts w:cs="Arial"/>
        </w:rPr>
        <w:t>s</w:t>
      </w:r>
      <w:r>
        <w:rPr>
          <w:rFonts w:cs="Arial"/>
        </w:rPr>
        <w:t xml:space="preserve"> in lieu of </w:t>
      </w:r>
      <w:r w:rsidR="00483AFB">
        <w:rPr>
          <w:rFonts w:cs="Arial"/>
        </w:rPr>
        <w:t>investment tax credits</w:t>
      </w:r>
      <w:r>
        <w:rPr>
          <w:rFonts w:cs="Arial"/>
        </w:rPr>
        <w:t xml:space="preserve"> or any similar financial payment or grant regarding the Facility; or (iii) the metered electric energy produced by the Facility.</w:t>
      </w:r>
    </w:p>
    <w:p w:rsidRPr="00F10071" w:rsidR="00D96326" w:rsidP="004A5539" w:rsidRDefault="00D96326" w14:paraId="24D7515E" w14:textId="4CBED927">
      <w:pPr>
        <w:pStyle w:val="Heading3"/>
        <w:keepNext w:val="0"/>
        <w:widowControl w:val="0"/>
        <w:spacing w:after="120"/>
        <w:rPr>
          <w:rFonts w:cs="Arial"/>
        </w:rPr>
      </w:pPr>
      <w:r>
        <w:rPr>
          <w:rFonts w:cs="Arial"/>
          <w:b/>
          <w:u w:val="single"/>
        </w:rPr>
        <w:t>Annual Capacity Price (ACP)</w:t>
      </w:r>
      <w:r>
        <w:rPr>
          <w:rFonts w:cs="Arial"/>
          <w:b/>
        </w:rPr>
        <w:t>:</w:t>
      </w:r>
      <w:r>
        <w:rPr>
          <w:rFonts w:cs="Arial"/>
        </w:rPr>
        <w:t xml:space="preserve"> The annual price to be paid by GPC to Seller for GPC’s purchase of the Facility’s capacity, as set forth in Section 1.5 (</w:t>
      </w:r>
      <w:r>
        <w:rPr>
          <w:rFonts w:cs="Arial"/>
          <w:i/>
        </w:rPr>
        <w:t>Capacity Pricing</w:t>
      </w:r>
      <w:r>
        <w:rPr>
          <w:rFonts w:cs="Arial"/>
        </w:rPr>
        <w:t>) in Exhibit B</w:t>
      </w:r>
      <w:r>
        <w:rPr>
          <w:rFonts w:cs="Arial"/>
          <w:i/>
        </w:rPr>
        <w:t xml:space="preserve"> </w:t>
      </w:r>
      <w:r>
        <w:rPr>
          <w:rFonts w:cs="Arial"/>
        </w:rPr>
        <w:t>(</w:t>
      </w:r>
      <w:r>
        <w:rPr>
          <w:rFonts w:cs="Arial"/>
          <w:i/>
        </w:rPr>
        <w:t>Capacity; Capacity Payments and Payment Reductions; Buydown</w:t>
      </w:r>
      <w:r>
        <w:rPr>
          <w:rFonts w:cs="Arial"/>
        </w:rPr>
        <w:t xml:space="preserve">), subject to adjustment as set forth in </w:t>
      </w:r>
      <w:r w:rsidR="00E465C5">
        <w:rPr>
          <w:rFonts w:cs="Arial"/>
        </w:rPr>
        <w:t>Part 17 (</w:t>
      </w:r>
      <w:r w:rsidRPr="00E465C5" w:rsidR="00E465C5">
        <w:rPr>
          <w:rFonts w:cs="Arial"/>
          <w:i/>
          <w:iCs w:val="0"/>
        </w:rPr>
        <w:t>Compliance with Laws</w:t>
      </w:r>
      <w:r w:rsidR="00E465C5">
        <w:rPr>
          <w:rFonts w:cs="Arial"/>
        </w:rPr>
        <w:t>)</w:t>
      </w:r>
      <w:r>
        <w:rPr>
          <w:rFonts w:cs="Arial"/>
        </w:rPr>
        <w:t>.</w:t>
      </w:r>
    </w:p>
    <w:p w:rsidR="00EC1004" w:rsidP="54C72364" w:rsidRDefault="00D96326" w14:paraId="4AD3E72A" w14:textId="47315F50">
      <w:pPr>
        <w:pStyle w:val="Heading3"/>
        <w:keepNext w:val="0"/>
        <w:widowControl w:val="0"/>
        <w:spacing w:after="120"/>
        <w:rPr>
          <w:rFonts w:cs="Arial"/>
        </w:rPr>
      </w:pPr>
      <w:r>
        <w:rPr>
          <w:rFonts w:cs="Arial"/>
          <w:b/>
          <w:bCs/>
          <w:u w:val="single"/>
        </w:rPr>
        <w:t>Annual Period</w:t>
      </w:r>
      <w:r>
        <w:rPr>
          <w:rFonts w:cs="Arial"/>
          <w:b/>
          <w:bCs/>
        </w:rPr>
        <w:t>:</w:t>
      </w:r>
      <w:r>
        <w:rPr>
          <w:rFonts w:cs="Arial"/>
        </w:rPr>
        <w:t xml:space="preserve"> </w:t>
      </w:r>
      <w:r w:rsidR="00F56FA6">
        <w:rPr>
          <w:rFonts w:cs="Arial"/>
        </w:rPr>
        <w:t>Each</w:t>
      </w:r>
      <w:r>
        <w:rPr>
          <w:rFonts w:cs="Arial"/>
        </w:rPr>
        <w:t xml:space="preserve"> consecutive 12-Month period during the Term</w:t>
      </w:r>
      <w:r w:rsidR="00F56FA6">
        <w:rPr>
          <w:rFonts w:cs="Arial"/>
        </w:rPr>
        <w:t>, with the first Annual Period</w:t>
      </w:r>
      <w:r>
        <w:rPr>
          <w:rFonts w:cs="Arial"/>
        </w:rPr>
        <w:t xml:space="preserve"> beginning on the Delivery Commencement Date. </w:t>
      </w:r>
    </w:p>
    <w:p w:rsidRPr="00F10071" w:rsidR="00D96326" w:rsidP="54C72364" w:rsidRDefault="3D0D14B0" w14:paraId="1D644D7D" w14:textId="00A0033F">
      <w:pPr>
        <w:pStyle w:val="Heading3"/>
        <w:keepNext w:val="0"/>
        <w:widowControl w:val="0"/>
        <w:spacing w:after="120"/>
        <w:rPr>
          <w:rFonts w:cs="Arial"/>
          <w:u w:val="single"/>
        </w:rPr>
      </w:pPr>
      <w:r>
        <w:rPr>
          <w:rFonts w:cs="Arial"/>
          <w:b/>
          <w:bCs/>
          <w:u w:val="single"/>
        </w:rPr>
        <w:t>Arbitration Panel</w:t>
      </w:r>
      <w:r>
        <w:rPr>
          <w:rFonts w:cs="Arial"/>
          <w:b/>
          <w:bCs/>
        </w:rPr>
        <w:t xml:space="preserve">: </w:t>
      </w:r>
      <w:r>
        <w:rPr>
          <w:rFonts w:cs="Arial"/>
        </w:rPr>
        <w:t>Defined in Section 19.3.2(</w:t>
      </w:r>
      <w:proofErr w:type="spellStart"/>
      <w:r>
        <w:rPr>
          <w:rFonts w:cs="Arial"/>
        </w:rPr>
        <w:t>i</w:t>
      </w:r>
      <w:proofErr w:type="spellEnd"/>
      <w:r>
        <w:rPr>
          <w:rFonts w:cs="Arial"/>
        </w:rPr>
        <w:t>) (</w:t>
      </w:r>
      <w:r>
        <w:rPr>
          <w:rFonts w:cs="Arial"/>
          <w:i/>
        </w:rPr>
        <w:t>Initiation of Arbitration; Selection of Party-Appointed Arbitrators</w:t>
      </w:r>
      <w:r>
        <w:rPr>
          <w:rFonts w:cs="Arial"/>
        </w:rPr>
        <w:t>).</w:t>
      </w:r>
    </w:p>
    <w:p w:rsidRPr="00F10071" w:rsidR="00D96326" w:rsidP="004A5539" w:rsidRDefault="00D96326" w14:paraId="463A289E" w14:textId="0E39CF37">
      <w:pPr>
        <w:pStyle w:val="Heading3"/>
        <w:keepNext w:val="0"/>
        <w:widowControl w:val="0"/>
        <w:spacing w:after="120"/>
        <w:rPr>
          <w:rFonts w:cs="Arial"/>
        </w:rPr>
      </w:pPr>
      <w:r>
        <w:rPr>
          <w:rFonts w:cs="Arial"/>
          <w:b/>
          <w:u w:val="single"/>
        </w:rPr>
        <w:t>ASC</w:t>
      </w:r>
      <w:r>
        <w:rPr>
          <w:rFonts w:cs="Arial"/>
          <w:b/>
        </w:rPr>
        <w:t>:</w:t>
      </w:r>
      <w:r>
        <w:rPr>
          <w:rFonts w:cs="Arial"/>
        </w:rPr>
        <w:t xml:space="preserve"> The FASB Accounting Standards Codification.</w:t>
      </w:r>
    </w:p>
    <w:p w:rsidRPr="00F10071" w:rsidR="00D96326" w:rsidP="004A5539" w:rsidRDefault="00D96326" w14:paraId="4035098B" w14:textId="4C224AEA">
      <w:pPr>
        <w:pStyle w:val="Heading3"/>
        <w:keepNext w:val="0"/>
        <w:widowControl w:val="0"/>
        <w:spacing w:after="120"/>
        <w:rPr>
          <w:rFonts w:cs="Arial"/>
        </w:rPr>
      </w:pPr>
      <w:r>
        <w:rPr>
          <w:rFonts w:cs="Arial"/>
          <w:b/>
          <w:u w:val="single"/>
        </w:rPr>
        <w:t>ASME Performance Test Code</w:t>
      </w:r>
      <w:r>
        <w:rPr>
          <w:rFonts w:cs="Arial"/>
          <w:b/>
        </w:rPr>
        <w:t>:</w:t>
      </w:r>
      <w:r>
        <w:rPr>
          <w:rFonts w:cs="Arial"/>
        </w:rPr>
        <w:t xml:space="preserve"> The rules and regulations established by the American Society of Mechanical Engineers to govern Performance Tests applicable to the </w:t>
      </w:r>
      <w:r w:rsidR="00363CA2">
        <w:rPr>
          <w:rFonts w:cs="Arial"/>
        </w:rPr>
        <w:t xml:space="preserve">Facility </w:t>
      </w:r>
      <w:r>
        <w:rPr>
          <w:rFonts w:cs="Arial"/>
        </w:rPr>
        <w:t>under this PPA.</w:t>
      </w:r>
    </w:p>
    <w:p w:rsidRPr="00F10071" w:rsidR="00D96326" w:rsidP="004A5539" w:rsidRDefault="00D96326" w14:paraId="4DBBF2A9" w14:textId="77777777">
      <w:pPr>
        <w:pStyle w:val="Heading3"/>
        <w:keepNext w:val="0"/>
        <w:widowControl w:val="0"/>
        <w:spacing w:after="120"/>
        <w:rPr>
          <w:rFonts w:cs="Arial"/>
        </w:rPr>
      </w:pPr>
      <w:r>
        <w:rPr>
          <w:rFonts w:eastAsia="PMingLiU" w:cs="Arial"/>
          <w:b/>
          <w:u w:val="single"/>
        </w:rPr>
        <w:t>Associated Interchange Energy Rate (</w:t>
      </w:r>
      <w:r>
        <w:rPr>
          <w:rFonts w:eastAsia="PMingLiU" w:cs="Arial"/>
          <w:b/>
          <w:bCs/>
          <w:u w:val="single"/>
        </w:rPr>
        <w:t>AIER)</w:t>
      </w:r>
      <w:r>
        <w:rPr>
          <w:rFonts w:eastAsia="PMingLiU" w:cs="Arial"/>
          <w:b/>
        </w:rPr>
        <w:t>:</w:t>
      </w:r>
      <w:r>
        <w:rPr>
          <w:rFonts w:eastAsia="PMingLiU" w:cs="Arial"/>
        </w:rPr>
        <w:t xml:space="preserve"> </w:t>
      </w:r>
      <w:r>
        <w:rPr>
          <w:rFonts w:cs="Arial"/>
        </w:rPr>
        <w:t>As determined for each Hour, the variable dispatch cost of the incremental resources that serve the collective obligations of the Southern Companies.</w:t>
      </w:r>
    </w:p>
    <w:p w:rsidRPr="00D02455" w:rsidR="00D96326" w:rsidP="004A5539" w:rsidRDefault="00D96326" w14:paraId="3E591D14" w14:textId="4543637D">
      <w:pPr>
        <w:pStyle w:val="Heading3"/>
        <w:keepNext w:val="0"/>
        <w:widowControl w:val="0"/>
        <w:spacing w:after="120"/>
        <w:rPr>
          <w:rFonts w:cs="Arial"/>
        </w:rPr>
      </w:pPr>
      <w:r>
        <w:rPr>
          <w:rFonts w:cs="Arial"/>
          <w:b/>
          <w:u w:val="single"/>
        </w:rPr>
        <w:t>Automatic Generation Control (AGC)</w:t>
      </w:r>
      <w:r>
        <w:rPr>
          <w:rFonts w:cs="Arial"/>
          <w:b/>
        </w:rPr>
        <w:t xml:space="preserve">: </w:t>
      </w:r>
      <w:r>
        <w:rPr>
          <w:rFonts w:cs="Arial"/>
        </w:rPr>
        <w:t xml:space="preserve">The equipment and capability of a </w:t>
      </w:r>
      <w:r w:rsidR="005737A1">
        <w:rPr>
          <w:rFonts w:cs="Arial"/>
        </w:rPr>
        <w:t>facility</w:t>
      </w:r>
      <w:r>
        <w:rPr>
          <w:rFonts w:cs="Arial"/>
        </w:rPr>
        <w:t xml:space="preserve"> to automatically adjust energy output within the applicable balancing authority for purposes of interchange balancing, and specifically, the </w:t>
      </w:r>
      <w:r w:rsidR="00A83894">
        <w:rPr>
          <w:rFonts w:cs="Arial"/>
        </w:rPr>
        <w:t>Facility’s</w:t>
      </w:r>
      <w:r w:rsidR="004471B7">
        <w:rPr>
          <w:rFonts w:cs="Arial"/>
        </w:rPr>
        <w:t xml:space="preserve"> </w:t>
      </w:r>
      <w:r>
        <w:rPr>
          <w:rFonts w:cs="Arial"/>
        </w:rPr>
        <w:t xml:space="preserve">capability to accept a set point electronically and the automatic adjustment and regulation of the </w:t>
      </w:r>
      <w:r w:rsidR="00A83894">
        <w:rPr>
          <w:rFonts w:cs="Arial"/>
        </w:rPr>
        <w:t xml:space="preserve">Facility’s </w:t>
      </w:r>
      <w:r>
        <w:rPr>
          <w:rFonts w:cs="Arial"/>
        </w:rPr>
        <w:t>energy output to meet that set point.</w:t>
      </w:r>
    </w:p>
    <w:p w:rsidRPr="00F10071" w:rsidR="00D96326" w:rsidP="004A5539" w:rsidRDefault="00D96326" w14:paraId="7BBD6061" w14:textId="77777777">
      <w:pPr>
        <w:pStyle w:val="Heading3"/>
        <w:keepNext w:val="0"/>
        <w:widowControl w:val="0"/>
        <w:spacing w:after="120"/>
        <w:rPr>
          <w:rFonts w:cs="Arial"/>
        </w:rPr>
      </w:pPr>
      <w:r>
        <w:rPr>
          <w:rFonts w:cs="Arial"/>
          <w:b/>
          <w:u w:val="single"/>
        </w:rPr>
        <w:t>Availability Percentage</w:t>
      </w:r>
      <w:r>
        <w:rPr>
          <w:rFonts w:cs="Arial"/>
          <w:b/>
        </w:rPr>
        <w:t>:</w:t>
      </w:r>
      <w:r>
        <w:rPr>
          <w:rFonts w:cs="Arial"/>
        </w:rPr>
        <w:t xml:space="preserve"> Defined in Section 16.1.8 (</w:t>
      </w:r>
      <w:r>
        <w:rPr>
          <w:rFonts w:cs="Arial"/>
          <w:i/>
        </w:rPr>
        <w:t>Failure to Maintain Availability Percentage</w:t>
      </w:r>
      <w:r>
        <w:rPr>
          <w:rFonts w:cs="Arial"/>
        </w:rPr>
        <w:t>).</w:t>
      </w:r>
    </w:p>
    <w:p w:rsidRPr="00F10071" w:rsidR="00D96326" w:rsidP="004A5539" w:rsidRDefault="00D96326" w14:paraId="2B275A75" w14:textId="1BC26F22">
      <w:pPr>
        <w:pStyle w:val="Heading3"/>
        <w:keepNext w:val="0"/>
        <w:widowControl w:val="0"/>
        <w:spacing w:after="120"/>
        <w:rPr>
          <w:rFonts w:cs="Arial"/>
        </w:rPr>
      </w:pPr>
      <w:r>
        <w:rPr>
          <w:rFonts w:cs="Arial"/>
          <w:b/>
          <w:u w:val="single"/>
        </w:rPr>
        <w:t>Available</w:t>
      </w:r>
      <w:r>
        <w:rPr>
          <w:rFonts w:cs="Arial"/>
          <w:b/>
        </w:rPr>
        <w:t>:</w:t>
      </w:r>
      <w:r>
        <w:rPr>
          <w:rFonts w:cs="Arial"/>
        </w:rPr>
        <w:t xml:space="preserve"> All times following the Delivery Commencement Date when the </w:t>
      </w:r>
      <w:r w:rsidR="00660D14">
        <w:rPr>
          <w:rFonts w:cs="Arial"/>
        </w:rPr>
        <w:t xml:space="preserve">Facility, including any </w:t>
      </w:r>
      <w:proofErr w:type="gramStart"/>
      <w:r>
        <w:rPr>
          <w:rFonts w:cs="Arial"/>
        </w:rPr>
        <w:t>Unit</w:t>
      </w:r>
      <w:r w:rsidR="00660D14">
        <w:rPr>
          <w:rFonts w:cs="Arial"/>
        </w:rPr>
        <w:t>,</w:t>
      </w:r>
      <w:proofErr w:type="gramEnd"/>
      <w:r>
        <w:rPr>
          <w:rFonts w:cs="Arial"/>
        </w:rPr>
        <w:t xml:space="preserve"> or </w:t>
      </w:r>
      <w:proofErr w:type="gramStart"/>
      <w:r>
        <w:rPr>
          <w:rFonts w:cs="Arial"/>
        </w:rPr>
        <w:t>an Alternate</w:t>
      </w:r>
      <w:proofErr w:type="gramEnd"/>
      <w:r>
        <w:rPr>
          <w:rFonts w:cs="Arial"/>
        </w:rPr>
        <w:t xml:space="preserve"> Resource (designated in accordance with Section 4.1.4 (</w:t>
      </w:r>
      <w:r>
        <w:rPr>
          <w:rFonts w:cs="Arial"/>
          <w:i/>
        </w:rPr>
        <w:t>Unavailability</w:t>
      </w:r>
      <w:r>
        <w:rPr>
          <w:rFonts w:cs="Arial"/>
        </w:rPr>
        <w:t>)),</w:t>
      </w:r>
      <w:r>
        <w:rPr>
          <w:rFonts w:cs="Arial"/>
          <w:b/>
          <w:i/>
        </w:rPr>
        <w:t xml:space="preserve"> </w:t>
      </w:r>
      <w:r>
        <w:rPr>
          <w:rFonts w:cs="Arial"/>
        </w:rPr>
        <w:t>as applicable, is not Unavailable.</w:t>
      </w:r>
    </w:p>
    <w:p w:rsidRPr="00F10071" w:rsidR="00D96326" w:rsidP="004A5539" w:rsidRDefault="00D96326" w14:paraId="4C870B01" w14:textId="1D524CE2">
      <w:pPr>
        <w:pStyle w:val="Heading3"/>
        <w:keepNext w:val="0"/>
        <w:widowControl w:val="0"/>
        <w:spacing w:after="120"/>
        <w:rPr>
          <w:rFonts w:cs="Arial"/>
        </w:rPr>
      </w:pPr>
      <w:r>
        <w:rPr>
          <w:rFonts w:cs="Arial"/>
          <w:b/>
          <w:bCs/>
          <w:u w:val="single"/>
        </w:rPr>
        <w:t>Banking Day</w:t>
      </w:r>
      <w:r>
        <w:rPr>
          <w:rFonts w:cs="Arial"/>
          <w:b/>
        </w:rPr>
        <w:t>:</w:t>
      </w:r>
      <w:r>
        <w:rPr>
          <w:rFonts w:cs="Arial"/>
        </w:rPr>
        <w:t xml:space="preserve"> Any Day on which banking institutions in Atlanta, Georgia are open.</w:t>
      </w:r>
    </w:p>
    <w:p w:rsidRPr="00D02455" w:rsidR="00D96326" w:rsidP="004A5539" w:rsidRDefault="00D96326" w14:paraId="09EDE957" w14:textId="69CA00D7">
      <w:pPr>
        <w:pStyle w:val="Heading3"/>
        <w:keepNext w:val="0"/>
        <w:widowControl w:val="0"/>
        <w:spacing w:after="120"/>
        <w:rPr>
          <w:rFonts w:cs="Arial"/>
          <w:b/>
        </w:rPr>
      </w:pPr>
      <w:r>
        <w:rPr>
          <w:rFonts w:cs="Arial"/>
          <w:b/>
          <w:u w:val="single"/>
        </w:rPr>
        <w:t>Base Operating Mode</w:t>
      </w:r>
      <w:r>
        <w:rPr>
          <w:rFonts w:cs="Arial"/>
          <w:b/>
        </w:rPr>
        <w:t>:</w:t>
      </w:r>
      <w:r>
        <w:rPr>
          <w:rFonts w:cs="Arial"/>
        </w:rPr>
        <w:t xml:space="preserve"> The normal operating mode at which each Unit runs with full normal utilization of the CT.</w:t>
      </w:r>
    </w:p>
    <w:p w:rsidRPr="00D02455" w:rsidR="00D96326" w:rsidP="004A5539" w:rsidRDefault="00D96326" w14:paraId="071D5426" w14:textId="25F09502">
      <w:pPr>
        <w:pStyle w:val="Heading3"/>
        <w:keepNext w:val="0"/>
        <w:widowControl w:val="0"/>
        <w:spacing w:after="120"/>
        <w:rPr>
          <w:rFonts w:cs="Arial"/>
        </w:rPr>
      </w:pPr>
      <w:r>
        <w:rPr>
          <w:rFonts w:cs="Arial"/>
          <w:b/>
          <w:u w:val="single"/>
        </w:rPr>
        <w:t>Base Operating Mode Energy</w:t>
      </w:r>
      <w:r>
        <w:rPr>
          <w:rFonts w:cs="Arial"/>
          <w:b/>
        </w:rPr>
        <w:t>:</w:t>
      </w:r>
      <w:r>
        <w:rPr>
          <w:rFonts w:cs="Arial"/>
        </w:rPr>
        <w:t xml:space="preserve"> Energy each Unit produces in Base Operating Mode.</w:t>
      </w:r>
    </w:p>
    <w:p w:rsidR="6D926690" w:rsidP="54C72364" w:rsidRDefault="6D926690" w14:paraId="1A89DADB" w14:textId="580C55F7">
      <w:pPr>
        <w:pStyle w:val="Heading3"/>
        <w:keepNext w:val="0"/>
        <w:widowControl w:val="0"/>
        <w:spacing w:after="120"/>
        <w:rPr>
          <w:rFonts w:cs="Arial"/>
        </w:rPr>
      </w:pPr>
      <w:r>
        <w:rPr>
          <w:rFonts w:cs="Arial"/>
          <w:b/>
          <w:bCs/>
          <w:u w:val="single"/>
        </w:rPr>
        <w:t>Billing Dispute</w:t>
      </w:r>
      <w:r>
        <w:rPr>
          <w:rFonts w:cs="Arial"/>
          <w:b/>
          <w:bCs/>
        </w:rPr>
        <w:t>:</w:t>
      </w:r>
      <w:r>
        <w:rPr>
          <w:rFonts w:cs="Arial"/>
        </w:rPr>
        <w:t xml:space="preserve"> Defined in Section 19.3 (</w:t>
      </w:r>
      <w:r>
        <w:rPr>
          <w:rFonts w:cs="Arial"/>
          <w:i/>
        </w:rPr>
        <w:t>JAMS Arbitration</w:t>
      </w:r>
      <w:r>
        <w:rPr>
          <w:rFonts w:cs="Arial"/>
        </w:rPr>
        <w:t>).</w:t>
      </w:r>
    </w:p>
    <w:p w:rsidR="00D96326" w:rsidP="004A5539" w:rsidRDefault="00D96326" w14:paraId="0B31E95C" w14:textId="77777777">
      <w:pPr>
        <w:pStyle w:val="Heading3"/>
        <w:keepNext w:val="0"/>
        <w:widowControl w:val="0"/>
        <w:spacing w:after="120"/>
        <w:rPr>
          <w:rFonts w:eastAsia="Times New Roman" w:cs="Arial"/>
          <w:color w:val="000000" w:themeColor="text1"/>
        </w:rPr>
      </w:pPr>
      <w:r>
        <w:rPr>
          <w:rFonts w:cs="Arial"/>
          <w:b/>
          <w:u w:val="single"/>
        </w:rPr>
        <w:t>Business Day</w:t>
      </w:r>
      <w:r>
        <w:rPr>
          <w:rFonts w:cs="Arial"/>
          <w:b/>
        </w:rPr>
        <w:t>:</w:t>
      </w:r>
      <w:r>
        <w:rPr>
          <w:rFonts w:cs="Arial"/>
        </w:rPr>
        <w:t xml:space="preserve"> </w:t>
      </w:r>
      <w:r>
        <w:rPr>
          <w:rFonts w:eastAsia="Times New Roman" w:cs="Arial"/>
          <w:color w:val="000000" w:themeColor="text1"/>
        </w:rPr>
        <w:t>Any Day excluding Saturday, Sunday, and NERC-defined holidays.</w:t>
      </w:r>
    </w:p>
    <w:p w:rsidR="00D96326" w:rsidP="004A5539" w:rsidRDefault="00D96326" w14:paraId="14D220B4" w14:textId="6448CA17">
      <w:pPr>
        <w:pStyle w:val="Heading3"/>
        <w:keepNext w:val="0"/>
        <w:widowControl w:val="0"/>
        <w:spacing w:after="120"/>
        <w:rPr>
          <w:rFonts w:cs="Arial"/>
        </w:rPr>
      </w:pPr>
      <w:r>
        <w:rPr>
          <w:rFonts w:cs="Arial"/>
          <w:b/>
          <w:u w:val="single"/>
        </w:rPr>
        <w:t>Capacity Shortfall</w:t>
      </w:r>
      <w:r>
        <w:rPr>
          <w:rFonts w:cs="Arial"/>
          <w:b/>
        </w:rPr>
        <w:t>:</w:t>
      </w:r>
      <w:r>
        <w:rPr>
          <w:rFonts w:cs="Arial"/>
        </w:rPr>
        <w:t xml:space="preserve"> Defined in Section 4.1.7(</w:t>
      </w:r>
      <w:proofErr w:type="spellStart"/>
      <w:r>
        <w:rPr>
          <w:rFonts w:cs="Arial"/>
        </w:rPr>
        <w:t>i</w:t>
      </w:r>
      <w:proofErr w:type="spellEnd"/>
      <w:r>
        <w:rPr>
          <w:rFonts w:cs="Arial"/>
        </w:rPr>
        <w:t>) (</w:t>
      </w:r>
      <w:r>
        <w:rPr>
          <w:rFonts w:cs="Arial"/>
          <w:i/>
          <w:iCs w:val="0"/>
        </w:rPr>
        <w:t>Capacity Shortfall Declaration</w:t>
      </w:r>
      <w:r>
        <w:rPr>
          <w:rFonts w:cs="Arial"/>
        </w:rPr>
        <w:t xml:space="preserve">). </w:t>
      </w:r>
    </w:p>
    <w:p w:rsidRPr="00F10071" w:rsidR="00D96326" w:rsidP="004A5539" w:rsidRDefault="00D96326" w14:paraId="5C3D484B" w14:textId="77777777">
      <w:pPr>
        <w:pStyle w:val="Heading3"/>
        <w:keepNext w:val="0"/>
        <w:widowControl w:val="0"/>
        <w:spacing w:after="120"/>
        <w:rPr>
          <w:rFonts w:cs="Arial"/>
          <w:b/>
        </w:rPr>
      </w:pPr>
      <w:r>
        <w:rPr>
          <w:b/>
          <w:w w:val="0"/>
          <w:u w:val="single"/>
        </w:rPr>
        <w:lastRenderedPageBreak/>
        <w:t>Central Prevailing Time (CPT)</w:t>
      </w:r>
      <w:r>
        <w:rPr>
          <w:b/>
          <w:w w:val="0"/>
        </w:rPr>
        <w:t xml:space="preserve">: </w:t>
      </w:r>
      <w:r>
        <w:rPr>
          <w:rFonts w:cs="Arial" w:eastAsiaTheme="minorEastAsia"/>
          <w:color w:val="000000" w:themeColor="text1"/>
        </w:rPr>
        <w:t>The time in the central time zone of the United States, considering daylight savings time if it is in effect (i.e., Central Standard Time (CST) or Central Daylight Time (CDT), as applicable)</w:t>
      </w:r>
      <w:r>
        <w:rPr>
          <w:rFonts w:cs="Arial"/>
        </w:rPr>
        <w:t xml:space="preserve">. </w:t>
      </w:r>
    </w:p>
    <w:p w:rsidR="47D4ECD2" w:rsidP="00EA2AB3" w:rsidRDefault="47D4ECD2" w14:paraId="571A8ECA" w14:textId="65CE4FC5">
      <w:pPr>
        <w:pStyle w:val="Heading3"/>
      </w:pPr>
      <w:r>
        <w:rPr>
          <w:b/>
          <w:bCs/>
          <w:u w:val="single"/>
        </w:rPr>
        <w:t>Change in Accounting Standards</w:t>
      </w:r>
      <w:r>
        <w:rPr>
          <w:b/>
          <w:bCs/>
        </w:rPr>
        <w:t xml:space="preserve">: </w:t>
      </w:r>
      <w:r>
        <w:t>Defined in Section 2.1.8(iv) (</w:t>
      </w:r>
      <w:r>
        <w:rPr>
          <w:i/>
        </w:rPr>
        <w:t>VIE Certification</w:t>
      </w:r>
      <w:r>
        <w:t>).</w:t>
      </w:r>
    </w:p>
    <w:p w:rsidRPr="00F10071" w:rsidR="00F64052" w:rsidP="004A5539" w:rsidRDefault="00D96326" w14:paraId="4073A170" w14:textId="416D93BB">
      <w:pPr>
        <w:pStyle w:val="Heading3"/>
        <w:keepNext w:val="0"/>
        <w:widowControl w:val="0"/>
        <w:tabs>
          <w:tab w:val="left" w:pos="4500"/>
        </w:tabs>
        <w:spacing w:after="120"/>
        <w:rPr>
          <w:rFonts w:cs="Arial"/>
        </w:rPr>
      </w:pPr>
      <w:r>
        <w:rPr>
          <w:rFonts w:cs="Arial"/>
          <w:b/>
          <w:u w:val="single"/>
        </w:rPr>
        <w:t>Change of Control Transaction</w:t>
      </w:r>
      <w:r>
        <w:rPr>
          <w:rFonts w:cs="Arial"/>
          <w:b/>
        </w:rPr>
        <w:t>:</w:t>
      </w:r>
      <w:r>
        <w:rPr>
          <w:rFonts w:cs="Arial"/>
        </w:rPr>
        <w:t xml:space="preserve"> Any transaction or series of related transactions that, if consummated, would result in a Party being an Affiliate of a different Ultimate Parent Entity immediately after the transaction. </w:t>
      </w:r>
    </w:p>
    <w:p w:rsidRPr="00EA1728" w:rsidR="00DE7915" w:rsidP="00EA2AB3" w:rsidRDefault="00D96326" w14:paraId="1285C82B" w14:textId="3947CEB1">
      <w:pPr>
        <w:pStyle w:val="Heading3"/>
        <w:rPr>
          <w:w w:val="0"/>
        </w:rPr>
      </w:pPr>
      <w:r w:rsidRPr="00E815C8">
        <w:rPr>
          <w:rFonts w:cs="Arial"/>
          <w:b/>
          <w:bCs/>
          <w:u w:val="single"/>
        </w:rPr>
        <w:t>Change of Law</w:t>
      </w:r>
      <w:r w:rsidRPr="00E815C8">
        <w:rPr>
          <w:rFonts w:cs="Arial"/>
          <w:b/>
        </w:rPr>
        <w:t>:</w:t>
      </w:r>
      <w:r w:rsidRPr="00E815C8">
        <w:rPr>
          <w:rFonts w:cs="Arial"/>
        </w:rPr>
        <w:t xml:space="preserve"> </w:t>
      </w:r>
      <w:r w:rsidRPr="00E815C8">
        <w:t>An applicable law or a change to or repeal of an existing applicable law, including</w:t>
      </w:r>
      <w:r w:rsidRPr="00E815C8" w:rsidR="00D810AC">
        <w:t xml:space="preserve"> </w:t>
      </w:r>
      <w:r w:rsidRPr="00E815C8">
        <w:t>change</w:t>
      </w:r>
      <w:r w:rsidR="000E0F8E">
        <w:t>s</w:t>
      </w:r>
      <w:r w:rsidRPr="00E815C8">
        <w:t xml:space="preserve"> in legally binding interpretation</w:t>
      </w:r>
      <w:r w:rsidR="00393F21">
        <w:t>s</w:t>
      </w:r>
      <w:r w:rsidRPr="00E815C8">
        <w:t xml:space="preserve"> of applicable law, in each case, enacted after the Effective Date.</w:t>
      </w:r>
      <w:r w:rsidRPr="00E815C8">
        <w:rPr>
          <w:b/>
          <w:color w:val="EE0000"/>
        </w:rPr>
        <w:t xml:space="preserve"> </w:t>
      </w:r>
    </w:p>
    <w:p w:rsidRPr="006E0A0D" w:rsidR="00CE7E58" w:rsidP="00EA2AB3" w:rsidRDefault="00D96326" w14:paraId="4CBE7393" w14:textId="56352839">
      <w:pPr>
        <w:pStyle w:val="Heading3"/>
      </w:pPr>
      <w:r>
        <w:rPr>
          <w:rFonts w:cs="Arial"/>
          <w:b/>
          <w:u w:val="single"/>
        </w:rPr>
        <w:t>Change of Law Expenditures</w:t>
      </w:r>
      <w:r>
        <w:rPr>
          <w:rFonts w:cs="Arial"/>
          <w:b/>
        </w:rPr>
        <w:t>:</w:t>
      </w:r>
      <w:r>
        <w:rPr>
          <w:rFonts w:cs="Arial"/>
        </w:rPr>
        <w:t xml:space="preserve"> </w:t>
      </w:r>
      <w:r w:rsidR="000405D6">
        <w:rPr>
          <w:rFonts w:cs="Arial"/>
        </w:rPr>
        <w:t>(</w:t>
      </w:r>
      <w:proofErr w:type="spellStart"/>
      <w:r w:rsidR="000405D6">
        <w:rPr>
          <w:rFonts w:cs="Arial"/>
        </w:rPr>
        <w:t>i</w:t>
      </w:r>
      <w:proofErr w:type="spellEnd"/>
      <w:r w:rsidR="000405D6">
        <w:rPr>
          <w:rFonts w:cs="Arial"/>
        </w:rPr>
        <w:t>) reasonable and documented</w:t>
      </w:r>
      <w:r>
        <w:t xml:space="preserve"> capital expenditures (determined in accordance with GAAP) </w:t>
      </w:r>
      <w:r w:rsidR="00130F64">
        <w:t>and incremental</w:t>
      </w:r>
      <w:r>
        <w:t xml:space="preserve"> operating costs</w:t>
      </w:r>
      <w:r w:rsidR="0083789B">
        <w:t xml:space="preserve"> </w:t>
      </w:r>
      <w:r w:rsidRPr="0083789B" w:rsidR="0083789B">
        <w:t>(</w:t>
      </w:r>
      <w:r w:rsidRPr="008F274D" w:rsidR="008F274D">
        <w:t>including new Taxes imposed directly on the ownership, operation, or maintenance of the Facility solely to the extent properly treated as operating expenses in accordance with GAAP but</w:t>
      </w:r>
      <w:r w:rsidR="008F274D">
        <w:rPr>
          <w:b/>
          <w:bCs/>
        </w:rPr>
        <w:t xml:space="preserve"> </w:t>
      </w:r>
      <w:r w:rsidRPr="0083789B" w:rsidR="0083789B">
        <w:t>excluding GHG Charges)</w:t>
      </w:r>
      <w:r>
        <w:t>, including</w:t>
      </w:r>
      <w:r w:rsidR="00006177">
        <w:t>:</w:t>
      </w:r>
      <w:r>
        <w:t xml:space="preserve"> (</w:t>
      </w:r>
      <w:r w:rsidR="00006177">
        <w:t>a</w:t>
      </w:r>
      <w:r>
        <w:t xml:space="preserve">) capital expenditures or operating costs </w:t>
      </w:r>
      <w:r w:rsidR="00006177">
        <w:t>incurred to modify, operate, or maintain</w:t>
      </w:r>
      <w:r>
        <w:t xml:space="preserve"> the Facility </w:t>
      </w:r>
      <w:r w:rsidR="00006177">
        <w:t>in compliance with the</w:t>
      </w:r>
      <w:r w:rsidR="008A3DCF">
        <w:t xml:space="preserve"> </w:t>
      </w:r>
      <w:r>
        <w:t xml:space="preserve">Change of Law during the Term; </w:t>
      </w:r>
      <w:r w:rsidR="00006177">
        <w:t>and</w:t>
      </w:r>
      <w:r>
        <w:t xml:space="preserve"> (b) additional or different Facility equipment, engineering, procurement, construction, or other Facility modifications </w:t>
      </w:r>
      <w:r w:rsidR="009516CD">
        <w:t>required to comply with the Change of Law; and (ii)</w:t>
      </w:r>
      <w:r w:rsidR="00474A01">
        <w:t xml:space="preserve"> any actual and realized loss or reduction of applicable </w:t>
      </w:r>
      <w:r>
        <w:t xml:space="preserve">tax incentives, credits, rebates, or other governmental benefits </w:t>
      </w:r>
      <w:r>
        <w:rPr>
          <w:rFonts w:cs="Arial"/>
        </w:rPr>
        <w:t xml:space="preserve">applicable </w:t>
      </w:r>
      <w:r>
        <w:t>to the Facility</w:t>
      </w:r>
      <w:r w:rsidRPr="00341121" w:rsidR="003F7B34">
        <w:rPr>
          <w:rFonts w:cs="Arial"/>
        </w:rPr>
        <w:t>, in each case, incurred by Seller as a direct result of a Change of Law, reasonable in amount, consistent with Prudent Industry Practice, and net of any costs saving, insurance proceeds, tax benefit, and third-party recovery</w:t>
      </w:r>
      <w:r>
        <w:t>. Capital expenditures or operating costs will not constitute Change of Law Expenditures unless GPC, using Prudent Industry Practices, would incur the same capital expenditures or operating costs regarding its own facilities of the same type as the Facility because of the requirements of the Change of Law (taking into account differences in facility generating capacity, location, and the frequency and duration of facility dispatch).</w:t>
      </w:r>
      <w:r w:rsidR="00680CF0">
        <w:t xml:space="preserve"> </w:t>
      </w:r>
    </w:p>
    <w:p w:rsidR="00D96326" w:rsidP="004A5539" w:rsidRDefault="00D96326" w14:paraId="5EBA1081" w14:textId="33F43EB5">
      <w:pPr>
        <w:pStyle w:val="Heading3"/>
        <w:keepNext w:val="0"/>
        <w:widowControl w:val="0"/>
        <w:spacing w:after="120"/>
        <w:rPr>
          <w:rFonts w:cs="Arial"/>
        </w:rPr>
      </w:pPr>
      <w:r>
        <w:rPr>
          <w:rFonts w:cs="Arial"/>
          <w:b/>
          <w:u w:val="single"/>
        </w:rPr>
        <w:t>Change of Law Notice</w:t>
      </w:r>
      <w:r>
        <w:rPr>
          <w:rFonts w:cs="Arial"/>
          <w:b/>
        </w:rPr>
        <w:t>:</w:t>
      </w:r>
      <w:r>
        <w:rPr>
          <w:rFonts w:cs="Arial"/>
        </w:rPr>
        <w:t xml:space="preserve"> </w:t>
      </w:r>
      <w:r w:rsidRPr="00341121" w:rsidR="009A42FC">
        <w:rPr>
          <w:rFonts w:cs="Arial"/>
        </w:rPr>
        <w:t>Written notice from Seller to GPC of a Change of Law that will cause, or is reasonably expected to cause, Seller to incur Change of Law Expenditures</w:t>
      </w:r>
      <w:r>
        <w:rPr>
          <w:rFonts w:cs="Arial"/>
        </w:rPr>
        <w:t>.</w:t>
      </w:r>
    </w:p>
    <w:p w:rsidR="007F0F82" w:rsidP="000A2525" w:rsidRDefault="006826A0" w14:paraId="1E33722C" w14:textId="2CA4E3BF">
      <w:pPr>
        <w:pStyle w:val="Heading3"/>
        <w:keepNext w:val="0"/>
        <w:widowControl w:val="0"/>
        <w:spacing w:after="120" w:line="259" w:lineRule="auto"/>
        <w:rPr>
          <w:rFonts w:eastAsia="PMingLiU"/>
        </w:rPr>
      </w:pPr>
      <w:r>
        <w:rPr>
          <w:rFonts w:eastAsia="PMingLiU"/>
          <w:b/>
          <w:u w:val="single"/>
        </w:rPr>
        <w:t>Claim</w:t>
      </w:r>
      <w:r>
        <w:rPr>
          <w:b/>
        </w:rPr>
        <w:t>:</w:t>
      </w:r>
      <w:r>
        <w:t xml:space="preserve"> Any loss, damage, cost, expense, or liability (on an After-Tax Basis) for any damage or claim (including any demand, suit, settlement, judgment, penalty, fine, proceeding, or action of any kind), including for: (</w:t>
      </w:r>
      <w:proofErr w:type="spellStart"/>
      <w:r>
        <w:t>i</w:t>
      </w:r>
      <w:proofErr w:type="spellEnd"/>
      <w:r>
        <w:t>) personal or bodily injury (including death); (ii) property damage (including loss of use);; (i</w:t>
      </w:r>
      <w:r w:rsidR="00902466">
        <w:t>ii</w:t>
      </w:r>
      <w:r>
        <w:t>) infringement; (</w:t>
      </w:r>
      <w:r w:rsidR="00902466">
        <w:t>i</w:t>
      </w:r>
      <w:r>
        <w:t>v) monetary damage or expense; or (v) equitable relief, including all Claim expenses (e.g., actual attorneys’ fees reasonably incurred; investigation, defense, litigation, court, arbitration, or mediation costs; and expert, consultant, arbitrator, or mediator fees or expenses</w:t>
      </w:r>
      <w:r>
        <w:rPr>
          <w:rFonts w:eastAsia="PMingLiU"/>
        </w:rPr>
        <w:t xml:space="preserve"> and bond expense</w:t>
      </w:r>
      <w:r>
        <w:t>)</w:t>
      </w:r>
      <w:r>
        <w:rPr>
          <w:rFonts w:eastAsia="PMingLiU"/>
        </w:rPr>
        <w:t>.</w:t>
      </w:r>
    </w:p>
    <w:p w:rsidRPr="00FD08F0" w:rsidR="00FD08F0" w:rsidP="004A5539" w:rsidRDefault="00FD08F0" w14:paraId="07965983" w14:textId="58ED897B">
      <w:pPr>
        <w:pStyle w:val="Heading3"/>
        <w:keepNext w:val="0"/>
        <w:widowControl w:val="0"/>
        <w:spacing w:after="120"/>
        <w:rPr>
          <w:rFonts w:cs="Arial"/>
          <w:highlight w:val="yellow"/>
        </w:rPr>
      </w:pPr>
      <w:r>
        <w:rPr>
          <w:rFonts w:eastAsia="PMingLiU"/>
          <w:b/>
          <w:bCs/>
          <w:u w:val="single"/>
        </w:rPr>
        <w:t>COD</w:t>
      </w:r>
      <w:r>
        <w:rPr>
          <w:rFonts w:eastAsia="PMingLiU"/>
          <w:b/>
          <w:bCs/>
        </w:rPr>
        <w:t>:</w:t>
      </w:r>
      <w:r>
        <w:rPr>
          <w:rFonts w:eastAsia="PMingLiU"/>
        </w:rPr>
        <w:t xml:space="preserve"> See </w:t>
      </w:r>
      <w:r>
        <w:rPr>
          <w:rFonts w:eastAsia="PMingLiU"/>
          <w:i/>
          <w:iCs w:val="0"/>
        </w:rPr>
        <w:t>Commercial Operation Date</w:t>
      </w:r>
      <w:r>
        <w:rPr>
          <w:rFonts w:eastAsia="PMingLiU"/>
        </w:rPr>
        <w:t xml:space="preserve">. </w:t>
      </w:r>
    </w:p>
    <w:p w:rsidRPr="00F10071" w:rsidR="00D96326" w:rsidP="004A5539" w:rsidRDefault="00D96326" w14:paraId="2318151C" w14:textId="3025F2A8">
      <w:pPr>
        <w:pStyle w:val="Heading3"/>
        <w:keepNext w:val="0"/>
        <w:widowControl w:val="0"/>
        <w:spacing w:after="120"/>
        <w:rPr>
          <w:rFonts w:cs="Arial"/>
        </w:rPr>
      </w:pPr>
      <w:r>
        <w:rPr>
          <w:rFonts w:cs="Arial"/>
          <w:b/>
          <w:u w:val="single"/>
        </w:rPr>
        <w:t>Commercial Operation</w:t>
      </w:r>
      <w:r>
        <w:rPr>
          <w:rFonts w:cs="Arial"/>
          <w:b/>
        </w:rPr>
        <w:t>:</w:t>
      </w:r>
      <w:r>
        <w:rPr>
          <w:rFonts w:cs="Arial"/>
        </w:rPr>
        <w:t xml:space="preserve"> The Facility’s ability to meet the requirements of Section 7.1.3 (</w:t>
      </w:r>
      <w:r>
        <w:rPr>
          <w:rFonts w:cs="Arial"/>
          <w:i/>
        </w:rPr>
        <w:t>Commercial Operation</w:t>
      </w:r>
      <w:r>
        <w:rPr>
          <w:rFonts w:cs="Arial"/>
        </w:rPr>
        <w:t>).</w:t>
      </w:r>
    </w:p>
    <w:p w:rsidR="426C7BE3" w:rsidP="54C72364" w:rsidRDefault="426C7BE3" w14:paraId="432C93DE" w14:textId="4122DB7B">
      <w:pPr>
        <w:pStyle w:val="Heading3"/>
        <w:keepNext w:val="0"/>
        <w:widowControl w:val="0"/>
        <w:spacing w:after="120"/>
        <w:rPr>
          <w:rFonts w:cs="Arial"/>
        </w:rPr>
      </w:pPr>
      <w:r>
        <w:rPr>
          <w:rFonts w:cs="Arial"/>
          <w:b/>
          <w:bCs/>
          <w:u w:val="single"/>
        </w:rPr>
        <w:t>Commercial Operation Completion Certificate</w:t>
      </w:r>
      <w:r>
        <w:rPr>
          <w:rFonts w:cs="Arial"/>
          <w:b/>
          <w:bCs/>
        </w:rPr>
        <w:t>:</w:t>
      </w:r>
      <w:r>
        <w:rPr>
          <w:rFonts w:cs="Arial"/>
        </w:rPr>
        <w:t xml:space="preserve"> The certificate in the form of Exhibit I (</w:t>
      </w:r>
      <w:r>
        <w:rPr>
          <w:rFonts w:cs="Arial"/>
          <w:i/>
        </w:rPr>
        <w:t>Form of Commercial Operation Completion Certificate</w:t>
      </w:r>
      <w:r>
        <w:rPr>
          <w:rFonts w:cs="Arial"/>
        </w:rPr>
        <w:t>) that Seller submits to GPC pursuant to Section 7.1.4 (</w:t>
      </w:r>
      <w:r>
        <w:rPr>
          <w:rFonts w:cs="Arial"/>
          <w:i/>
        </w:rPr>
        <w:t>Commercial Operation Completion Certificate</w:t>
      </w:r>
      <w:r>
        <w:rPr>
          <w:rFonts w:cs="Arial"/>
        </w:rPr>
        <w:t>).</w:t>
      </w:r>
    </w:p>
    <w:p w:rsidR="00D96326" w:rsidP="004A5539" w:rsidRDefault="00D96326" w14:paraId="6DEE95DB" w14:textId="77777777">
      <w:pPr>
        <w:pStyle w:val="Heading3"/>
        <w:keepNext w:val="0"/>
        <w:widowControl w:val="0"/>
        <w:spacing w:after="120"/>
        <w:rPr>
          <w:rFonts w:cs="Arial"/>
        </w:rPr>
      </w:pPr>
      <w:r>
        <w:rPr>
          <w:rFonts w:cs="Arial"/>
          <w:b/>
          <w:u w:val="single"/>
        </w:rPr>
        <w:t>Commercial Operation Date (COD)</w:t>
      </w:r>
      <w:r>
        <w:rPr>
          <w:rFonts w:cs="Arial"/>
          <w:b/>
        </w:rPr>
        <w:t>:</w:t>
      </w:r>
      <w:r>
        <w:rPr>
          <w:rFonts w:cs="Arial"/>
        </w:rPr>
        <w:t xml:space="preserve"> The date the Facility achieves Commercial Operation.</w:t>
      </w:r>
    </w:p>
    <w:p w:rsidRPr="00F10071" w:rsidR="00D96326" w:rsidP="004A5539" w:rsidRDefault="00D96326" w14:paraId="74F7E5B8" w14:textId="77777777">
      <w:pPr>
        <w:pStyle w:val="Heading3"/>
        <w:keepNext w:val="0"/>
        <w:widowControl w:val="0"/>
        <w:spacing w:after="120"/>
        <w:rPr>
          <w:rFonts w:cs="Arial"/>
        </w:rPr>
      </w:pPr>
      <w:r>
        <w:rPr>
          <w:rFonts w:cs="Arial"/>
          <w:b/>
          <w:u w:val="single"/>
        </w:rPr>
        <w:t>Commission</w:t>
      </w:r>
      <w:r>
        <w:rPr>
          <w:rFonts w:cs="Arial"/>
          <w:b/>
        </w:rPr>
        <w:t>:</w:t>
      </w:r>
      <w:r>
        <w:rPr>
          <w:rFonts w:cs="Arial"/>
        </w:rPr>
        <w:t xml:space="preserve"> The Georgia Public Service Commission, or any Governmental Authority succeeding to the powers and functions of the Commission.</w:t>
      </w:r>
    </w:p>
    <w:p w:rsidRPr="00A74021" w:rsidR="00D96326" w:rsidP="004A5539" w:rsidRDefault="00D96326" w14:paraId="6534CB16" w14:textId="7C8B173C">
      <w:pPr>
        <w:pStyle w:val="Heading3"/>
        <w:keepNext w:val="0"/>
        <w:widowControl w:val="0"/>
        <w:spacing w:after="120"/>
        <w:rPr>
          <w:rFonts w:cs="Arial"/>
        </w:rPr>
      </w:pPr>
      <w:r>
        <w:rPr>
          <w:rFonts w:cs="Arial"/>
          <w:b/>
          <w:u w:val="single"/>
        </w:rPr>
        <w:t>Commission Certificate</w:t>
      </w:r>
      <w:r>
        <w:rPr>
          <w:rFonts w:cs="Arial"/>
          <w:b/>
        </w:rPr>
        <w:t>:</w:t>
      </w:r>
      <w:r>
        <w:rPr>
          <w:rFonts w:cs="Arial"/>
        </w:rPr>
        <w:t xml:space="preserve"> A </w:t>
      </w:r>
      <w:r w:rsidR="006E7C11">
        <w:rPr>
          <w:rFonts w:cs="Arial"/>
        </w:rPr>
        <w:t>c</w:t>
      </w:r>
      <w:r>
        <w:rPr>
          <w:rFonts w:cs="Arial"/>
        </w:rPr>
        <w:t xml:space="preserve">ertificate of </w:t>
      </w:r>
      <w:r w:rsidR="006E7C11">
        <w:rPr>
          <w:rFonts w:cs="Arial"/>
        </w:rPr>
        <w:t>p</w:t>
      </w:r>
      <w:r>
        <w:rPr>
          <w:rFonts w:cs="Arial"/>
        </w:rPr>
        <w:t xml:space="preserve">ublic </w:t>
      </w:r>
      <w:r w:rsidR="006E7C11">
        <w:rPr>
          <w:rFonts w:cs="Arial"/>
        </w:rPr>
        <w:t>c</w:t>
      </w:r>
      <w:r>
        <w:rPr>
          <w:rFonts w:cs="Arial"/>
        </w:rPr>
        <w:t xml:space="preserve">onvenience and </w:t>
      </w:r>
      <w:r w:rsidR="006E7C11">
        <w:rPr>
          <w:rFonts w:cs="Arial"/>
        </w:rPr>
        <w:t>n</w:t>
      </w:r>
      <w:r>
        <w:rPr>
          <w:rFonts w:cs="Arial"/>
        </w:rPr>
        <w:t xml:space="preserve">ecessity </w:t>
      </w:r>
      <w:r w:rsidR="006E7C11">
        <w:rPr>
          <w:rFonts w:cs="Arial"/>
        </w:rPr>
        <w:t xml:space="preserve">as required by OCGA </w:t>
      </w:r>
      <w:r w:rsidRPr="00B82108" w:rsidR="00B82108">
        <w:rPr>
          <w:rFonts w:cs="Arial"/>
        </w:rPr>
        <w:t>§ 463A1, et seq</w:t>
      </w:r>
      <w:r>
        <w:rPr>
          <w:rFonts w:cs="Arial"/>
        </w:rPr>
        <w:t>.</w:t>
      </w:r>
    </w:p>
    <w:p w:rsidRPr="00F10071" w:rsidR="00D96326" w:rsidP="004A5539" w:rsidRDefault="00D96326" w14:paraId="356005F3" w14:textId="77777777">
      <w:pPr>
        <w:pStyle w:val="Heading3"/>
        <w:keepNext w:val="0"/>
        <w:widowControl w:val="0"/>
        <w:spacing w:after="120"/>
        <w:rPr>
          <w:rFonts w:cs="Arial"/>
        </w:rPr>
      </w:pPr>
      <w:r>
        <w:rPr>
          <w:rFonts w:cs="Arial"/>
          <w:b/>
          <w:u w:val="single"/>
        </w:rPr>
        <w:t>Commission Certificate Target Date</w:t>
      </w:r>
      <w:r>
        <w:rPr>
          <w:rFonts w:cs="Arial"/>
          <w:b/>
        </w:rPr>
        <w:t>:</w:t>
      </w:r>
      <w:r>
        <w:rPr>
          <w:rFonts w:cs="Arial"/>
        </w:rPr>
        <w:t xml:space="preserve"> The date that is 250 Days after the date GPC requests a Commission Certificate for this PPA.</w:t>
      </w:r>
    </w:p>
    <w:p w:rsidRPr="00F10071" w:rsidR="00D96326" w:rsidP="004A5539" w:rsidRDefault="00D96326" w14:paraId="3FD117E4" w14:textId="3ED1B71C">
      <w:pPr>
        <w:pStyle w:val="Heading3"/>
        <w:keepNext w:val="0"/>
        <w:widowControl w:val="0"/>
        <w:spacing w:after="120"/>
        <w:rPr>
          <w:rFonts w:cs="Arial"/>
        </w:rPr>
      </w:pPr>
      <w:r>
        <w:rPr>
          <w:rFonts w:cs="Arial"/>
          <w:b/>
          <w:u w:val="single"/>
        </w:rPr>
        <w:t>Confidential Information</w:t>
      </w:r>
      <w:r>
        <w:rPr>
          <w:rFonts w:cs="Arial"/>
          <w:b/>
        </w:rPr>
        <w:t>:</w:t>
      </w:r>
      <w:r>
        <w:rPr>
          <w:rFonts w:cs="Arial"/>
        </w:rPr>
        <w:t xml:space="preserve"> Business or technical information rightfully in the possession of either Party that derives actual or potential commercial value from not being generally known or readily ascertainable through independent development or reverse engineering by Person(s) who can obtain economic value from its disclosure or use, including information furnished or disclosed by the disclosing Party or another Person on behalf of the disclosing Party to the other Party in connection with discussions leading up to execution of this PPA, including this PPA. Seller must designate Confidential Information as confidential in writing on each page of a document contemporaneously with Seller’s supply of the information. Confidential Information does not include information that: (</w:t>
      </w:r>
      <w:proofErr w:type="spellStart"/>
      <w:r>
        <w:rPr>
          <w:rFonts w:cs="Arial"/>
        </w:rPr>
        <w:t>i</w:t>
      </w:r>
      <w:proofErr w:type="spellEnd"/>
      <w:r>
        <w:rPr>
          <w:rFonts w:cs="Arial"/>
        </w:rPr>
        <w:t xml:space="preserve">) is or becomes publicly available other than because of a violation of this PPA; (ii) was, at the time of the </w:t>
      </w:r>
      <w:r>
        <w:rPr>
          <w:rFonts w:cs="Arial"/>
        </w:rPr>
        <w:lastRenderedPageBreak/>
        <w:t>disclosure, already in the receiving Party’s possession; (iii) is disclosed to the receiving Party by a third party who, to the receiving Party’s knowledge, is not prohibited from disclosing the information under any agreement with the disclosing Party; (iv) the receiving Party develops or derives without the aid, application or use of the privileged or proprietary information; or (v) the receiving Party is required to disclose in accordance with applicable law.</w:t>
      </w:r>
    </w:p>
    <w:p w:rsidRPr="00F10071" w:rsidR="00D96326" w:rsidP="004A5539" w:rsidRDefault="00D96326" w14:paraId="538E4CC9" w14:textId="4CC1DE05">
      <w:pPr>
        <w:pStyle w:val="Heading3"/>
        <w:keepNext w:val="0"/>
        <w:widowControl w:val="0"/>
        <w:spacing w:after="120"/>
        <w:rPr>
          <w:rFonts w:cs="Arial"/>
        </w:rPr>
      </w:pPr>
      <w:r>
        <w:rPr>
          <w:rFonts w:cs="Arial"/>
          <w:b/>
          <w:u w:val="single"/>
        </w:rPr>
        <w:t>Consent</w:t>
      </w:r>
      <w:r>
        <w:rPr>
          <w:rFonts w:cs="Arial"/>
          <w:b/>
        </w:rPr>
        <w:t>:</w:t>
      </w:r>
      <w:r>
        <w:rPr>
          <w:rFonts w:cs="Arial"/>
        </w:rPr>
        <w:t xml:space="preserve"> Any approval, consent, authorization, or other applicable requirement that is required regarding the Project</w:t>
      </w:r>
      <w:r w:rsidR="00E83E6E">
        <w:rPr>
          <w:rFonts w:cs="Arial"/>
        </w:rPr>
        <w:t xml:space="preserve"> </w:t>
      </w:r>
      <w:r>
        <w:rPr>
          <w:rFonts w:cs="Arial"/>
        </w:rPr>
        <w:t>or Facility from any Governmental Authority, including all applicable environmental certificates, licenses, permits, and approvals, and any federal or state compliance program that GPC is or becomes subject to at any time during the Term.</w:t>
      </w:r>
    </w:p>
    <w:p w:rsidRPr="00190E97" w:rsidR="00190E97" w:rsidP="004A5539" w:rsidRDefault="00190E97" w14:paraId="31AFB05F" w14:textId="318A1CAC">
      <w:pPr>
        <w:pStyle w:val="Heading3"/>
        <w:keepNext w:val="0"/>
        <w:widowControl w:val="0"/>
        <w:spacing w:after="120"/>
        <w:rPr>
          <w:rFonts w:cs="Arial"/>
          <w:b/>
        </w:rPr>
      </w:pPr>
      <w:r>
        <w:rPr>
          <w:rFonts w:cs="Arial"/>
          <w:b/>
          <w:u w:val="single"/>
        </w:rPr>
        <w:t>Contracted Capacity Cap</w:t>
      </w:r>
      <w:r>
        <w:rPr>
          <w:rFonts w:cs="Arial"/>
          <w:b/>
        </w:rPr>
        <w:t>:</w:t>
      </w:r>
      <w:r>
        <w:rPr>
          <w:rFonts w:cs="Arial"/>
        </w:rPr>
        <w:t xml:space="preserve"> Defined in, and determined in accordance with,</w:t>
      </w:r>
      <w:r>
        <w:rPr>
          <w:rFonts w:cs="Arial"/>
          <w:b/>
        </w:rPr>
        <w:t xml:space="preserve"> </w:t>
      </w:r>
      <w:r>
        <w:rPr>
          <w:rFonts w:cs="Arial"/>
        </w:rPr>
        <w:t>Exhibit B</w:t>
      </w:r>
      <w:r>
        <w:rPr>
          <w:rFonts w:cs="Arial"/>
          <w:b/>
        </w:rPr>
        <w:t xml:space="preserve"> </w:t>
      </w:r>
      <w:r>
        <w:rPr>
          <w:rFonts w:cs="Arial"/>
        </w:rPr>
        <w:t>(</w:t>
      </w:r>
      <w:r>
        <w:rPr>
          <w:rFonts w:cs="Arial"/>
          <w:i/>
        </w:rPr>
        <w:t>Capacity; Capacity Payments and Payment Reductions; Buydown</w:t>
      </w:r>
      <w:r>
        <w:rPr>
          <w:rFonts w:cs="Arial"/>
        </w:rPr>
        <w:t>), Section 1.1.A (</w:t>
      </w:r>
      <w:r>
        <w:rPr>
          <w:rFonts w:cs="Arial"/>
          <w:i/>
        </w:rPr>
        <w:t>Contracted Capacity Cap</w:t>
      </w:r>
      <w:r>
        <w:rPr>
          <w:rFonts w:cs="Arial"/>
        </w:rPr>
        <w:t xml:space="preserve">). </w:t>
      </w:r>
    </w:p>
    <w:p w:rsidRPr="00312177" w:rsidR="00D96326" w:rsidP="004A5539" w:rsidRDefault="00D96326" w14:paraId="3783ACB0" w14:textId="6AA8219C">
      <w:pPr>
        <w:pStyle w:val="Heading3"/>
        <w:keepNext w:val="0"/>
        <w:widowControl w:val="0"/>
        <w:spacing w:after="120"/>
        <w:rPr>
          <w:rFonts w:cs="Arial"/>
        </w:rPr>
      </w:pPr>
      <w:r>
        <w:rPr>
          <w:rFonts w:cs="Arial"/>
          <w:b/>
          <w:u w:val="single"/>
        </w:rPr>
        <w:t>Contracted Capacity Range</w:t>
      </w:r>
      <w:r>
        <w:rPr>
          <w:rFonts w:cs="Arial"/>
          <w:b/>
        </w:rPr>
        <w:t>:</w:t>
      </w:r>
      <w:r>
        <w:rPr>
          <w:rFonts w:cs="Arial"/>
        </w:rPr>
        <w:t xml:space="preserve"> Defined in, and determined in accordance with, Exhibit B (</w:t>
      </w:r>
      <w:r>
        <w:rPr>
          <w:rFonts w:cs="Arial"/>
          <w:i/>
        </w:rPr>
        <w:t>Capacity; Capacity Payments and Payment Reductions; Buydown</w:t>
      </w:r>
      <w:r>
        <w:rPr>
          <w:rFonts w:cs="Arial"/>
        </w:rPr>
        <w:t>), Section 1.1.B (</w:t>
      </w:r>
      <w:r>
        <w:rPr>
          <w:rFonts w:cs="Arial"/>
          <w:i/>
        </w:rPr>
        <w:t>Contracted Capacity Range</w:t>
      </w:r>
      <w:r>
        <w:rPr>
          <w:rFonts w:cs="Arial"/>
        </w:rPr>
        <w:t>).</w:t>
      </w:r>
    </w:p>
    <w:p w:rsidR="2E8A7C12" w:rsidP="54C72364" w:rsidRDefault="2E8A7C12" w14:paraId="5E1CD7E6" w14:textId="1FB2B706">
      <w:pPr>
        <w:pStyle w:val="Heading3"/>
        <w:keepNext w:val="0"/>
        <w:widowControl w:val="0"/>
        <w:spacing w:after="120"/>
        <w:rPr>
          <w:rFonts w:cs="Arial"/>
        </w:rPr>
      </w:pPr>
      <w:r w:rsidRPr="00C1276F">
        <w:rPr>
          <w:rFonts w:cs="Arial"/>
          <w:b/>
          <w:u w:val="single"/>
        </w:rPr>
        <w:t>Costs</w:t>
      </w:r>
      <w:r>
        <w:rPr>
          <w:rFonts w:cs="Arial"/>
          <w:b/>
          <w:bCs/>
        </w:rPr>
        <w:t xml:space="preserve">: </w:t>
      </w:r>
      <w:r>
        <w:rPr>
          <w:rFonts w:cs="Arial"/>
        </w:rPr>
        <w:t>Defined in Section 16.3.3 (</w:t>
      </w:r>
      <w:r>
        <w:rPr>
          <w:rFonts w:cs="Arial"/>
          <w:i/>
        </w:rPr>
        <w:t>Determining Gains, Losses, and Costs</w:t>
      </w:r>
      <w:r>
        <w:rPr>
          <w:rFonts w:cs="Arial"/>
        </w:rPr>
        <w:t>).</w:t>
      </w:r>
    </w:p>
    <w:p w:rsidRPr="00F10071" w:rsidR="00D96326" w:rsidP="004A5539" w:rsidRDefault="00D96326" w14:paraId="72FC3DE3" w14:textId="77777777">
      <w:pPr>
        <w:pStyle w:val="Heading3"/>
        <w:keepNext w:val="0"/>
        <w:widowControl w:val="0"/>
        <w:spacing w:after="120"/>
        <w:rPr>
          <w:rFonts w:cs="Arial"/>
        </w:rPr>
      </w:pPr>
      <w:r>
        <w:rPr>
          <w:rFonts w:cs="Arial"/>
          <w:b/>
          <w:u w:val="single"/>
        </w:rPr>
        <w:t>CPT</w:t>
      </w:r>
      <w:r>
        <w:rPr>
          <w:rFonts w:cs="Arial"/>
          <w:b/>
        </w:rPr>
        <w:t>:</w:t>
      </w:r>
      <w:r>
        <w:rPr>
          <w:rFonts w:cs="Arial"/>
        </w:rPr>
        <w:t xml:space="preserve"> See </w:t>
      </w:r>
      <w:r>
        <w:rPr>
          <w:rFonts w:cs="Arial"/>
          <w:i/>
        </w:rPr>
        <w:t>Central Prevailing Time</w:t>
      </w:r>
      <w:r>
        <w:rPr>
          <w:rFonts w:cs="Arial"/>
        </w:rPr>
        <w:t>.</w:t>
      </w:r>
    </w:p>
    <w:p w:rsidRPr="00F10071" w:rsidR="00D96326" w:rsidP="004A5539" w:rsidRDefault="00D96326" w14:paraId="51DF292C" w14:textId="1BE45576">
      <w:pPr>
        <w:pStyle w:val="Heading3"/>
        <w:keepNext w:val="0"/>
        <w:widowControl w:val="0"/>
        <w:spacing w:after="120"/>
        <w:rPr>
          <w:rFonts w:cs="Arial"/>
        </w:rPr>
      </w:pPr>
      <w:r>
        <w:rPr>
          <w:rFonts w:cs="Arial"/>
          <w:b/>
          <w:u w:val="single"/>
        </w:rPr>
        <w:t>Creditworthy</w:t>
      </w:r>
      <w:r>
        <w:rPr>
          <w:rFonts w:cs="Arial"/>
          <w:b/>
        </w:rPr>
        <w:t xml:space="preserve"> or </w:t>
      </w:r>
      <w:r>
        <w:rPr>
          <w:rFonts w:cs="Arial"/>
          <w:b/>
          <w:u w:val="single"/>
        </w:rPr>
        <w:t>Creditworthiness</w:t>
      </w:r>
      <w:r>
        <w:rPr>
          <w:rFonts w:eastAsia="Calibri" w:cs="Arial"/>
          <w:b/>
        </w:rPr>
        <w:t>:</w:t>
      </w:r>
      <w:r>
        <w:rPr>
          <w:rFonts w:eastAsia="Calibri" w:cs="Arial"/>
        </w:rPr>
        <w:t xml:space="preserve"> </w:t>
      </w:r>
      <w:r w:rsidR="00F3254B">
        <w:t>With respect to a Person, the Person has (</w:t>
      </w:r>
      <w:proofErr w:type="spellStart"/>
      <w:r w:rsidR="00F3254B">
        <w:t>i</w:t>
      </w:r>
      <w:proofErr w:type="spellEnd"/>
      <w:r w:rsidR="00F3254B">
        <w:t xml:space="preserve">) a </w:t>
      </w:r>
      <w:r w:rsidRPr="001776EF" w:rsidR="00F3254B">
        <w:t>senior unsecured debt</w:t>
      </w:r>
      <w:r w:rsidR="00F3254B">
        <w:t xml:space="preserve"> rating,</w:t>
      </w:r>
      <w:r w:rsidRPr="001776EF" w:rsidR="00F3254B">
        <w:t xml:space="preserve"> or</w:t>
      </w:r>
      <w:r w:rsidR="00F3254B">
        <w:t xml:space="preserve"> if the Person has no senior unsecured debt rating, an</w:t>
      </w:r>
      <w:r w:rsidRPr="001776EF" w:rsidR="00F3254B">
        <w:t xml:space="preserve"> issuer rating</w:t>
      </w:r>
      <w:r w:rsidR="00F3254B">
        <w:t xml:space="preserve"> from two of the Rating Agencies above</w:t>
      </w:r>
      <w:r w:rsidRPr="001776EF" w:rsidR="00F3254B">
        <w:t>: (a) BBB</w:t>
      </w:r>
      <w:r w:rsidR="00F3254B">
        <w:t>+</w:t>
      </w:r>
      <w:r w:rsidRPr="001776EF" w:rsidR="00F3254B">
        <w:t xml:space="preserve"> by S&amp;P, if rated by S&amp;P; (b) Baa</w:t>
      </w:r>
      <w:r w:rsidR="00F3254B">
        <w:t>1</w:t>
      </w:r>
      <w:r w:rsidRPr="001776EF" w:rsidR="00F3254B">
        <w:t xml:space="preserve"> by Moody’s, if rated by Moody’s; and (c) BBB</w:t>
      </w:r>
      <w:r w:rsidR="00F3254B">
        <w:t>+</w:t>
      </w:r>
      <w:r w:rsidRPr="001776EF" w:rsidR="00F3254B">
        <w:t xml:space="preserve"> by Fitch, if rated by Fitch, respectively; or (ii) </w:t>
      </w:r>
      <w:r w:rsidR="00F3254B">
        <w:t xml:space="preserve">(1) a senior unsecured debt rating or, if the Person has no senior unsecured debt rating, an issuer rating from two of the Rating Agencies of at least: (x) BBB- by S&amp;P, if rated by S&amp;P; (y) Baa3 by Moody’s, if rated by Moody’s; and (z) BBB- by Fitch, if rated by Fitch, respectively; and (2) </w:t>
      </w:r>
      <w:r w:rsidRPr="001776EF" w:rsidR="00F3254B">
        <w:rPr>
          <w:rFonts w:cs="Arial"/>
        </w:rPr>
        <w:t xml:space="preserve">satisfactory </w:t>
      </w:r>
      <w:r w:rsidRPr="001776EF" w:rsidR="00F3254B">
        <w:t xml:space="preserve">and verifiable </w:t>
      </w:r>
      <w:r w:rsidRPr="001776EF" w:rsidR="00F3254B">
        <w:rPr>
          <w:rFonts w:cs="Arial"/>
        </w:rPr>
        <w:t xml:space="preserve">creditworthiness </w:t>
      </w:r>
      <w:r w:rsidRPr="001776EF" w:rsidR="00F3254B">
        <w:t>determined in GPC’s reasonable discretion.</w:t>
      </w:r>
    </w:p>
    <w:p w:rsidRPr="00F10071" w:rsidR="00D96326" w:rsidP="004A5539" w:rsidRDefault="00D96326" w14:paraId="793B52A0" w14:textId="77777777">
      <w:pPr>
        <w:pStyle w:val="Heading3"/>
        <w:keepNext w:val="0"/>
        <w:widowControl w:val="0"/>
        <w:spacing w:after="120"/>
        <w:rPr>
          <w:rFonts w:cs="Arial"/>
        </w:rPr>
      </w:pPr>
      <w:r>
        <w:rPr>
          <w:rFonts w:cs="Arial"/>
          <w:b/>
          <w:u w:val="single"/>
        </w:rPr>
        <w:t>CT</w:t>
      </w:r>
      <w:r>
        <w:rPr>
          <w:rFonts w:cs="Arial"/>
          <w:b/>
        </w:rPr>
        <w:t>:</w:t>
      </w:r>
      <w:r>
        <w:rPr>
          <w:rFonts w:cs="Arial"/>
        </w:rPr>
        <w:t xml:space="preserve"> Combustion turbine. </w:t>
      </w:r>
    </w:p>
    <w:p w:rsidRPr="000A2525" w:rsidR="0F0286C1" w:rsidP="0B7F6DB5" w:rsidRDefault="0F0286C1" w14:paraId="769F8D2B" w14:textId="39108CC0">
      <w:pPr>
        <w:pStyle w:val="Heading3"/>
        <w:keepNext w:val="0"/>
        <w:widowControl w:val="0"/>
        <w:spacing w:after="120"/>
        <w:rPr>
          <w:rFonts w:cs="Arial"/>
        </w:rPr>
      </w:pPr>
      <w:r>
        <w:rPr>
          <w:rFonts w:cs="Arial"/>
          <w:b/>
          <w:bCs/>
          <w:u w:val="single"/>
        </w:rPr>
        <w:t>Cure Period</w:t>
      </w:r>
      <w:r>
        <w:rPr>
          <w:rFonts w:cs="Arial"/>
          <w:b/>
          <w:bCs/>
        </w:rPr>
        <w:t xml:space="preserve">: </w:t>
      </w:r>
      <w:r>
        <w:rPr>
          <w:rFonts w:cs="Arial"/>
        </w:rPr>
        <w:t>Defined in Section 16.1.9 (</w:t>
      </w:r>
      <w:r>
        <w:rPr>
          <w:rFonts w:cs="Arial"/>
          <w:i/>
        </w:rPr>
        <w:t>Inadequate Tested Reliable Capacity; Curing</w:t>
      </w:r>
      <w:r>
        <w:rPr>
          <w:rFonts w:cs="Arial"/>
        </w:rPr>
        <w:t>).</w:t>
      </w:r>
    </w:p>
    <w:p w:rsidRPr="00F10071" w:rsidR="00D96326" w:rsidP="004A5539" w:rsidRDefault="00D96326" w14:paraId="73DDB590" w14:textId="77777777">
      <w:pPr>
        <w:pStyle w:val="Heading3"/>
        <w:keepNext w:val="0"/>
        <w:widowControl w:val="0"/>
        <w:spacing w:after="120"/>
        <w:rPr>
          <w:rFonts w:cs="Arial"/>
        </w:rPr>
      </w:pPr>
      <w:r>
        <w:rPr>
          <w:rFonts w:cs="Arial"/>
          <w:b/>
          <w:u w:val="single"/>
        </w:rPr>
        <w:t>Current Unit</w:t>
      </w:r>
      <w:r>
        <w:rPr>
          <w:rFonts w:cs="Arial"/>
          <w:b/>
        </w:rPr>
        <w:t>:</w:t>
      </w:r>
      <w:r>
        <w:rPr>
          <w:rFonts w:cs="Arial"/>
        </w:rPr>
        <w:t xml:space="preserve"> Defined in Section 4.4.1 (</w:t>
      </w:r>
      <w:r>
        <w:rPr>
          <w:rFonts w:cs="Arial"/>
          <w:i/>
        </w:rPr>
        <w:t>Current Unit Replacement with Substitute Unit</w:t>
      </w:r>
      <w:r>
        <w:rPr>
          <w:rFonts w:cs="Arial"/>
        </w:rPr>
        <w:t>).</w:t>
      </w:r>
    </w:p>
    <w:p w:rsidR="79159C9D" w:rsidP="54C72364" w:rsidRDefault="79159C9D" w14:paraId="059B7AD3" w14:textId="7CAB142D">
      <w:pPr>
        <w:pStyle w:val="Heading3"/>
        <w:keepNext w:val="0"/>
        <w:widowControl w:val="0"/>
        <w:spacing w:after="120"/>
        <w:rPr>
          <w:rFonts w:cs="Arial"/>
        </w:rPr>
      </w:pPr>
      <w:r>
        <w:rPr>
          <w:rFonts w:cs="Arial"/>
          <w:b/>
          <w:bCs/>
          <w:u w:val="single"/>
        </w:rPr>
        <w:t>Cyber Security Incident</w:t>
      </w:r>
      <w:r>
        <w:rPr>
          <w:rFonts w:cs="Arial"/>
          <w:b/>
          <w:bCs/>
        </w:rPr>
        <w:t>:</w:t>
      </w:r>
      <w:r>
        <w:rPr>
          <w:rFonts w:cs="Arial"/>
        </w:rPr>
        <w:t xml:space="preserve"> Defined in Section 10.8 (</w:t>
      </w:r>
      <w:r>
        <w:rPr>
          <w:rFonts w:cs="Arial"/>
          <w:i/>
        </w:rPr>
        <w:t>Cyber Security</w:t>
      </w:r>
      <w:r>
        <w:rPr>
          <w:rFonts w:cs="Arial"/>
        </w:rPr>
        <w:t>).</w:t>
      </w:r>
    </w:p>
    <w:p w:rsidRPr="00E35D27" w:rsidR="00D96326" w:rsidP="004A5539" w:rsidRDefault="00D96326" w14:paraId="1B8B55D1" w14:textId="294FB5E7">
      <w:pPr>
        <w:pStyle w:val="Heading3"/>
        <w:keepNext w:val="0"/>
        <w:widowControl w:val="0"/>
        <w:spacing w:after="120"/>
        <w:rPr>
          <w:rFonts w:cs="Arial"/>
          <w:bCs/>
        </w:rPr>
      </w:pPr>
      <w:r>
        <w:rPr>
          <w:rFonts w:cs="Arial"/>
          <w:b/>
          <w:u w:val="single"/>
        </w:rPr>
        <w:t>Daily Fuel Oil Replacement Price</w:t>
      </w:r>
      <w:r>
        <w:rPr>
          <w:rFonts w:cs="Arial"/>
          <w:b/>
        </w:rPr>
        <w:t xml:space="preserve">: </w:t>
      </w:r>
      <w:r>
        <w:rPr>
          <w:rFonts w:cs="Arial"/>
          <w:bCs/>
        </w:rPr>
        <w:t>Price per gallon</w:t>
      </w:r>
      <w:r>
        <w:rPr>
          <w:rFonts w:cs="Arial"/>
          <w:b/>
        </w:rPr>
        <w:t xml:space="preserve"> </w:t>
      </w:r>
      <w:r>
        <w:rPr>
          <w:rFonts w:cs="Arial"/>
          <w:bCs/>
        </w:rPr>
        <w:t xml:space="preserve">issued by the Oil Price Information Service (OPIS) for low sulfur #2 dyed average price for the location specified in </w:t>
      </w:r>
      <w:r>
        <w:rPr>
          <w:rFonts w:cs="Arial"/>
        </w:rPr>
        <w:t>Exhibit A (</w:t>
      </w:r>
      <w:r>
        <w:rPr>
          <w:rFonts w:cs="Arial"/>
          <w:i/>
        </w:rPr>
        <w:t>Facility Description and Additional Details</w:t>
      </w:r>
      <w:r>
        <w:rPr>
          <w:rFonts w:cs="Arial"/>
        </w:rPr>
        <w:t>)</w:t>
      </w:r>
      <w:r>
        <w:rPr>
          <w:rFonts w:cs="Arial"/>
          <w:bCs/>
        </w:rPr>
        <w:t>, plus any applicable transportation charges to the Facility. The Operating Committee establishes the procedures and methodology that Seller will use for determining the Fuel Oil transportation charges.</w:t>
      </w:r>
    </w:p>
    <w:p w:rsidR="008A3BE0" w:rsidP="004A5539" w:rsidRDefault="00D96326" w14:paraId="12A48642" w14:textId="77777777">
      <w:pPr>
        <w:pStyle w:val="Heading3"/>
        <w:keepNext w:val="0"/>
        <w:widowControl w:val="0"/>
        <w:spacing w:after="120"/>
        <w:rPr>
          <w:rFonts w:cs="Arial"/>
        </w:rPr>
      </w:pPr>
      <w:r>
        <w:rPr>
          <w:rFonts w:cs="Arial"/>
          <w:b/>
          <w:u w:val="single"/>
        </w:rPr>
        <w:t>Day</w:t>
      </w:r>
      <w:r>
        <w:rPr>
          <w:rFonts w:cs="Arial"/>
          <w:b/>
        </w:rPr>
        <w:t>:</w:t>
      </w:r>
      <w:r>
        <w:rPr>
          <w:rFonts w:cs="Arial"/>
        </w:rPr>
        <w:t xml:space="preserve"> Any calendar day, including Saturday, Sunday, or a holiday.</w:t>
      </w:r>
    </w:p>
    <w:p w:rsidR="00375619" w:rsidP="004A5539" w:rsidRDefault="00375619" w14:paraId="4A3B74C4" w14:textId="1A11D38D">
      <w:pPr>
        <w:pStyle w:val="Heading3"/>
        <w:keepNext w:val="0"/>
        <w:widowControl w:val="0"/>
        <w:spacing w:after="120"/>
        <w:rPr>
          <w:rFonts w:cs="Arial"/>
        </w:rPr>
      </w:pPr>
      <w:r>
        <w:rPr>
          <w:rFonts w:cs="Arial"/>
          <w:b/>
          <w:u w:val="single"/>
        </w:rPr>
        <w:t>Declared Capacity</w:t>
      </w:r>
      <w:r>
        <w:rPr>
          <w:rFonts w:cs="Arial"/>
          <w:b/>
        </w:rPr>
        <w:t>:</w:t>
      </w:r>
      <w:r>
        <w:rPr>
          <w:rFonts w:cs="Arial"/>
        </w:rPr>
        <w:t xml:space="preserve"> (</w:t>
      </w:r>
      <w:proofErr w:type="spellStart"/>
      <w:r>
        <w:rPr>
          <w:rFonts w:cs="Arial"/>
        </w:rPr>
        <w:t>i</w:t>
      </w:r>
      <w:proofErr w:type="spellEnd"/>
      <w:r>
        <w:rPr>
          <w:rFonts w:cs="Arial"/>
        </w:rPr>
        <w:t>) With respect to the Standard Seasonal Performance Periods, the Declared Standard Capacity; and (ii) with respect to the Winter Seasonal Performance Period, the Declared Winter Capacity.</w:t>
      </w:r>
    </w:p>
    <w:p w:rsidR="00330A6A" w:rsidP="004A5539" w:rsidRDefault="00330A6A" w14:paraId="59B958A5" w14:textId="2CA6C51F">
      <w:pPr>
        <w:pStyle w:val="Heading3"/>
        <w:keepNext w:val="0"/>
        <w:widowControl w:val="0"/>
        <w:spacing w:after="120"/>
        <w:rPr>
          <w:rFonts w:cs="Arial"/>
        </w:rPr>
      </w:pPr>
      <w:r>
        <w:rPr>
          <w:rFonts w:cs="Arial"/>
          <w:b/>
          <w:bCs/>
          <w:u w:val="single"/>
        </w:rPr>
        <w:t>Declared Standard Capacity</w:t>
      </w:r>
      <w:r>
        <w:rPr>
          <w:rFonts w:cs="Arial"/>
          <w:b/>
          <w:bCs/>
        </w:rPr>
        <w:t>:</w:t>
      </w:r>
      <w:r>
        <w:rPr>
          <w:rFonts w:cs="Arial"/>
        </w:rPr>
        <w:t xml:space="preserve"> Defined in, and determined in accordance with, Exhibit</w:t>
      </w:r>
      <w:r>
        <w:rPr>
          <w:rFonts w:cs="Arial"/>
          <w:b/>
        </w:rPr>
        <w:t xml:space="preserve"> </w:t>
      </w:r>
      <w:r>
        <w:rPr>
          <w:rFonts w:cs="Arial"/>
        </w:rPr>
        <w:t>B</w:t>
      </w:r>
      <w:r>
        <w:rPr>
          <w:rFonts w:cs="Arial"/>
          <w:b/>
        </w:rPr>
        <w:t xml:space="preserve"> </w:t>
      </w:r>
      <w:r>
        <w:rPr>
          <w:rFonts w:cs="Arial"/>
        </w:rPr>
        <w:t>(</w:t>
      </w:r>
      <w:r>
        <w:rPr>
          <w:rFonts w:cs="Arial"/>
          <w:i/>
        </w:rPr>
        <w:t>Capacity; Capacity Payments and Payment Reductions; Buydown</w:t>
      </w:r>
      <w:r>
        <w:rPr>
          <w:rFonts w:cs="Arial"/>
        </w:rPr>
        <w:t>), Section 1.3 (</w:t>
      </w:r>
      <w:r>
        <w:rPr>
          <w:rFonts w:cs="Arial"/>
          <w:i/>
        </w:rPr>
        <w:t>Declared Capacity</w:t>
      </w:r>
      <w:r>
        <w:rPr>
          <w:rFonts w:cs="Arial"/>
        </w:rPr>
        <w:t>).</w:t>
      </w:r>
    </w:p>
    <w:p w:rsidRPr="00375619" w:rsidR="00330A6A" w:rsidP="004A5539" w:rsidRDefault="00330A6A" w14:paraId="00272ED5" w14:textId="7FA073A7">
      <w:pPr>
        <w:pStyle w:val="Heading3"/>
        <w:keepNext w:val="0"/>
        <w:widowControl w:val="0"/>
        <w:spacing w:after="120"/>
        <w:rPr>
          <w:rFonts w:cs="Arial"/>
          <w:i/>
        </w:rPr>
      </w:pPr>
      <w:r>
        <w:rPr>
          <w:rFonts w:cs="Arial"/>
          <w:b/>
          <w:bCs/>
          <w:u w:val="single"/>
        </w:rPr>
        <w:t>Declared Winter Capacity</w:t>
      </w:r>
      <w:r>
        <w:rPr>
          <w:rFonts w:cs="Arial"/>
          <w:b/>
          <w:bCs/>
        </w:rPr>
        <w:t>:</w:t>
      </w:r>
      <w:r>
        <w:rPr>
          <w:rFonts w:cs="Arial"/>
        </w:rPr>
        <w:t xml:space="preserve"> Defined in, and determined in accordance with, Exhibit</w:t>
      </w:r>
      <w:r>
        <w:rPr>
          <w:rFonts w:cs="Arial"/>
          <w:b/>
        </w:rPr>
        <w:t xml:space="preserve"> </w:t>
      </w:r>
      <w:r>
        <w:rPr>
          <w:rFonts w:cs="Arial"/>
        </w:rPr>
        <w:t>B</w:t>
      </w:r>
      <w:r>
        <w:rPr>
          <w:rFonts w:cs="Arial"/>
          <w:b/>
        </w:rPr>
        <w:t xml:space="preserve"> </w:t>
      </w:r>
      <w:r>
        <w:rPr>
          <w:rFonts w:cs="Arial"/>
        </w:rPr>
        <w:t>(</w:t>
      </w:r>
      <w:r>
        <w:rPr>
          <w:rFonts w:cs="Arial"/>
          <w:i/>
        </w:rPr>
        <w:t>Capacity; Capacity Payments and Payment Reductions; Buydown</w:t>
      </w:r>
      <w:r>
        <w:rPr>
          <w:rFonts w:cs="Arial"/>
        </w:rPr>
        <w:t>), Section 1.3 (</w:t>
      </w:r>
      <w:r>
        <w:rPr>
          <w:rFonts w:cs="Arial"/>
          <w:i/>
        </w:rPr>
        <w:t>Declared Capacity</w:t>
      </w:r>
      <w:r>
        <w:rPr>
          <w:rFonts w:cs="Arial"/>
        </w:rPr>
        <w:t>).</w:t>
      </w:r>
    </w:p>
    <w:p w:rsidR="43ED9A49" w:rsidP="54C72364" w:rsidRDefault="43ED9A49" w14:paraId="0604CB88" w14:textId="0E1C5046">
      <w:pPr>
        <w:pStyle w:val="Heading3"/>
        <w:keepNext w:val="0"/>
        <w:widowControl w:val="0"/>
        <w:spacing w:after="120"/>
        <w:rPr>
          <w:rFonts w:cs="Arial"/>
        </w:rPr>
      </w:pPr>
      <w:r>
        <w:rPr>
          <w:rFonts w:cs="Arial"/>
          <w:b/>
          <w:bCs/>
          <w:u w:val="single"/>
        </w:rPr>
        <w:t>Defaulting Party</w:t>
      </w:r>
      <w:r>
        <w:rPr>
          <w:rFonts w:cs="Arial"/>
          <w:b/>
          <w:bCs/>
        </w:rPr>
        <w:t xml:space="preserve">: </w:t>
      </w:r>
      <w:r>
        <w:rPr>
          <w:rFonts w:cs="Arial"/>
        </w:rPr>
        <w:t>Defined in Section 16.3.1 (</w:t>
      </w:r>
      <w:r>
        <w:rPr>
          <w:rFonts w:cs="Arial"/>
          <w:i/>
        </w:rPr>
        <w:t>Remedies for Event of Default</w:t>
      </w:r>
      <w:r>
        <w:rPr>
          <w:rFonts w:cs="Arial"/>
        </w:rPr>
        <w:t>).</w:t>
      </w:r>
    </w:p>
    <w:p w:rsidRPr="00F10071" w:rsidR="00D96326" w:rsidP="004A5539" w:rsidRDefault="00D96326" w14:paraId="6EF5ACF2" w14:textId="18223740">
      <w:pPr>
        <w:pStyle w:val="Heading3"/>
        <w:keepNext w:val="0"/>
        <w:widowControl w:val="0"/>
        <w:spacing w:after="120"/>
        <w:rPr>
          <w:rFonts w:cs="Arial"/>
        </w:rPr>
      </w:pPr>
      <w:r>
        <w:rPr>
          <w:rFonts w:cs="Arial"/>
          <w:b/>
          <w:bCs/>
          <w:u w:val="single"/>
        </w:rPr>
        <w:t>Delivered Energy</w:t>
      </w:r>
      <w:r>
        <w:rPr>
          <w:rFonts w:cs="Arial"/>
          <w:b/>
        </w:rPr>
        <w:t>:</w:t>
      </w:r>
      <w:r>
        <w:rPr>
          <w:rFonts w:cs="Arial"/>
          <w:bCs/>
        </w:rPr>
        <w:t xml:space="preserve"> </w:t>
      </w:r>
      <w:r>
        <w:rPr>
          <w:rFonts w:eastAsia="Times New Roman" w:cs="Arial"/>
        </w:rPr>
        <w:t>For any Hour, the quantity of energy (expressed in MWh) delivered by Seller to the Point of Delivery in accordance with GPC’s Schedule, excluding test energy and including ramp energy delivered to GPC at the Point of Delivery</w:t>
      </w:r>
      <w:r>
        <w:rPr>
          <w:rFonts w:cs="Arial"/>
          <w:bCs/>
        </w:rPr>
        <w:t>.</w:t>
      </w:r>
    </w:p>
    <w:p w:rsidR="009127EE" w:rsidRDefault="00D96326" w14:paraId="1365FE03" w14:textId="77777777">
      <w:pPr>
        <w:pStyle w:val="Heading3"/>
        <w:keepNext w:val="0"/>
        <w:widowControl w:val="0"/>
        <w:spacing w:after="120"/>
        <w:rPr>
          <w:rFonts w:cs="Arial"/>
        </w:rPr>
      </w:pPr>
      <w:r>
        <w:rPr>
          <w:rFonts w:cs="Arial"/>
          <w:b/>
          <w:u w:val="single"/>
        </w:rPr>
        <w:t>Delivery Commencement Date</w:t>
      </w:r>
      <w:r>
        <w:rPr>
          <w:rFonts w:cs="Arial"/>
          <w:b/>
        </w:rPr>
        <w:t>:</w:t>
      </w:r>
      <w:r>
        <w:rPr>
          <w:rFonts w:cs="Arial"/>
        </w:rPr>
        <w:t xml:space="preserve"> The Commercial Operation Date, except that the Delivery Commencement Date may not be more than nine Months before the </w:t>
      </w:r>
      <w:r w:rsidR="00936B68">
        <w:rPr>
          <w:rFonts w:cs="Arial"/>
        </w:rPr>
        <w:t>RCOD</w:t>
      </w:r>
      <w:r>
        <w:rPr>
          <w:rFonts w:cs="Arial"/>
        </w:rPr>
        <w:t xml:space="preserve">. If Commercial Operation occurs more than nine Months before the </w:t>
      </w:r>
      <w:r w:rsidR="00FC1F4D">
        <w:rPr>
          <w:rFonts w:cs="Arial"/>
        </w:rPr>
        <w:t>RCOD</w:t>
      </w:r>
      <w:r>
        <w:rPr>
          <w:rFonts w:cs="Arial"/>
        </w:rPr>
        <w:t xml:space="preserve">, the Delivery Commencement Date will be the date that is nine months before RCOD. </w:t>
      </w:r>
      <w:r>
        <w:rPr>
          <w:rFonts w:cs="Arial"/>
          <w:b/>
          <w:iCs w:val="0"/>
          <w:highlight w:val="cyan"/>
        </w:rPr>
        <w:t>[</w:t>
      </w:r>
      <w:r>
        <w:rPr>
          <w:b/>
          <w:bCs/>
          <w:i/>
          <w:iCs w:val="0"/>
          <w:highlight w:val="cyan"/>
          <w:u w:val="single"/>
        </w:rPr>
        <w:t>Note to Bidders</w:t>
      </w:r>
      <w:r>
        <w:rPr>
          <w:rFonts w:cs="Arial"/>
          <w:b/>
          <w:i/>
          <w:iCs w:val="0"/>
          <w:highlight w:val="cyan"/>
        </w:rPr>
        <w:t>: For any Month before the Delivery Commencement Date, Exhibit B (Capacity; Capacity Payments and Payment Reductions; Buydown) provides that Monthly Capacity Payments are not owed to Seller, and Monthly Energy Payments are as set forth in Exhibit C (Energy Payment Calculation).</w:t>
      </w:r>
      <w:r>
        <w:rPr>
          <w:rFonts w:cs="Arial"/>
          <w:b/>
          <w:iCs w:val="0"/>
          <w:highlight w:val="cyan"/>
        </w:rPr>
        <w:t>]</w:t>
      </w:r>
      <w:r>
        <w:rPr>
          <w:rFonts w:cs="Arial"/>
        </w:rPr>
        <w:t xml:space="preserve"> </w:t>
      </w:r>
    </w:p>
    <w:p w:rsidR="00F646FB" w:rsidRDefault="006111DB" w14:paraId="43E7963D" w14:textId="0D51BA55">
      <w:pPr>
        <w:pStyle w:val="Heading3"/>
        <w:keepNext w:val="0"/>
        <w:widowControl w:val="0"/>
        <w:spacing w:after="120"/>
        <w:rPr>
          <w:rFonts w:cs="Arial"/>
        </w:rPr>
      </w:pPr>
      <w:r>
        <w:rPr>
          <w:rFonts w:cs="Arial"/>
          <w:b/>
          <w:bCs/>
          <w:u w:val="single"/>
        </w:rPr>
        <w:t>Dispute Response</w:t>
      </w:r>
      <w:r>
        <w:rPr>
          <w:rFonts w:cs="Arial"/>
          <w:b/>
          <w:bCs/>
        </w:rPr>
        <w:t>:</w:t>
      </w:r>
      <w:r>
        <w:rPr>
          <w:rFonts w:cs="Arial"/>
        </w:rPr>
        <w:t xml:space="preserve"> Defined in Section 19.1 (</w:t>
      </w:r>
      <w:r>
        <w:rPr>
          <w:rFonts w:cs="Arial"/>
          <w:i/>
        </w:rPr>
        <w:t>Notice of Dispute; Dispute Resolution Process</w:t>
      </w:r>
      <w:r>
        <w:rPr>
          <w:rFonts w:cs="Arial"/>
        </w:rPr>
        <w:t>).</w:t>
      </w:r>
    </w:p>
    <w:p w:rsidR="709B6F82" w:rsidP="54C72364" w:rsidRDefault="709B6F82" w14:paraId="2990205B" w14:textId="08BCF494">
      <w:pPr>
        <w:pStyle w:val="Heading3"/>
        <w:keepNext w:val="0"/>
        <w:widowControl w:val="0"/>
        <w:spacing w:after="120"/>
        <w:rPr>
          <w:rFonts w:cs="Arial"/>
        </w:rPr>
      </w:pPr>
      <w:r>
        <w:rPr>
          <w:rFonts w:cs="Arial"/>
          <w:b/>
          <w:bCs/>
          <w:u w:val="single"/>
        </w:rPr>
        <w:t>Disputing Party</w:t>
      </w:r>
      <w:r>
        <w:rPr>
          <w:rFonts w:cs="Arial"/>
          <w:b/>
          <w:bCs/>
        </w:rPr>
        <w:t>:</w:t>
      </w:r>
      <w:r>
        <w:rPr>
          <w:rFonts w:cs="Arial"/>
        </w:rPr>
        <w:t xml:space="preserve"> Defined in Section 19.1 (</w:t>
      </w:r>
      <w:r>
        <w:rPr>
          <w:rFonts w:cs="Arial"/>
          <w:i/>
        </w:rPr>
        <w:t>Notice of Dispute; Dispute Resolution Process</w:t>
      </w:r>
      <w:r>
        <w:rPr>
          <w:rFonts w:cs="Arial"/>
        </w:rPr>
        <w:t>).</w:t>
      </w:r>
    </w:p>
    <w:p w:rsidR="709B6F82" w:rsidP="54C72364" w:rsidRDefault="709B6F82" w14:paraId="1399B5EF" w14:textId="1BB74672">
      <w:pPr>
        <w:pStyle w:val="Heading3"/>
        <w:keepNext w:val="0"/>
        <w:widowControl w:val="0"/>
        <w:spacing w:after="120"/>
        <w:rPr>
          <w:rFonts w:cs="Arial"/>
        </w:rPr>
      </w:pPr>
      <w:r>
        <w:rPr>
          <w:rFonts w:cs="Arial"/>
          <w:b/>
          <w:bCs/>
          <w:u w:val="single"/>
        </w:rPr>
        <w:lastRenderedPageBreak/>
        <w:t>Early Termination Date</w:t>
      </w:r>
      <w:r>
        <w:rPr>
          <w:rFonts w:cs="Arial"/>
          <w:b/>
          <w:bCs/>
        </w:rPr>
        <w:t>:</w:t>
      </w:r>
      <w:r>
        <w:rPr>
          <w:rFonts w:cs="Arial"/>
        </w:rPr>
        <w:t xml:space="preserve"> Defined in Section 16.3.1 (</w:t>
      </w:r>
      <w:r>
        <w:rPr>
          <w:rFonts w:cs="Arial"/>
          <w:i/>
        </w:rPr>
        <w:t>Remedies for Event of Default</w:t>
      </w:r>
      <w:r>
        <w:rPr>
          <w:rFonts w:cs="Arial"/>
        </w:rPr>
        <w:t>).</w:t>
      </w:r>
    </w:p>
    <w:p w:rsidR="00D96326" w:rsidP="004A5539" w:rsidRDefault="00D96326" w14:paraId="7C1BD312" w14:textId="77777777">
      <w:pPr>
        <w:pStyle w:val="Heading3"/>
        <w:keepNext w:val="0"/>
        <w:widowControl w:val="0"/>
        <w:spacing w:after="120"/>
        <w:rPr>
          <w:rFonts w:cs="Arial"/>
        </w:rPr>
      </w:pPr>
      <w:r>
        <w:rPr>
          <w:rFonts w:cs="Arial"/>
          <w:b/>
          <w:bCs/>
          <w:u w:val="single"/>
        </w:rPr>
        <w:t>Eastern Time (ET)</w:t>
      </w:r>
      <w:r>
        <w:rPr>
          <w:rFonts w:cs="Arial"/>
          <w:b/>
          <w:bCs/>
        </w:rPr>
        <w:t xml:space="preserve">: </w:t>
      </w:r>
      <w:r>
        <w:rPr>
          <w:rFonts w:cs="Arial" w:eastAsiaTheme="minorEastAsia"/>
          <w:color w:val="000000" w:themeColor="text1"/>
        </w:rPr>
        <w:t>The time in the easternmost time zone of the United States, considering daylight savings time if it is in effect (i.e., Eastern Standard Time (EST) or Eastern Daylight Time (EDT), as applicable)</w:t>
      </w:r>
      <w:r>
        <w:rPr>
          <w:rFonts w:cs="Arial"/>
        </w:rPr>
        <w:t>.</w:t>
      </w:r>
    </w:p>
    <w:p w:rsidR="00D96326" w:rsidP="004A5539" w:rsidRDefault="00D96326" w14:paraId="527D4F8D" w14:textId="23F5D7B9">
      <w:pPr>
        <w:pStyle w:val="Heading3"/>
        <w:keepNext w:val="0"/>
        <w:widowControl w:val="0"/>
        <w:spacing w:after="120"/>
        <w:rPr>
          <w:rFonts w:cs="Arial"/>
        </w:rPr>
      </w:pPr>
      <w:r>
        <w:rPr>
          <w:rFonts w:cs="Arial"/>
          <w:b/>
          <w:u w:val="single"/>
        </w:rPr>
        <w:t>Effective Date</w:t>
      </w:r>
      <w:r>
        <w:rPr>
          <w:rFonts w:cs="Arial"/>
          <w:b/>
        </w:rPr>
        <w:t>:</w:t>
      </w:r>
      <w:r>
        <w:rPr>
          <w:rFonts w:cs="Arial"/>
          <w:bCs/>
        </w:rPr>
        <w:t xml:space="preserve"> The date of full execution of this PPA, which will be the date on which GPC signs this PPA, as shown on the signature page.</w:t>
      </w:r>
    </w:p>
    <w:p w:rsidR="269B77DC" w:rsidP="54C72364" w:rsidRDefault="269B77DC" w14:paraId="39B5BD5F" w14:textId="4E11A4D6">
      <w:pPr>
        <w:pStyle w:val="Heading3"/>
        <w:keepNext w:val="0"/>
        <w:widowControl w:val="0"/>
        <w:spacing w:after="120"/>
        <w:rPr>
          <w:rFonts w:cs="Arial"/>
        </w:rPr>
      </w:pPr>
      <w:r>
        <w:rPr>
          <w:rFonts w:cs="Arial"/>
          <w:b/>
          <w:bCs/>
          <w:u w:val="single"/>
        </w:rPr>
        <w:t>Effective Date Accounting Standards</w:t>
      </w:r>
      <w:r>
        <w:rPr>
          <w:rFonts w:cs="Arial"/>
          <w:b/>
          <w:bCs/>
        </w:rPr>
        <w:t>:</w:t>
      </w:r>
      <w:r>
        <w:rPr>
          <w:rFonts w:cs="Arial"/>
        </w:rPr>
        <w:t xml:space="preserve"> Defined in Section 2.1.8(</w:t>
      </w:r>
      <w:proofErr w:type="spellStart"/>
      <w:r>
        <w:rPr>
          <w:rFonts w:cs="Arial"/>
        </w:rPr>
        <w:t>i</w:t>
      </w:r>
      <w:proofErr w:type="spellEnd"/>
      <w:r>
        <w:rPr>
          <w:rFonts w:cs="Arial"/>
        </w:rPr>
        <w:t>) (</w:t>
      </w:r>
      <w:r>
        <w:rPr>
          <w:rFonts w:cs="Arial"/>
          <w:i/>
        </w:rPr>
        <w:t>VIE Certification</w:t>
      </w:r>
      <w:r>
        <w:rPr>
          <w:rFonts w:cs="Arial"/>
        </w:rPr>
        <w:t>).</w:t>
      </w:r>
    </w:p>
    <w:p w:rsidRPr="00023F37" w:rsidR="00D96326" w:rsidP="004A5539" w:rsidRDefault="00D96326" w14:paraId="2C61B15C" w14:textId="77777777">
      <w:pPr>
        <w:pStyle w:val="Heading3"/>
        <w:keepNext w:val="0"/>
        <w:widowControl w:val="0"/>
        <w:spacing w:after="120"/>
        <w:rPr>
          <w:rFonts w:cs="Arial"/>
          <w:bCs/>
          <w:u w:val="single"/>
        </w:rPr>
      </w:pPr>
      <w:r>
        <w:rPr>
          <w:rFonts w:cs="Arial"/>
          <w:b/>
          <w:u w:val="single"/>
        </w:rPr>
        <w:t>Electric System</w:t>
      </w:r>
      <w:r>
        <w:rPr>
          <w:rFonts w:cs="Arial"/>
          <w:b/>
        </w:rPr>
        <w:t>:</w:t>
      </w:r>
      <w:r>
        <w:rPr>
          <w:rFonts w:cs="Arial"/>
          <w:bCs/>
        </w:rPr>
        <w:t xml:space="preserve"> The network of electric generation, transmission, or distribution facilities owned or operated by GPC or other electric utilities.</w:t>
      </w:r>
    </w:p>
    <w:p w:rsidRPr="00CE2D02" w:rsidR="00D96326" w:rsidP="004A5539" w:rsidRDefault="00D96326" w14:paraId="3ADDE7CB" w14:textId="217AB6B8">
      <w:pPr>
        <w:pStyle w:val="Heading3"/>
        <w:keepNext w:val="0"/>
        <w:widowControl w:val="0"/>
        <w:spacing w:after="120"/>
        <w:rPr>
          <w:rFonts w:cs="Arial"/>
        </w:rPr>
      </w:pPr>
      <w:r>
        <w:rPr>
          <w:rFonts w:cs="Arial"/>
          <w:b/>
          <w:u w:val="single"/>
        </w:rPr>
        <w:t>Electrical Products</w:t>
      </w:r>
      <w:r>
        <w:rPr>
          <w:rFonts w:cs="Arial"/>
          <w:b/>
        </w:rPr>
        <w:t>:</w:t>
      </w:r>
      <w:r>
        <w:rPr>
          <w:rFonts w:cs="Arial"/>
        </w:rPr>
        <w:t xml:space="preserve"> All electrical products produced by or related to the </w:t>
      </w:r>
      <w:r w:rsidR="00DD475A">
        <w:rPr>
          <w:rFonts w:cs="Arial"/>
        </w:rPr>
        <w:t>Facility</w:t>
      </w:r>
      <w:r>
        <w:rPr>
          <w:rFonts w:cs="Arial"/>
        </w:rPr>
        <w:t xml:space="preserve">, including spinning reserves, operating reserves, black start capability, balancing energy, regulation service, ramping capability, reactive power and voltage control, frequency control, and other ancillary or essential reliability service products. Electrical Products also include any benefit GPC otherwise would have realized from or related to the </w:t>
      </w:r>
      <w:r w:rsidR="00DD475A">
        <w:rPr>
          <w:rFonts w:cs="Arial"/>
        </w:rPr>
        <w:t xml:space="preserve">Facility </w:t>
      </w:r>
      <w:r>
        <w:rPr>
          <w:rFonts w:cs="Arial"/>
        </w:rPr>
        <w:t xml:space="preserve">if GPC, rather than Seller, had constructed, owned, or operated the </w:t>
      </w:r>
      <w:r w:rsidR="00DD475A">
        <w:rPr>
          <w:rFonts w:cs="Arial"/>
        </w:rPr>
        <w:t>Facility</w:t>
      </w:r>
      <w:r>
        <w:rPr>
          <w:rFonts w:cs="Arial"/>
        </w:rPr>
        <w:t xml:space="preserve">, it being the Parties’ intent that all those benefits and entitlements, in addition to electrical output, that flow from construction, ownership, or operation of the </w:t>
      </w:r>
      <w:r w:rsidR="00DD475A">
        <w:rPr>
          <w:rFonts w:cs="Arial"/>
        </w:rPr>
        <w:t>Facility</w:t>
      </w:r>
      <w:r>
        <w:rPr>
          <w:rFonts w:cs="Arial"/>
        </w:rPr>
        <w:t>, whether existing as of the Effective Date or at any time during the Term, will belong to GPC, at no additional cost to GPC. Electrical Products do not include: (</w:t>
      </w:r>
      <w:proofErr w:type="spellStart"/>
      <w:r>
        <w:rPr>
          <w:rFonts w:cs="Arial"/>
        </w:rPr>
        <w:t>i</w:t>
      </w:r>
      <w:proofErr w:type="spellEnd"/>
      <w:r>
        <w:rPr>
          <w:rFonts w:cs="Arial"/>
        </w:rPr>
        <w:t xml:space="preserve">) any federal, state, or local tax attribute arising from ownership of the </w:t>
      </w:r>
      <w:r w:rsidR="00DD475A">
        <w:rPr>
          <w:rFonts w:cs="Arial"/>
        </w:rPr>
        <w:t>Facility</w:t>
      </w:r>
      <w:r>
        <w:rPr>
          <w:rFonts w:cs="Arial"/>
        </w:rPr>
        <w:t>, including investment tax credit (ITC), production tax credit (PTC), or depreciation deduction</w:t>
      </w:r>
      <w:r w:rsidR="00A07046">
        <w:rPr>
          <w:rFonts w:cs="Arial"/>
        </w:rPr>
        <w:t>s</w:t>
      </w:r>
      <w:r>
        <w:rPr>
          <w:rFonts w:cs="Arial"/>
        </w:rPr>
        <w:t>; (ii) any grant in lieu of</w:t>
      </w:r>
      <w:r w:rsidR="00AD2543">
        <w:rPr>
          <w:rFonts w:cs="Arial"/>
        </w:rPr>
        <w:t xml:space="preserve"> investment tax credit</w:t>
      </w:r>
      <w:r>
        <w:rPr>
          <w:rFonts w:cs="Arial"/>
        </w:rPr>
        <w:t xml:space="preserve"> or any similar financial payment or grant regarding the </w:t>
      </w:r>
      <w:r w:rsidR="00DD475A">
        <w:rPr>
          <w:rFonts w:cs="Arial"/>
        </w:rPr>
        <w:t>Facility</w:t>
      </w:r>
      <w:r>
        <w:rPr>
          <w:rFonts w:cs="Arial"/>
        </w:rPr>
        <w:t xml:space="preserve">; or (iii) the metered electric energy produced by the </w:t>
      </w:r>
      <w:r w:rsidR="00DD475A">
        <w:rPr>
          <w:rFonts w:cs="Arial"/>
        </w:rPr>
        <w:t>Facility</w:t>
      </w:r>
      <w:r>
        <w:rPr>
          <w:rFonts w:cs="Arial"/>
        </w:rPr>
        <w:t>.</w:t>
      </w:r>
    </w:p>
    <w:p w:rsidRPr="00CE2D02" w:rsidR="00D96326" w:rsidP="004A5539" w:rsidRDefault="00D96326" w14:paraId="6E123A9F" w14:textId="48296A4C">
      <w:pPr>
        <w:pStyle w:val="Heading3"/>
        <w:keepNext w:val="0"/>
        <w:widowControl w:val="0"/>
        <w:spacing w:after="120"/>
        <w:rPr>
          <w:rFonts w:cs="Arial"/>
        </w:rPr>
      </w:pPr>
      <w:r>
        <w:rPr>
          <w:rFonts w:cs="Arial"/>
          <w:b/>
          <w:u w:val="single"/>
        </w:rPr>
        <w:t>Eligible Collateral</w:t>
      </w:r>
      <w:r>
        <w:rPr>
          <w:rFonts w:cs="Arial"/>
          <w:b/>
        </w:rPr>
        <w:t>:</w:t>
      </w:r>
      <w:r>
        <w:rPr>
          <w:rFonts w:cs="Arial"/>
        </w:rPr>
        <w:t xml:space="preserve"> Either: (</w:t>
      </w:r>
      <w:proofErr w:type="spellStart"/>
      <w:r>
        <w:rPr>
          <w:rFonts w:cs="Arial"/>
        </w:rPr>
        <w:t>i</w:t>
      </w:r>
      <w:proofErr w:type="spellEnd"/>
      <w:r>
        <w:rPr>
          <w:rFonts w:cs="Arial"/>
        </w:rPr>
        <w:t xml:space="preserve">) a Letter of Credit, (ii) cash deposited into a GPC Security Account by Seller, or (iii) a Seller Guaranty. However, at least 50% of any Eligible Collateral required under any provision of this PPA must be in the form of either a Letter of Credit or cash deposited into a GPC Security Account, whenever a Seller Guarantor supplying a Seller Guaranty under this PPA has an investment grade rating such that its senior unsecured debt (or issuer rating if such Person has no senior unsecured debt rating) is not rated at least: (a) BBB by S&amp;P, if rated by S&amp;P, (b) Baa2 by Moody’s, if rated by Moody’s, and (c) BBB by Fitch, if rated by Fitch. For the purposes of the immediately preceding sentence, a Person is not required to have a senior unsecured debt rating (or issuer rating if such Person has no senior unsecured debt rating) from each of S&amp;P, Moody’s and Fitch, but must have the requisite senior unsecured debt rating (or issuer rating if such Person has no senior unsecured debt rating) as set forth above from </w:t>
      </w:r>
      <w:r>
        <w:rPr>
          <w:rFonts w:eastAsia="Calibri" w:cs="Arial"/>
        </w:rPr>
        <w:t>at least two of the three Rating Agencies</w:t>
      </w:r>
      <w:r>
        <w:rPr>
          <w:rFonts w:cs="Arial"/>
        </w:rPr>
        <w:t>.</w:t>
      </w:r>
    </w:p>
    <w:p w:rsidRPr="00CE2D02" w:rsidR="00D96326" w:rsidP="004A5539" w:rsidRDefault="00D96326" w14:paraId="4C5FEAD5" w14:textId="7D2B67F4">
      <w:pPr>
        <w:pStyle w:val="Heading3"/>
        <w:keepNext w:val="0"/>
        <w:widowControl w:val="0"/>
        <w:spacing w:after="120"/>
        <w:rPr>
          <w:rFonts w:cs="Arial"/>
        </w:rPr>
      </w:pPr>
      <w:r>
        <w:rPr>
          <w:rFonts w:cs="Arial"/>
          <w:b/>
          <w:bCs/>
          <w:u w:val="single"/>
        </w:rPr>
        <w:t>Energy Price</w:t>
      </w:r>
      <w:r>
        <w:rPr>
          <w:rFonts w:cs="Arial"/>
          <w:b/>
          <w:bCs/>
        </w:rPr>
        <w:t>:</w:t>
      </w:r>
      <w:r>
        <w:rPr>
          <w:rFonts w:cs="Arial"/>
          <w:bCs/>
        </w:rPr>
        <w:t xml:space="preserve"> Defined in, and determined in accordance with, </w:t>
      </w:r>
      <w:r>
        <w:rPr>
          <w:rFonts w:cs="Arial"/>
        </w:rPr>
        <w:t>Exhibit B (</w:t>
      </w:r>
      <w:r>
        <w:rPr>
          <w:rFonts w:cs="Arial"/>
          <w:i/>
        </w:rPr>
        <w:t>Capacity; Capacity Payments and Payment Reductions; Buydown</w:t>
      </w:r>
      <w:r>
        <w:rPr>
          <w:rFonts w:cs="Arial"/>
        </w:rPr>
        <w:t>)</w:t>
      </w:r>
      <w:r>
        <w:rPr>
          <w:rFonts w:cs="Arial"/>
          <w:i/>
        </w:rPr>
        <w:t xml:space="preserve"> </w:t>
      </w:r>
      <w:r>
        <w:rPr>
          <w:rFonts w:cs="Arial"/>
        </w:rPr>
        <w:t>Section 4.1 (</w:t>
      </w:r>
      <w:r>
        <w:rPr>
          <w:rFonts w:cs="Arial"/>
          <w:i/>
        </w:rPr>
        <w:t>Calculation of Replacement Costs</w:t>
      </w:r>
      <w:r>
        <w:rPr>
          <w:rFonts w:cs="Arial"/>
        </w:rPr>
        <w:t>).</w:t>
      </w:r>
    </w:p>
    <w:p w:rsidRPr="00F10071" w:rsidR="00D96326" w:rsidP="004A5539" w:rsidRDefault="00D96326" w14:paraId="16C0DE00" w14:textId="139BD0DF">
      <w:pPr>
        <w:pStyle w:val="Heading3"/>
        <w:keepNext w:val="0"/>
        <w:widowControl w:val="0"/>
        <w:spacing w:after="120"/>
        <w:rPr>
          <w:rFonts w:cs="Arial"/>
        </w:rPr>
      </w:pPr>
      <w:r>
        <w:rPr>
          <w:rFonts w:cs="Arial"/>
          <w:b/>
          <w:u w:val="single"/>
        </w:rPr>
        <w:t>Environmental Attributes</w:t>
      </w:r>
      <w:r>
        <w:rPr>
          <w:rFonts w:cs="Arial"/>
          <w:b/>
        </w:rPr>
        <w:t>:</w:t>
      </w:r>
      <w:r>
        <w:rPr>
          <w:rFonts w:cs="Arial"/>
        </w:rPr>
        <w:t xml:space="preserve"> Either: (</w:t>
      </w:r>
      <w:proofErr w:type="spellStart"/>
      <w:r>
        <w:rPr>
          <w:rFonts w:cs="Arial"/>
        </w:rPr>
        <w:t>i</w:t>
      </w:r>
      <w:proofErr w:type="spellEnd"/>
      <w:r>
        <w:rPr>
          <w:rFonts w:cs="Arial"/>
        </w:rPr>
        <w:t xml:space="preserve">) all fuel-related, emissions-related, air quality-related, or other environmental-related aspects, claims, characteristics, benefits, credits (including RECs), reductions, offsets, savings, allowances, efficiencies, certificates, tags, attributes, demand reductions, or similar products or rights (including all of those relating to greenhouse gases and all green certificates, green tags, renewable certificates, RECs, CO2 credits, and emission reduction credits, and all those that otherwise arise or result from the generation of energy from </w:t>
      </w:r>
      <w:r w:rsidR="003338A3">
        <w:rPr>
          <w:rFonts w:cs="Arial"/>
        </w:rPr>
        <w:t xml:space="preserve">a </w:t>
      </w:r>
      <w:r>
        <w:rPr>
          <w:rFonts w:cs="Arial"/>
        </w:rPr>
        <w:t xml:space="preserve">Unit, and all those arising or resulting from the existence of </w:t>
      </w:r>
      <w:r w:rsidR="003338A3">
        <w:rPr>
          <w:rFonts w:cs="Arial"/>
        </w:rPr>
        <w:t xml:space="preserve">a </w:t>
      </w:r>
      <w:r>
        <w:rPr>
          <w:rFonts w:cs="Arial"/>
        </w:rPr>
        <w:t>Unit): (a) howsoever titled and whether known or unknown; (b) whether existing as of the Effective Date or at any time during the Term; and (c) whether the Environmental Attributes have been certified or verified under any renewable standard</w:t>
      </w:r>
      <w:r>
        <w:rPr>
          <w:rFonts w:cs="Arial" w:eastAsiaTheme="minorEastAsia"/>
          <w:color w:val="000000" w:themeColor="text1"/>
        </w:rPr>
        <w:t>, including all those that could qualify or do qualify for application toward compliance with any local, state, federal or international renewable energy portfolio standard, green pricing program, renewable energy program, carbon reduction or greenhouse gas reduction initiative, electricity savings program, or other environmental program, incentive, mandate, or objective, in each case whether voluntary or mandatory</w:t>
      </w:r>
      <w:r>
        <w:rPr>
          <w:rFonts w:cs="Arial"/>
        </w:rPr>
        <w:t xml:space="preserve">; or (ii) all environmental benefits GPC otherwise would have realized from or related to </w:t>
      </w:r>
      <w:r w:rsidR="003338A3">
        <w:rPr>
          <w:rFonts w:cs="Arial"/>
        </w:rPr>
        <w:t xml:space="preserve">a </w:t>
      </w:r>
      <w:r>
        <w:rPr>
          <w:rFonts w:cs="Arial"/>
        </w:rPr>
        <w:t xml:space="preserve">Unit if GPC rather than Seller had constructed, owned, or operated the Unit, as applicable. Environmental Attributes do not include: (I) any federal, state, or local tax attribute arising from ownership of </w:t>
      </w:r>
      <w:r w:rsidR="003338A3">
        <w:rPr>
          <w:rFonts w:cs="Arial"/>
        </w:rPr>
        <w:t xml:space="preserve">a </w:t>
      </w:r>
      <w:r>
        <w:rPr>
          <w:rFonts w:cs="Arial"/>
        </w:rPr>
        <w:t>Unit, including any investment tax credit (ITC), production tax credit (PTC), or depreciation deduction; (II) any grant in lieu of ITC or any similar financial payment or grant regarding the Unit; or (III) the metered electric energy produced by the Unit.</w:t>
      </w:r>
    </w:p>
    <w:p w:rsidR="00D96326" w:rsidP="004A5539" w:rsidRDefault="00D96326" w14:paraId="001159B4" w14:textId="0198B4A1">
      <w:pPr>
        <w:pStyle w:val="Heading3"/>
        <w:keepNext w:val="0"/>
        <w:widowControl w:val="0"/>
        <w:spacing w:after="120"/>
        <w:rPr>
          <w:u w:color="0000FF"/>
        </w:rPr>
      </w:pPr>
      <w:r>
        <w:rPr>
          <w:b/>
          <w:bCs/>
          <w:u w:val="single" w:color="0000FF"/>
        </w:rPr>
        <w:t>Environmental Law</w:t>
      </w:r>
      <w:r>
        <w:rPr>
          <w:b/>
          <w:bCs/>
          <w:u w:color="0000FF"/>
        </w:rPr>
        <w:t>:</w:t>
      </w:r>
      <w:r>
        <w:rPr>
          <w:u w:color="0000FF"/>
        </w:rPr>
        <w:t xml:space="preserve"> Any applicable law that relates to pollution, occupational safety, protection of occupational health, or the protection of the environment, including; (a) the Comprehensive Environmental Response, Compensation and Liability Act, 42 U.S.C. § 9601 et seq; (b) the Resource Conservation and Recovery Act, 42 U.S.C. § 6901 et seq.; (c) the Federal Water Pollution Control Act, 33 U.S.C. § 1251 et seq.; (d) the Clean Air Act, 42 U.S.C. § 7401 et seq.; (e) the Hazardous Materials Transportation Authorization Act of 1994, 49 U.S.C. § 5101 et seq.; (f) the Toxic Substances Control Act, 15 U.S.C. §§ 2601 through 2629; (g) the Oil Pollution Act, 33 U.S.C. </w:t>
      </w:r>
      <w:r>
        <w:rPr>
          <w:u w:color="0000FF"/>
        </w:rPr>
        <w:lastRenderedPageBreak/>
        <w:t>§ 2701 et seq.; (h) the Emergency Planning and Community Right-to-Know Act, 42 U.S.C. § 11001 et seq.; (</w:t>
      </w:r>
      <w:proofErr w:type="spellStart"/>
      <w:r>
        <w:rPr>
          <w:u w:color="0000FF"/>
        </w:rPr>
        <w:t>i</w:t>
      </w:r>
      <w:proofErr w:type="spellEnd"/>
      <w:r>
        <w:rPr>
          <w:u w:color="0000FF"/>
        </w:rPr>
        <w:t>) the Safe Drinking Water Act, 42 U.S.C. §§ 300f through 300j; (j) the Federal Insecticide, Fungicide, &amp; Rodenticide Act, 7 U.S.C. § 136 et seq.; (k) the Endangered Species Act, 16 U.S.C. § 1531 et seq.; (l) the Clean Water Act, 33 U.S.C. § 1251 et seq.; (m) National Environmental Policy Act, 42 U.S.C. § 55 et seq.; (n) the Migratory Bird Treaty Act, 16 U.S.C. § 703 et seq.; (o) the Bald and Golden Eagle Protection Act; (p) Archeological Resources Protection Act, 16 U.S.C. § 470aa et seq.; (q) National Historic Preservation Act, 54 U.S.C. § 300101 et seq.; and (r) state or local equivalents to items (a) through (q). However, the term “Environmental Law” does not include any law relating to worker health or safety matters to the extent not related to human exposure to hazardous or toxic materials, wastes, or substances.</w:t>
      </w:r>
    </w:p>
    <w:p w:rsidRPr="001056D5" w:rsidR="003C6A56" w:rsidP="004A5539" w:rsidRDefault="003C6A56" w14:paraId="7292D77C" w14:textId="7DABE314">
      <w:pPr>
        <w:pStyle w:val="Heading3"/>
        <w:keepNext w:val="0"/>
        <w:widowControl w:val="0"/>
        <w:spacing w:after="120"/>
        <w:rPr>
          <w:rFonts w:cs="Arial"/>
        </w:rPr>
      </w:pPr>
      <w:r w:rsidRPr="003C6A56">
        <w:rPr>
          <w:b/>
          <w:bCs/>
          <w:u w:val="single"/>
        </w:rPr>
        <w:t>Environmental Recommendations</w:t>
      </w:r>
      <w:r>
        <w:rPr>
          <w:u w:color="0000FF"/>
        </w:rPr>
        <w:t>: Defined in Section 17.5.2 (</w:t>
      </w:r>
      <w:r w:rsidRPr="003C6A56">
        <w:rPr>
          <w:i/>
          <w:iCs w:val="0"/>
          <w:u w:color="0000FF"/>
        </w:rPr>
        <w:t>Environmental Recommendations</w:t>
      </w:r>
      <w:r>
        <w:rPr>
          <w:u w:color="0000FF"/>
        </w:rPr>
        <w:t>).</w:t>
      </w:r>
    </w:p>
    <w:p w:rsidRPr="00F10071" w:rsidR="00D96326" w:rsidP="004A5539" w:rsidRDefault="00D96326" w14:paraId="34AB0E9B" w14:textId="77777777">
      <w:pPr>
        <w:pStyle w:val="Heading3"/>
        <w:keepNext w:val="0"/>
        <w:widowControl w:val="0"/>
        <w:spacing w:after="120"/>
        <w:rPr>
          <w:rFonts w:cs="Arial"/>
        </w:rPr>
      </w:pPr>
      <w:r>
        <w:rPr>
          <w:rFonts w:cs="Arial"/>
          <w:b/>
          <w:u w:val="single"/>
        </w:rPr>
        <w:t>EPA</w:t>
      </w:r>
      <w:r>
        <w:rPr>
          <w:rFonts w:cs="Arial"/>
          <w:b/>
        </w:rPr>
        <w:t>:</w:t>
      </w:r>
      <w:r>
        <w:rPr>
          <w:rFonts w:cs="Arial"/>
        </w:rPr>
        <w:t xml:space="preserve"> The U.S. Environmental Protection Agency.</w:t>
      </w:r>
    </w:p>
    <w:p w:rsidRPr="00094229" w:rsidR="00D96326" w:rsidP="004A5539" w:rsidRDefault="00D96326" w14:paraId="215C1D57" w14:textId="5BA8C62A">
      <w:pPr>
        <w:pStyle w:val="Heading3"/>
        <w:keepNext w:val="0"/>
        <w:widowControl w:val="0"/>
        <w:spacing w:after="120"/>
        <w:rPr>
          <w:rFonts w:cs="Arial"/>
        </w:rPr>
      </w:pPr>
      <w:r>
        <w:rPr>
          <w:rFonts w:cs="Arial"/>
          <w:b/>
          <w:u w:val="single"/>
        </w:rPr>
        <w:t>Equivalent</w:t>
      </w:r>
      <w:r>
        <w:rPr>
          <w:rFonts w:cs="Arial"/>
          <w:bCs/>
          <w:u w:val="single"/>
        </w:rPr>
        <w:t xml:space="preserve"> </w:t>
      </w:r>
      <w:r>
        <w:rPr>
          <w:rFonts w:cs="Arial"/>
          <w:b/>
          <w:u w:val="single"/>
        </w:rPr>
        <w:t xml:space="preserve">Unplanned (Forced) Derated Unit Hours </w:t>
      </w:r>
      <w:r>
        <w:rPr>
          <w:rFonts w:cs="Arial"/>
          <w:b/>
          <w:bCs/>
          <w:u w:val="single"/>
        </w:rPr>
        <w:t>(EFDH)</w:t>
      </w:r>
      <w:r>
        <w:rPr>
          <w:rFonts w:cs="Arial"/>
          <w:b/>
          <w:bCs/>
        </w:rPr>
        <w:t xml:space="preserve">: </w:t>
      </w:r>
      <w:r>
        <w:rPr>
          <w:rFonts w:cs="Arial"/>
        </w:rPr>
        <w:t xml:space="preserve">The Hours during which </w:t>
      </w:r>
      <w:r w:rsidR="00D214F0">
        <w:rPr>
          <w:rFonts w:cs="Arial"/>
        </w:rPr>
        <w:t xml:space="preserve">a </w:t>
      </w:r>
      <w:r>
        <w:rPr>
          <w:rFonts w:cs="Arial"/>
        </w:rPr>
        <w:t>Unit experiences a Forced Derate, as further described in, and determined in accordance with, Exhibit B</w:t>
      </w:r>
      <w:r>
        <w:rPr>
          <w:rFonts w:cs="Arial"/>
          <w:b/>
        </w:rPr>
        <w:t xml:space="preserve"> </w:t>
      </w:r>
      <w:r>
        <w:rPr>
          <w:rFonts w:cs="Arial"/>
        </w:rPr>
        <w:t>(</w:t>
      </w:r>
      <w:r>
        <w:rPr>
          <w:rFonts w:cs="Arial"/>
          <w:i/>
        </w:rPr>
        <w:t>Capacity; Capacity Payments and Payment Reductions; Buydown</w:t>
      </w:r>
      <w:r>
        <w:rPr>
          <w:rFonts w:cs="Arial"/>
        </w:rPr>
        <w:t>), Section 3.2 (</w:t>
      </w:r>
      <w:r>
        <w:rPr>
          <w:rFonts w:cs="Arial"/>
          <w:i/>
        </w:rPr>
        <w:t>Calculation of Monthly Availability Percentage</w:t>
      </w:r>
      <w:r>
        <w:rPr>
          <w:rFonts w:cs="Arial"/>
        </w:rPr>
        <w:t>).</w:t>
      </w:r>
    </w:p>
    <w:p w:rsidRPr="003E61F0" w:rsidR="00D96326" w:rsidP="004A5539" w:rsidRDefault="00D96326" w14:paraId="65DE493A" w14:textId="77777777">
      <w:pPr>
        <w:pStyle w:val="Heading3"/>
        <w:keepNext w:val="0"/>
        <w:widowControl w:val="0"/>
        <w:spacing w:after="120"/>
        <w:rPr>
          <w:rFonts w:cs="Arial"/>
        </w:rPr>
      </w:pPr>
      <w:r>
        <w:rPr>
          <w:rFonts w:cs="Arial"/>
          <w:b/>
          <w:bCs/>
          <w:u w:val="single"/>
        </w:rPr>
        <w:t>ET</w:t>
      </w:r>
      <w:r>
        <w:rPr>
          <w:rFonts w:cs="Arial"/>
          <w:b/>
          <w:bCs/>
        </w:rPr>
        <w:t>:</w:t>
      </w:r>
      <w:r>
        <w:rPr>
          <w:rFonts w:cs="Arial"/>
        </w:rPr>
        <w:t xml:space="preserve"> See </w:t>
      </w:r>
      <w:r>
        <w:rPr>
          <w:rFonts w:cs="Arial"/>
          <w:i/>
          <w:iCs w:val="0"/>
        </w:rPr>
        <w:t>Eastern Time</w:t>
      </w:r>
      <w:r>
        <w:rPr>
          <w:rFonts w:cs="Arial"/>
        </w:rPr>
        <w:t xml:space="preserve">. </w:t>
      </w:r>
    </w:p>
    <w:p w:rsidR="00D96326" w:rsidP="004A5539" w:rsidRDefault="00D96326" w14:paraId="1BAC1FDF" w14:textId="77777777">
      <w:pPr>
        <w:pStyle w:val="Heading3"/>
        <w:keepNext w:val="0"/>
        <w:widowControl w:val="0"/>
        <w:spacing w:after="120"/>
        <w:rPr>
          <w:rFonts w:cs="Arial"/>
        </w:rPr>
      </w:pPr>
      <w:r>
        <w:rPr>
          <w:rFonts w:cs="Arial"/>
          <w:b/>
          <w:u w:val="single"/>
        </w:rPr>
        <w:t>Event of Default</w:t>
      </w:r>
      <w:r>
        <w:rPr>
          <w:rFonts w:cs="Arial"/>
          <w:b/>
        </w:rPr>
        <w:t xml:space="preserve">: </w:t>
      </w:r>
      <w:r>
        <w:rPr>
          <w:rFonts w:cs="Arial"/>
        </w:rPr>
        <w:t>A Party’s failure to perform or comply with a material PPA term or condition, as further described in Section 16.1 (</w:t>
      </w:r>
      <w:r>
        <w:rPr>
          <w:rFonts w:cs="Arial"/>
          <w:i/>
        </w:rPr>
        <w:t>Default by Seller</w:t>
      </w:r>
      <w:r>
        <w:rPr>
          <w:rFonts w:cs="Arial"/>
        </w:rPr>
        <w:t>) for Seller and in Section 16.2 (</w:t>
      </w:r>
      <w:r>
        <w:rPr>
          <w:rFonts w:cs="Arial"/>
          <w:i/>
        </w:rPr>
        <w:t>Default by GPC</w:t>
      </w:r>
      <w:r>
        <w:rPr>
          <w:rFonts w:cs="Arial"/>
        </w:rPr>
        <w:t>) for GPC.</w:t>
      </w:r>
    </w:p>
    <w:p w:rsidR="006147E6" w:rsidP="004A5539" w:rsidRDefault="006147E6" w14:paraId="5A93BD44" w14:textId="644BD3F6">
      <w:pPr>
        <w:pStyle w:val="Heading3"/>
        <w:keepNext w:val="0"/>
        <w:widowControl w:val="0"/>
        <w:spacing w:after="120"/>
        <w:rPr>
          <w:rFonts w:cs="Arial"/>
        </w:rPr>
      </w:pPr>
      <w:r w:rsidRPr="00341121">
        <w:rPr>
          <w:rFonts w:cs="Arial"/>
          <w:b/>
          <w:bCs/>
          <w:u w:val="single"/>
        </w:rPr>
        <w:t>Excess Expenditures</w:t>
      </w:r>
      <w:r w:rsidRPr="00341121">
        <w:rPr>
          <w:rFonts w:cs="Arial"/>
        </w:rPr>
        <w:t>: The portion of Change of Law Expenditures that exceeds the Threshold Amount, as calculated by subtracting the Threshold Amount (expressed in dollars) from the total Change of Law Expenditures for an applicable Change of Law.</w:t>
      </w:r>
    </w:p>
    <w:p w:rsidRPr="00DF7347" w:rsidR="00C36E10" w:rsidP="00C36E10" w:rsidRDefault="00C36E10" w14:paraId="09DEAD4F" w14:textId="28044C31">
      <w:pPr>
        <w:pStyle w:val="Heading3"/>
        <w:keepNext w:val="0"/>
        <w:widowControl w:val="0"/>
        <w:spacing w:after="120"/>
        <w:rPr>
          <w:rFonts w:cs="Arial"/>
          <w:bCs/>
          <w:kern w:val="2"/>
          <w14:ligatures w14:val="standardContextual"/>
        </w:rPr>
      </w:pPr>
      <w:r>
        <w:rPr>
          <w:rFonts w:cs="Arial"/>
          <w:b/>
          <w:kern w:val="2"/>
          <w:u w:val="single"/>
          <w14:ligatures w14:val="standardContextual"/>
        </w:rPr>
        <w:t>Excess Expenditures Notice</w:t>
      </w:r>
      <w:r>
        <w:rPr>
          <w:rFonts w:cs="Arial"/>
          <w:b/>
          <w:kern w:val="2"/>
          <w14:ligatures w14:val="standardContextual"/>
        </w:rPr>
        <w:t xml:space="preserve">: </w:t>
      </w:r>
      <w:r w:rsidRPr="00341121" w:rsidR="002651D7">
        <w:rPr>
          <w:rFonts w:cs="Arial"/>
        </w:rPr>
        <w:t>Written notice from Seller to GPC requesting recovery of Excess Expenditures</w:t>
      </w:r>
      <w:r w:rsidR="004350A9">
        <w:rPr>
          <w:rFonts w:cs="Arial"/>
        </w:rPr>
        <w:t xml:space="preserve"> or approval of an Operational Alternative</w:t>
      </w:r>
      <w:r>
        <w:rPr>
          <w:rFonts w:cs="Arial"/>
          <w:bCs/>
          <w:kern w:val="2"/>
          <w14:ligatures w14:val="standardContextual"/>
        </w:rPr>
        <w:t>.</w:t>
      </w:r>
    </w:p>
    <w:p w:rsidRPr="00F10071" w:rsidR="00D96326" w:rsidP="004A5539" w:rsidRDefault="00D96326" w14:paraId="354F73C5" w14:textId="4343C0B4">
      <w:pPr>
        <w:pStyle w:val="Heading3"/>
        <w:keepNext w:val="0"/>
        <w:widowControl w:val="0"/>
        <w:spacing w:after="120"/>
        <w:rPr>
          <w:rFonts w:cs="Arial"/>
        </w:rPr>
      </w:pPr>
      <w:r>
        <w:rPr>
          <w:rFonts w:cs="Arial"/>
          <w:b/>
          <w:u w:val="single"/>
        </w:rPr>
        <w:t>Extended FME</w:t>
      </w:r>
      <w:r>
        <w:rPr>
          <w:rFonts w:cs="Arial"/>
          <w:b/>
        </w:rPr>
        <w:t>:</w:t>
      </w:r>
      <w:r>
        <w:rPr>
          <w:rFonts w:cs="Arial"/>
        </w:rPr>
        <w:t xml:space="preserve"> Defined in Section 15.7.1 (</w:t>
      </w:r>
      <w:r>
        <w:rPr>
          <w:rFonts w:cs="Arial"/>
          <w:i/>
        </w:rPr>
        <w:t>Notice and Remedy Plan for Extended FME</w:t>
      </w:r>
      <w:r>
        <w:rPr>
          <w:rFonts w:cs="Arial"/>
        </w:rPr>
        <w:t>).</w:t>
      </w:r>
    </w:p>
    <w:p w:rsidRPr="00CD0E86" w:rsidR="00D666D1" w:rsidP="00CD0E86" w:rsidRDefault="00D96326" w14:paraId="3BDBA58A" w14:textId="5C1FDBEF">
      <w:pPr>
        <w:pStyle w:val="Heading3"/>
        <w:keepNext w:val="0"/>
        <w:widowControl w:val="0"/>
        <w:spacing w:after="120"/>
        <w:rPr>
          <w:rFonts w:cs="Arial"/>
          <w:bCs/>
          <w:iCs w:val="0"/>
        </w:rPr>
      </w:pPr>
      <w:r>
        <w:rPr>
          <w:rFonts w:cs="Arial"/>
          <w:b/>
          <w:snapToGrid w:val="0"/>
          <w:u w:val="single"/>
        </w:rPr>
        <w:t>Facility</w:t>
      </w:r>
      <w:r>
        <w:rPr>
          <w:rFonts w:cs="Arial"/>
          <w:b/>
        </w:rPr>
        <w:t>:</w:t>
      </w:r>
      <w:r>
        <w:rPr>
          <w:rFonts w:cs="Arial"/>
        </w:rPr>
        <w:t xml:space="preserve"> Seller’s electric generating plant interconnected to the Electric System at the POI</w:t>
      </w:r>
      <w:r w:rsidR="00C7467F">
        <w:rPr>
          <w:rFonts w:cs="Arial"/>
        </w:rPr>
        <w:t>, including the Units,</w:t>
      </w:r>
      <w:r w:rsidR="0032230A">
        <w:rPr>
          <w:rFonts w:cs="Arial"/>
        </w:rPr>
        <w:t xml:space="preserve"> </w:t>
      </w:r>
      <w:r w:rsidR="003622B8">
        <w:rPr>
          <w:rFonts w:cs="Arial"/>
        </w:rPr>
        <w:t>as</w:t>
      </w:r>
      <w:r>
        <w:rPr>
          <w:rFonts w:cs="Arial"/>
        </w:rPr>
        <w:t xml:space="preserve"> further described in Exhibit A (</w:t>
      </w:r>
      <w:r>
        <w:rPr>
          <w:rFonts w:cs="Arial"/>
          <w:i/>
        </w:rPr>
        <w:t>Facility Description and Additional Details</w:t>
      </w:r>
      <w:r>
        <w:rPr>
          <w:rFonts w:cs="Arial"/>
        </w:rPr>
        <w:t>).</w:t>
      </w:r>
    </w:p>
    <w:p w:rsidRPr="00F10071" w:rsidR="00D96326" w:rsidP="004A5539" w:rsidRDefault="00D96326" w14:paraId="14814E58" w14:textId="77777777">
      <w:pPr>
        <w:pStyle w:val="Heading3"/>
        <w:keepNext w:val="0"/>
        <w:widowControl w:val="0"/>
        <w:spacing w:after="120"/>
        <w:rPr>
          <w:rFonts w:cs="Arial"/>
        </w:rPr>
      </w:pPr>
      <w:r>
        <w:rPr>
          <w:rFonts w:cs="Arial"/>
          <w:b/>
          <w:u w:val="single"/>
        </w:rPr>
        <w:t>FASB</w:t>
      </w:r>
      <w:r>
        <w:rPr>
          <w:rFonts w:cs="Arial"/>
          <w:b/>
          <w:bCs/>
        </w:rPr>
        <w:t>:</w:t>
      </w:r>
      <w:r>
        <w:rPr>
          <w:rFonts w:cs="Arial"/>
        </w:rPr>
        <w:t xml:space="preserve"> Financial Accounting Standards Board.</w:t>
      </w:r>
    </w:p>
    <w:p w:rsidRPr="00F10071" w:rsidR="00D96326" w:rsidP="004A5539" w:rsidRDefault="00D96326" w14:paraId="3FA73C84" w14:textId="77777777">
      <w:pPr>
        <w:pStyle w:val="Heading3"/>
        <w:keepNext w:val="0"/>
        <w:widowControl w:val="0"/>
        <w:spacing w:after="120"/>
        <w:rPr>
          <w:rFonts w:cs="Arial"/>
        </w:rPr>
      </w:pPr>
      <w:r>
        <w:rPr>
          <w:rFonts w:cs="Arial"/>
          <w:b/>
          <w:u w:val="single"/>
        </w:rPr>
        <w:t>Federal Power Act</w:t>
      </w:r>
      <w:r>
        <w:rPr>
          <w:rFonts w:cs="Arial"/>
          <w:b/>
          <w:bCs/>
        </w:rPr>
        <w:t>:</w:t>
      </w:r>
      <w:r>
        <w:rPr>
          <w:rFonts w:cs="Arial"/>
        </w:rPr>
        <w:t xml:space="preserve"> The Federal Power Act, 16 U.S.C. § § 791a </w:t>
      </w:r>
      <w:r>
        <w:rPr>
          <w:rFonts w:cs="Arial"/>
          <w:i/>
        </w:rPr>
        <w:t>et seq.</w:t>
      </w:r>
      <w:r>
        <w:rPr>
          <w:rFonts w:cs="Arial"/>
        </w:rPr>
        <w:t xml:space="preserve"> (1994), as amended from time to time, and any successor statute of similar import.</w:t>
      </w:r>
    </w:p>
    <w:p w:rsidRPr="00F10071" w:rsidR="00D96326" w:rsidP="004A5539" w:rsidRDefault="00D96326" w14:paraId="0DC976C9" w14:textId="79CAE97D">
      <w:pPr>
        <w:pStyle w:val="Heading3"/>
        <w:keepNext w:val="0"/>
        <w:widowControl w:val="0"/>
        <w:spacing w:after="120"/>
        <w:rPr>
          <w:rFonts w:cs="Arial"/>
        </w:rPr>
      </w:pPr>
      <w:r>
        <w:rPr>
          <w:rFonts w:cs="Arial"/>
          <w:b/>
          <w:u w:val="single"/>
        </w:rPr>
        <w:t>FERC</w:t>
      </w:r>
      <w:r>
        <w:rPr>
          <w:rFonts w:cs="Arial"/>
          <w:b/>
          <w:bCs/>
        </w:rPr>
        <w:t>:</w:t>
      </w:r>
      <w:r>
        <w:rPr>
          <w:rFonts w:cs="Arial"/>
        </w:rPr>
        <w:t xml:space="preserve"> The Federal Energy Regulatory Commission, or any Governmental Authority succeeding </w:t>
      </w:r>
      <w:proofErr w:type="gramStart"/>
      <w:r>
        <w:rPr>
          <w:rFonts w:cs="Arial"/>
        </w:rPr>
        <w:t>to</w:t>
      </w:r>
      <w:proofErr w:type="gramEnd"/>
      <w:r>
        <w:rPr>
          <w:rFonts w:cs="Arial"/>
        </w:rPr>
        <w:t xml:space="preserve"> the powers or functions of FERC.</w:t>
      </w:r>
    </w:p>
    <w:p w:rsidR="4DE30301" w:rsidP="54C72364" w:rsidRDefault="4DE30301" w14:paraId="4BBA5B9D" w14:textId="5D74D497">
      <w:pPr>
        <w:pStyle w:val="Heading3"/>
        <w:keepNext w:val="0"/>
        <w:widowControl w:val="0"/>
        <w:spacing w:after="120"/>
        <w:rPr>
          <w:rFonts w:cs="Arial"/>
        </w:rPr>
      </w:pPr>
      <w:r>
        <w:rPr>
          <w:rFonts w:cs="Arial"/>
          <w:b/>
          <w:bCs/>
          <w:u w:val="single"/>
        </w:rPr>
        <w:t>Financing Assignment</w:t>
      </w:r>
      <w:r>
        <w:rPr>
          <w:rFonts w:cs="Arial"/>
          <w:b/>
          <w:bCs/>
        </w:rPr>
        <w:t>:</w:t>
      </w:r>
      <w:r>
        <w:rPr>
          <w:rFonts w:cs="Arial"/>
        </w:rPr>
        <w:t xml:space="preserve"> An assignment of this PPA or interest in the Facility for collateral security purposes in connection with any financing or refinancing relating to the Facility.</w:t>
      </w:r>
    </w:p>
    <w:p w:rsidR="00D96326" w:rsidP="004A5539" w:rsidRDefault="00D96326" w14:paraId="71814323" w14:textId="5CB404CE">
      <w:pPr>
        <w:pStyle w:val="Heading3"/>
        <w:keepNext w:val="0"/>
        <w:widowControl w:val="0"/>
        <w:spacing w:after="120"/>
        <w:rPr>
          <w:rFonts w:eastAsia="PMingLiU"/>
        </w:rPr>
      </w:pPr>
      <w:r>
        <w:rPr>
          <w:rFonts w:cs="Arial"/>
          <w:b/>
          <w:bCs/>
          <w:u w:val="single"/>
        </w:rPr>
        <w:t>Firm Transmission Service</w:t>
      </w:r>
      <w:r>
        <w:rPr>
          <w:rFonts w:cs="Arial"/>
          <w:b/>
          <w:bCs/>
        </w:rPr>
        <w:t xml:space="preserve">: </w:t>
      </w:r>
      <w:r>
        <w:rPr>
          <w:rFonts w:eastAsia="PMingLiU"/>
        </w:rPr>
        <w:t>Transmission service that has: (</w:t>
      </w:r>
      <w:proofErr w:type="spellStart"/>
      <w:r>
        <w:rPr>
          <w:rFonts w:eastAsia="PMingLiU"/>
        </w:rPr>
        <w:t>i</w:t>
      </w:r>
      <w:proofErr w:type="spellEnd"/>
      <w:r>
        <w:rPr>
          <w:rFonts w:eastAsia="PMingLiU"/>
        </w:rPr>
        <w:t>) been procured and is held by Seller under the applicable open access transmission tariff on each applicable Electric System for the delivery of energy from the Facility or Alternate Resource to the POD; and (ii) a priority equal to the highest level of firm transmission service available to any Person on that Electric System from the COD and through the Term.</w:t>
      </w:r>
    </w:p>
    <w:p w:rsidR="00D96326" w:rsidP="004A5539" w:rsidRDefault="00D96326" w14:paraId="06F990E7" w14:textId="77777777">
      <w:pPr>
        <w:pStyle w:val="Heading3"/>
        <w:keepNext w:val="0"/>
        <w:widowControl w:val="0"/>
        <w:spacing w:after="120"/>
        <w:rPr>
          <w:rFonts w:cs="Arial"/>
        </w:rPr>
      </w:pPr>
      <w:r>
        <w:rPr>
          <w:rFonts w:cs="Arial"/>
          <w:b/>
          <w:u w:val="single"/>
        </w:rPr>
        <w:t>Fitch</w:t>
      </w:r>
      <w:r>
        <w:rPr>
          <w:rFonts w:cs="Arial"/>
          <w:b/>
          <w:bCs/>
        </w:rPr>
        <w:t>:</w:t>
      </w:r>
      <w:r>
        <w:rPr>
          <w:rFonts w:cs="Arial"/>
        </w:rPr>
        <w:t xml:space="preserve"> Fitch Ratings Ltd. or its successor. If Fitch ceases to exist or publish ratings, Fitch will mean a nationally recognized rating agency mutually agreed upon by the Parties.</w:t>
      </w:r>
    </w:p>
    <w:p w:rsidRPr="00563B6F" w:rsidR="00563B6F" w:rsidP="004A5539" w:rsidRDefault="00563B6F" w14:paraId="7F3C162C" w14:textId="4AB84710">
      <w:pPr>
        <w:pStyle w:val="Heading3"/>
        <w:keepNext w:val="0"/>
        <w:widowControl w:val="0"/>
        <w:spacing w:after="120"/>
        <w:rPr>
          <w:rFonts w:cs="Arial"/>
        </w:rPr>
      </w:pPr>
      <w:r>
        <w:rPr>
          <w:rFonts w:cs="Arial"/>
          <w:b/>
          <w:bCs/>
          <w:u w:val="single"/>
        </w:rPr>
        <w:t>FME</w:t>
      </w:r>
      <w:r>
        <w:rPr>
          <w:rFonts w:cs="Arial"/>
          <w:b/>
          <w:bCs/>
        </w:rPr>
        <w:t>:</w:t>
      </w:r>
      <w:r>
        <w:rPr>
          <w:rFonts w:cs="Arial"/>
        </w:rPr>
        <w:t xml:space="preserve"> See </w:t>
      </w:r>
      <w:r>
        <w:rPr>
          <w:rFonts w:cs="Arial"/>
          <w:i/>
          <w:iCs w:val="0"/>
        </w:rPr>
        <w:t>Force Majeure Event</w:t>
      </w:r>
      <w:r>
        <w:rPr>
          <w:rFonts w:cs="Arial"/>
        </w:rPr>
        <w:t>.</w:t>
      </w:r>
    </w:p>
    <w:p w:rsidR="46F1016C" w:rsidP="54C72364" w:rsidRDefault="46F1016C" w14:paraId="2A5BB67B" w14:textId="19BE26E8">
      <w:pPr>
        <w:pStyle w:val="Heading3"/>
        <w:keepNext w:val="0"/>
        <w:widowControl w:val="0"/>
        <w:spacing w:after="120"/>
        <w:rPr>
          <w:rFonts w:cs="Arial"/>
        </w:rPr>
      </w:pPr>
      <w:r>
        <w:rPr>
          <w:rFonts w:cs="Arial"/>
          <w:b/>
          <w:bCs/>
          <w:u w:val="single"/>
        </w:rPr>
        <w:t>FME Remedy Plan</w:t>
      </w:r>
      <w:r>
        <w:rPr>
          <w:rFonts w:cs="Arial"/>
          <w:b/>
          <w:bCs/>
        </w:rPr>
        <w:t>:</w:t>
      </w:r>
      <w:r>
        <w:rPr>
          <w:rFonts w:cs="Arial"/>
        </w:rPr>
        <w:t xml:space="preserve"> Defined in Section 15.7.1 (</w:t>
      </w:r>
      <w:r>
        <w:rPr>
          <w:rFonts w:cs="Arial"/>
          <w:i/>
        </w:rPr>
        <w:t>Notice and Remedy Plan for Extended FME</w:t>
      </w:r>
      <w:r>
        <w:rPr>
          <w:rFonts w:cs="Arial"/>
        </w:rPr>
        <w:t>).</w:t>
      </w:r>
    </w:p>
    <w:p w:rsidRPr="00F10071" w:rsidR="00D96326" w:rsidP="004A5539" w:rsidRDefault="00D96326" w14:paraId="2F3892B6" w14:textId="77777777">
      <w:pPr>
        <w:pStyle w:val="Heading3"/>
        <w:keepNext w:val="0"/>
        <w:widowControl w:val="0"/>
        <w:spacing w:after="120"/>
        <w:rPr>
          <w:rFonts w:cs="Arial"/>
        </w:rPr>
      </w:pPr>
      <w:r>
        <w:rPr>
          <w:rFonts w:cs="Arial"/>
          <w:b/>
          <w:u w:val="single"/>
        </w:rPr>
        <w:t>Force Majeure Event (FME)</w:t>
      </w:r>
      <w:r>
        <w:rPr>
          <w:rFonts w:cs="Arial"/>
          <w:b/>
          <w:bCs/>
        </w:rPr>
        <w:t>:</w:t>
      </w:r>
      <w:r>
        <w:rPr>
          <w:rFonts w:cs="Arial"/>
        </w:rPr>
        <w:t xml:space="preserve"> Defined in Section 15.1 (</w:t>
      </w:r>
      <w:r>
        <w:rPr>
          <w:rFonts w:cs="Arial"/>
          <w:i/>
        </w:rPr>
        <w:t>Definition of Force Majeure Event</w:t>
      </w:r>
      <w:r>
        <w:rPr>
          <w:rFonts w:cs="Arial"/>
        </w:rPr>
        <w:t xml:space="preserve">). </w:t>
      </w:r>
    </w:p>
    <w:p w:rsidRPr="00F10071" w:rsidR="00D96326" w:rsidP="004A5539" w:rsidRDefault="00D96326" w14:paraId="2DE4C39B" w14:textId="75F846F3">
      <w:pPr>
        <w:pStyle w:val="Heading3"/>
        <w:keepNext w:val="0"/>
        <w:widowControl w:val="0"/>
        <w:spacing w:after="120"/>
        <w:rPr>
          <w:rFonts w:cs="Arial"/>
        </w:rPr>
      </w:pPr>
      <w:r>
        <w:rPr>
          <w:rFonts w:cs="Arial"/>
          <w:b/>
          <w:u w:val="single"/>
        </w:rPr>
        <w:t>Forced Derate</w:t>
      </w:r>
      <w:r>
        <w:rPr>
          <w:rFonts w:cs="Arial"/>
          <w:b/>
        </w:rPr>
        <w:t>:</w:t>
      </w:r>
      <w:r>
        <w:rPr>
          <w:rFonts w:cs="Arial"/>
        </w:rPr>
        <w:t xml:space="preserve"> A time during which the generating capability of </w:t>
      </w:r>
      <w:r w:rsidR="001F46E7">
        <w:rPr>
          <w:rFonts w:cs="Arial"/>
        </w:rPr>
        <w:t>the Facility</w:t>
      </w:r>
      <w:r>
        <w:rPr>
          <w:rFonts w:cs="Arial"/>
        </w:rPr>
        <w:t xml:space="preserve"> is reduced below the applicable Declared Capacity for reasons other than a Force Majeure Event and that is not a Scheduled Outage, Maintenance Outage, or Forced Outage.</w:t>
      </w:r>
    </w:p>
    <w:p w:rsidR="00D96326" w:rsidP="004A5539" w:rsidRDefault="00D96326" w14:paraId="3C30E2D5" w14:textId="766BE403">
      <w:pPr>
        <w:pStyle w:val="Heading3"/>
        <w:keepNext w:val="0"/>
        <w:widowControl w:val="0"/>
        <w:spacing w:after="120"/>
        <w:rPr>
          <w:rFonts w:cs="Arial"/>
        </w:rPr>
      </w:pPr>
      <w:r>
        <w:rPr>
          <w:rFonts w:cs="Arial"/>
          <w:b/>
          <w:u w:val="single"/>
        </w:rPr>
        <w:t>Forced Outage</w:t>
      </w:r>
      <w:r>
        <w:rPr>
          <w:rFonts w:cs="Arial"/>
          <w:b/>
        </w:rPr>
        <w:t>:</w:t>
      </w:r>
      <w:r>
        <w:rPr>
          <w:rFonts w:cs="Arial"/>
        </w:rPr>
        <w:t xml:space="preserve"> A time during which </w:t>
      </w:r>
      <w:r w:rsidR="00A712A9">
        <w:rPr>
          <w:rFonts w:cs="Arial"/>
        </w:rPr>
        <w:t>the Facility</w:t>
      </w:r>
      <w:r>
        <w:rPr>
          <w:rFonts w:cs="Arial"/>
        </w:rPr>
        <w:t xml:space="preserve"> is wholly Unavailable for reasons other than a Force Majeure Event and that is not a Scheduled Outage or a Maintenance Outage.</w:t>
      </w:r>
    </w:p>
    <w:p w:rsidR="00E341E6" w:rsidP="004A5539" w:rsidRDefault="00D96326" w14:paraId="3889D56D" w14:textId="40404897">
      <w:pPr>
        <w:pStyle w:val="Heading3"/>
        <w:keepNext w:val="0"/>
        <w:widowControl w:val="0"/>
        <w:spacing w:after="120"/>
        <w:rPr>
          <w:rFonts w:cs="Arial"/>
        </w:rPr>
      </w:pPr>
      <w:r>
        <w:rPr>
          <w:rFonts w:cs="Arial"/>
          <w:b/>
          <w:bCs/>
          <w:u w:val="single"/>
        </w:rPr>
        <w:t>Fuel Oil</w:t>
      </w:r>
      <w:r>
        <w:rPr>
          <w:rFonts w:cs="Arial"/>
          <w:b/>
        </w:rPr>
        <w:t>:</w:t>
      </w:r>
      <w:r>
        <w:rPr>
          <w:rFonts w:cs="Arial"/>
        </w:rPr>
        <w:t xml:space="preserve"> </w:t>
      </w:r>
      <w:proofErr w:type="spellStart"/>
      <w:r>
        <w:rPr>
          <w:rFonts w:cs="Arial"/>
        </w:rPr>
        <w:t>Ultra low</w:t>
      </w:r>
      <w:proofErr w:type="spellEnd"/>
      <w:r>
        <w:rPr>
          <w:rFonts w:cs="Arial"/>
        </w:rPr>
        <w:t xml:space="preserve"> sulfur No. 2 fuel oil.</w:t>
      </w:r>
    </w:p>
    <w:p w:rsidR="00D96326" w:rsidP="004A5539" w:rsidRDefault="00E341E6" w14:paraId="3A7AD0D5" w14:textId="30AA9243">
      <w:pPr>
        <w:pStyle w:val="Heading3"/>
        <w:keepNext w:val="0"/>
        <w:widowControl w:val="0"/>
        <w:spacing w:after="120"/>
        <w:rPr>
          <w:rFonts w:cs="Arial"/>
        </w:rPr>
      </w:pPr>
      <w:r>
        <w:rPr>
          <w:rFonts w:cs="Arial"/>
          <w:b/>
          <w:bCs/>
          <w:u w:val="single"/>
        </w:rPr>
        <w:lastRenderedPageBreak/>
        <w:t>Fuel Oil Specifications</w:t>
      </w:r>
      <w:r>
        <w:rPr>
          <w:rFonts w:cs="Arial"/>
          <w:b/>
          <w:bCs/>
        </w:rPr>
        <w:t>:</w:t>
      </w:r>
      <w:r>
        <w:rPr>
          <w:rFonts w:cs="Arial"/>
        </w:rPr>
        <w:t xml:space="preserve"> The Colonial Pipeline Company Product Specifications for Fungible 15 ppm Sulfur Diesel Fuel/Heating Oil (GRADES 61, 62, 63 and 67), or more restrictive, specifications for Fuel Oil included in the Air Permit, as required by applicable laws, and containing no more than 0.017 weight percent fuel bound nitrogen.</w:t>
      </w:r>
    </w:p>
    <w:p w:rsidRPr="00307063" w:rsidR="003F39BA" w:rsidP="004A5539" w:rsidRDefault="00FC232D" w14:paraId="075ACF1B" w14:textId="1F2788D6">
      <w:pPr>
        <w:pStyle w:val="Heading3"/>
        <w:keepNext w:val="0"/>
        <w:widowControl w:val="0"/>
        <w:spacing w:after="120"/>
        <w:rPr>
          <w:rFonts w:cs="Arial"/>
        </w:rPr>
      </w:pPr>
      <w:r>
        <w:rPr>
          <w:b/>
          <w:u w:val="single"/>
        </w:rPr>
        <w:t>Fuel Oil Delivery Point</w:t>
      </w:r>
      <w:r>
        <w:rPr>
          <w:b/>
        </w:rPr>
        <w:t>:</w:t>
      </w:r>
      <w:r>
        <w:t xml:space="preserve"> The point of delivery for Fuel Oil, as specified in Exhibit A (</w:t>
      </w:r>
      <w:r>
        <w:rPr>
          <w:i/>
        </w:rPr>
        <w:t>Facility Description and Additional Details</w:t>
      </w:r>
      <w:r>
        <w:t>).</w:t>
      </w:r>
    </w:p>
    <w:p w:rsidRPr="00F10071" w:rsidR="00D96326" w:rsidP="004A5539" w:rsidRDefault="00D96326" w14:paraId="14AA51D9" w14:textId="6D861625">
      <w:pPr>
        <w:pStyle w:val="Heading3"/>
        <w:keepNext w:val="0"/>
        <w:widowControl w:val="0"/>
        <w:spacing w:after="120"/>
        <w:rPr>
          <w:rFonts w:cs="Arial"/>
        </w:rPr>
      </w:pPr>
      <w:r>
        <w:rPr>
          <w:rFonts w:cs="Arial"/>
          <w:b/>
          <w:u w:val="single"/>
        </w:rPr>
        <w:t>GAAP</w:t>
      </w:r>
      <w:r>
        <w:rPr>
          <w:rFonts w:cs="Arial"/>
          <w:b/>
          <w:bCs/>
        </w:rPr>
        <w:t>:</w:t>
      </w:r>
      <w:r>
        <w:rPr>
          <w:rFonts w:cs="Arial"/>
        </w:rPr>
        <w:t xml:space="preserve"> Generally accepted accounting principles issued by the Financial Accounting Standards Board (FASB), as </w:t>
      </w:r>
      <w:r w:rsidR="001E4F2B">
        <w:rPr>
          <w:rFonts w:cs="Arial"/>
        </w:rPr>
        <w:t xml:space="preserve">may be </w:t>
      </w:r>
      <w:r>
        <w:rPr>
          <w:rFonts w:cs="Arial"/>
        </w:rPr>
        <w:t>modified.</w:t>
      </w:r>
    </w:p>
    <w:p w:rsidR="117A5BC9" w:rsidP="54C72364" w:rsidRDefault="117A5BC9" w14:paraId="6687B781" w14:textId="2950E248">
      <w:pPr>
        <w:pStyle w:val="Heading3"/>
        <w:keepNext w:val="0"/>
        <w:widowControl w:val="0"/>
        <w:spacing w:after="120"/>
        <w:rPr>
          <w:rFonts w:cs="Arial"/>
        </w:rPr>
      </w:pPr>
      <w:r>
        <w:rPr>
          <w:rFonts w:cs="Arial"/>
          <w:b/>
          <w:bCs/>
          <w:u w:val="single"/>
        </w:rPr>
        <w:t>Gains</w:t>
      </w:r>
      <w:r>
        <w:rPr>
          <w:rFonts w:cs="Arial"/>
          <w:b/>
          <w:bCs/>
        </w:rPr>
        <w:t xml:space="preserve">: </w:t>
      </w:r>
      <w:r>
        <w:rPr>
          <w:rFonts w:cs="Arial"/>
        </w:rPr>
        <w:t>Defined in Section 16.3.3 (</w:t>
      </w:r>
      <w:r>
        <w:rPr>
          <w:rFonts w:cs="Arial"/>
          <w:i/>
        </w:rPr>
        <w:t>Determining Gains, Losses, and Costs</w:t>
      </w:r>
      <w:r>
        <w:rPr>
          <w:rFonts w:cs="Arial"/>
        </w:rPr>
        <w:t>).</w:t>
      </w:r>
    </w:p>
    <w:p w:rsidR="00D96326" w:rsidP="004A5539" w:rsidRDefault="00D96326" w14:paraId="6512BCD5" w14:textId="51897B15">
      <w:pPr>
        <w:pStyle w:val="Heading3"/>
        <w:keepNext w:val="0"/>
        <w:widowControl w:val="0"/>
        <w:spacing w:after="120"/>
      </w:pPr>
      <w:r>
        <w:rPr>
          <w:rStyle w:val="DeltaViewInsertion"/>
          <w:rFonts w:cs="Arial"/>
          <w:b/>
          <w:color w:val="auto"/>
          <w:u w:val="single"/>
        </w:rPr>
        <w:t>Gas Day</w:t>
      </w:r>
      <w:r>
        <w:rPr>
          <w:rStyle w:val="DeltaViewInsertion"/>
          <w:rFonts w:cs="Arial"/>
          <w:b/>
          <w:bCs/>
          <w:color w:val="auto"/>
          <w:u w:val="none"/>
        </w:rPr>
        <w:t>:</w:t>
      </w:r>
      <w:r>
        <w:rPr>
          <w:rStyle w:val="DeltaViewInsertion"/>
          <w:rFonts w:cs="Arial"/>
          <w:color w:val="auto"/>
          <w:u w:val="none"/>
        </w:rPr>
        <w:t xml:space="preserve"> </w:t>
      </w:r>
      <w:r>
        <w:t>The time period established by the applicable standards of the North American Energy Standards Board (“NAESB”) (or successor standards) for a “gas day”, which as of the Effective Date is from 9:00 a.m. CPT on one Day until 9:00 a.m. CPT the next Day as set forth in NAESB Wholesale Gas Quadrant Standard No. 1.3.1, as the same may change from time to time.</w:t>
      </w:r>
    </w:p>
    <w:p w:rsidR="008358E9" w:rsidP="004A5539" w:rsidRDefault="008358E9" w14:paraId="141DB265" w14:textId="786105A0">
      <w:pPr>
        <w:pStyle w:val="Heading3"/>
        <w:keepNext w:val="0"/>
        <w:widowControl w:val="0"/>
        <w:spacing w:after="120"/>
        <w:rPr>
          <w:rFonts w:cs="Arial"/>
        </w:rPr>
      </w:pPr>
      <w:r>
        <w:rPr>
          <w:rFonts w:cs="Arial"/>
          <w:b/>
          <w:u w:val="single"/>
        </w:rPr>
        <w:t>Gas Delivery Point</w:t>
      </w:r>
      <w:r>
        <w:rPr>
          <w:rFonts w:cs="Arial"/>
          <w:b/>
        </w:rPr>
        <w:t>:</w:t>
      </w:r>
      <w:r>
        <w:rPr>
          <w:rFonts w:cs="Arial"/>
        </w:rPr>
        <w:t xml:space="preserve"> The point of interconnection between the Facility and the pipeline serving the Facility, as specified in Exhibit A (</w:t>
      </w:r>
      <w:r>
        <w:rPr>
          <w:rFonts w:cs="Arial"/>
          <w:i/>
        </w:rPr>
        <w:t>Facility Description and Additional Details</w:t>
      </w:r>
      <w:r>
        <w:rPr>
          <w:rFonts w:cs="Arial"/>
        </w:rPr>
        <w:t>).</w:t>
      </w:r>
    </w:p>
    <w:p w:rsidRPr="00991550" w:rsidR="00A320DD" w:rsidP="004A5539" w:rsidRDefault="00122CA7" w14:paraId="07EC41F9" w14:textId="0C8E36FD">
      <w:pPr>
        <w:pStyle w:val="Heading3"/>
        <w:keepNext w:val="0"/>
        <w:widowControl w:val="0"/>
        <w:spacing w:after="120"/>
        <w:rPr>
          <w:rStyle w:val="DeltaViewInsertion"/>
          <w:rFonts w:cs="Arial"/>
          <w:color w:val="auto"/>
          <w:u w:val="none"/>
        </w:rPr>
      </w:pPr>
      <w:r>
        <w:rPr>
          <w:rFonts w:cs="Arial"/>
          <w:b/>
          <w:bCs/>
          <w:u w:val="single"/>
        </w:rPr>
        <w:t>Gas Quality Standards</w:t>
      </w:r>
      <w:r>
        <w:rPr>
          <w:rFonts w:cs="Arial"/>
          <w:b/>
          <w:bCs/>
        </w:rPr>
        <w:t>:</w:t>
      </w:r>
      <w:r w:rsidRPr="00991550">
        <w:rPr>
          <w:rFonts w:cs="Arial"/>
        </w:rPr>
        <w:t xml:space="preserve"> </w:t>
      </w:r>
      <w:r w:rsidR="00991550">
        <w:rPr>
          <w:rFonts w:cs="Arial"/>
        </w:rPr>
        <w:t>T</w:t>
      </w:r>
      <w:r w:rsidRPr="00991550" w:rsidR="00991550">
        <w:rPr>
          <w:rFonts w:cs="Arial"/>
        </w:rPr>
        <w:t>he gas quality standards for delivered Natural Gas under the applicable gas transportation provider’s FERC gas tariff and the applicable transportation agreement(s).</w:t>
      </w:r>
    </w:p>
    <w:p w:rsidRPr="00F10071" w:rsidR="00D96326" w:rsidP="004A5539" w:rsidRDefault="00D96326" w14:paraId="1AE330C4" w14:textId="052EF712">
      <w:pPr>
        <w:pStyle w:val="Heading3"/>
        <w:keepNext w:val="0"/>
        <w:widowControl w:val="0"/>
        <w:spacing w:after="120"/>
        <w:rPr>
          <w:rStyle w:val="DeltaViewInsertion"/>
          <w:rFonts w:cs="Arial"/>
          <w:color w:val="auto"/>
        </w:rPr>
      </w:pPr>
      <w:r>
        <w:rPr>
          <w:rStyle w:val="DeltaViewInsertion"/>
          <w:rFonts w:cs="Arial"/>
          <w:b/>
          <w:color w:val="auto"/>
          <w:u w:val="single"/>
        </w:rPr>
        <w:t>Gas Supply Plan</w:t>
      </w:r>
      <w:r>
        <w:rPr>
          <w:rStyle w:val="DeltaViewInsertion"/>
          <w:rFonts w:cs="Arial"/>
          <w:b/>
          <w:bCs/>
          <w:color w:val="auto"/>
          <w:u w:val="none"/>
        </w:rPr>
        <w:t>:</w:t>
      </w:r>
      <w:r>
        <w:rPr>
          <w:rStyle w:val="DeltaViewInsertion"/>
          <w:rFonts w:cs="Arial"/>
          <w:color w:val="auto"/>
          <w:u w:val="none"/>
        </w:rPr>
        <w:t xml:space="preserve"> </w:t>
      </w:r>
      <w:r>
        <w:rPr>
          <w:rFonts w:cs="Arial"/>
        </w:rPr>
        <w:t>A gas supply plan for procuring and making available at the Gas Delivery Point the quantities of Natural Gas at the rates of delivery and at an allowable pressure as specified in Exhibit D (</w:t>
      </w:r>
      <w:r>
        <w:rPr>
          <w:rFonts w:cs="Arial"/>
          <w:i/>
        </w:rPr>
        <w:t>Technical Limits and Schedule Procedures</w:t>
      </w:r>
      <w:r>
        <w:rPr>
          <w:rFonts w:cs="Arial"/>
        </w:rPr>
        <w:t>) required to accommodate GPC’s Scheduling Instructions</w:t>
      </w:r>
      <w:r>
        <w:rPr>
          <w:rStyle w:val="DeltaViewInsertion"/>
          <w:rFonts w:cs="Arial"/>
          <w:color w:val="auto"/>
          <w:u w:val="none"/>
        </w:rPr>
        <w:t>.</w:t>
      </w:r>
      <w:r>
        <w:rPr>
          <w:rStyle w:val="DeltaViewInsertion"/>
          <w:rFonts w:cs="Arial"/>
          <w:color w:val="auto"/>
          <w:u w:val="single"/>
        </w:rPr>
        <w:t xml:space="preserve"> </w:t>
      </w:r>
    </w:p>
    <w:p w:rsidR="00D96326" w:rsidP="004A5539" w:rsidRDefault="00D96326" w14:paraId="18D28C92" w14:textId="4FC8ABE1">
      <w:pPr>
        <w:pStyle w:val="Heading3"/>
        <w:keepNext w:val="0"/>
        <w:widowControl w:val="0"/>
        <w:spacing w:after="120"/>
        <w:rPr>
          <w:rFonts w:cs="Arial"/>
        </w:rPr>
      </w:pPr>
      <w:r>
        <w:rPr>
          <w:rFonts w:cs="Arial"/>
          <w:b/>
          <w:u w:val="single"/>
        </w:rPr>
        <w:t>GDPIPD</w:t>
      </w:r>
      <w:r>
        <w:rPr>
          <w:rFonts w:cs="Arial"/>
          <w:b/>
          <w:bCs/>
        </w:rPr>
        <w:t>:</w:t>
      </w:r>
      <w:r>
        <w:rPr>
          <w:rFonts w:cs="Arial"/>
        </w:rPr>
        <w:t xml:space="preserve"> The Gross Domestic Product Implicit Price Deflator as reported in the </w:t>
      </w:r>
      <w:r>
        <w:rPr>
          <w:rFonts w:cs="Arial"/>
          <w:i/>
        </w:rPr>
        <w:t>Survey of Current Business</w:t>
      </w:r>
      <w:r>
        <w:rPr>
          <w:rFonts w:cs="Arial"/>
        </w:rPr>
        <w:t xml:space="preserve"> published in January of each year </w:t>
      </w:r>
      <w:r>
        <w:rPr>
          <w:rStyle w:val="DeltaViewInsertion"/>
          <w:rFonts w:cs="Arial"/>
          <w:color w:val="auto"/>
          <w:w w:val="0"/>
          <w:u w:val="none"/>
        </w:rPr>
        <w:t>for the annual escalation or de-escalation of the previous year</w:t>
      </w:r>
      <w:r>
        <w:rPr>
          <w:rFonts w:cs="Arial"/>
        </w:rPr>
        <w:t>, and subsequently revised, by the Bureau of Economic Analysis, United States Department of Commerce.</w:t>
      </w:r>
    </w:p>
    <w:p w:rsidR="00D96326" w:rsidP="004A5539" w:rsidRDefault="00D96326" w14:paraId="60678DCF" w14:textId="77777777">
      <w:pPr>
        <w:pStyle w:val="Heading3"/>
        <w:keepNext w:val="0"/>
        <w:widowControl w:val="0"/>
        <w:spacing w:after="120"/>
        <w:rPr>
          <w:rFonts w:cs="Arial"/>
        </w:rPr>
      </w:pPr>
      <w:r>
        <w:rPr>
          <w:rFonts w:cs="Arial"/>
          <w:b/>
          <w:u w:val="single"/>
        </w:rPr>
        <w:t>Georgia Integrated Transmission System (Georgia ITS)</w:t>
      </w:r>
      <w:r>
        <w:rPr>
          <w:rFonts w:cs="Arial"/>
          <w:b/>
          <w:bCs/>
        </w:rPr>
        <w:t xml:space="preserve">: </w:t>
      </w:r>
      <w:r>
        <w:rPr>
          <w:rFonts w:cs="Arial"/>
        </w:rPr>
        <w:t xml:space="preserve">The Georgia Integrated Transmission System, which is owned individually by GPC, </w:t>
      </w:r>
      <w:r>
        <w:t xml:space="preserve">Georgia Transmission Corporation, </w:t>
      </w:r>
      <w:r>
        <w:rPr>
          <w:rFonts w:cs="Arial"/>
        </w:rPr>
        <w:t>Municipal Electric Authority of Georgia, or Dalton Utilities</w:t>
      </w:r>
      <w:r>
        <w:t>, and operated as an integrated transmission system for transmitting, receiving, or distributing electric energy or capacity</w:t>
      </w:r>
      <w:r>
        <w:rPr>
          <w:rFonts w:cs="Arial"/>
        </w:rPr>
        <w:t>.</w:t>
      </w:r>
    </w:p>
    <w:p w:rsidRPr="00474F23" w:rsidR="00D96326" w:rsidP="004A5539" w:rsidRDefault="00D96326" w14:paraId="7FB8370E" w14:textId="77777777">
      <w:pPr>
        <w:pStyle w:val="Heading3"/>
        <w:keepNext w:val="0"/>
        <w:widowControl w:val="0"/>
        <w:spacing w:after="120"/>
        <w:rPr>
          <w:rFonts w:cs="Arial"/>
        </w:rPr>
      </w:pPr>
      <w:r>
        <w:rPr>
          <w:rFonts w:cs="Arial"/>
          <w:b/>
          <w:bCs/>
          <w:u w:val="single"/>
        </w:rPr>
        <w:t>GHG</w:t>
      </w:r>
      <w:r>
        <w:rPr>
          <w:rFonts w:cs="Arial"/>
          <w:b/>
          <w:bCs/>
        </w:rPr>
        <w:t xml:space="preserve">: </w:t>
      </w:r>
      <w:r>
        <w:rPr>
          <w:rFonts w:cs="Arial"/>
        </w:rPr>
        <w:t xml:space="preserve">See </w:t>
      </w:r>
      <w:r>
        <w:rPr>
          <w:rFonts w:cs="Arial"/>
          <w:i/>
          <w:iCs w:val="0"/>
        </w:rPr>
        <w:t>Greenhouse Gas</w:t>
      </w:r>
      <w:r>
        <w:rPr>
          <w:rFonts w:cs="Arial"/>
        </w:rPr>
        <w:t>.</w:t>
      </w:r>
    </w:p>
    <w:p w:rsidRPr="00F10071" w:rsidR="00D96326" w:rsidP="004A5539" w:rsidRDefault="00D96326" w14:paraId="592513C3" w14:textId="77777777">
      <w:pPr>
        <w:pStyle w:val="Heading3"/>
        <w:keepNext w:val="0"/>
        <w:widowControl w:val="0"/>
        <w:spacing w:after="120"/>
        <w:rPr>
          <w:rFonts w:cs="Arial"/>
        </w:rPr>
      </w:pPr>
      <w:r>
        <w:rPr>
          <w:rFonts w:cs="Arial"/>
          <w:b/>
          <w:bCs/>
          <w:u w:val="single"/>
        </w:rPr>
        <w:t>GHG Cap</w:t>
      </w:r>
      <w:r>
        <w:rPr>
          <w:rFonts w:cs="Arial"/>
          <w:b/>
          <w:bCs/>
        </w:rPr>
        <w:t>:</w:t>
      </w:r>
      <w:r>
        <w:rPr>
          <w:rFonts w:cs="Arial"/>
        </w:rPr>
        <w:t xml:space="preserve"> The product of: (</w:t>
      </w:r>
      <w:proofErr w:type="spellStart"/>
      <w:r>
        <w:rPr>
          <w:rFonts w:cs="Arial"/>
        </w:rPr>
        <w:t>i</w:t>
      </w:r>
      <w:proofErr w:type="spellEnd"/>
      <w:r>
        <w:rPr>
          <w:rFonts w:cs="Arial"/>
        </w:rPr>
        <w:t xml:space="preserve">) GHG Rate; </w:t>
      </w:r>
      <w:r>
        <w:rPr>
          <w:rFonts w:cs="Arial"/>
          <w:i/>
          <w:iCs w:val="0"/>
        </w:rPr>
        <w:t>times</w:t>
      </w:r>
      <w:r>
        <w:rPr>
          <w:rFonts w:cs="Arial"/>
        </w:rPr>
        <w:t xml:space="preserve"> (ii) the quantity of fuel required to comply with GPC’s Scheduling Instructions.</w:t>
      </w:r>
    </w:p>
    <w:p w:rsidRPr="00F10071" w:rsidR="00D96326" w:rsidP="004A5539" w:rsidRDefault="00D96326" w14:paraId="7E740D75" w14:textId="2B957FE4">
      <w:pPr>
        <w:pStyle w:val="Heading3"/>
        <w:keepNext w:val="0"/>
        <w:widowControl w:val="0"/>
        <w:spacing w:after="120"/>
        <w:rPr>
          <w:rFonts w:cs="Arial"/>
        </w:rPr>
      </w:pPr>
      <w:r>
        <w:rPr>
          <w:rFonts w:cs="Arial"/>
          <w:b/>
          <w:bCs/>
          <w:u w:val="single"/>
        </w:rPr>
        <w:t>GHG Charges</w:t>
      </w:r>
      <w:r>
        <w:rPr>
          <w:rFonts w:cs="Arial"/>
          <w:b/>
        </w:rPr>
        <w:t>:</w:t>
      </w:r>
      <w:r>
        <w:rPr>
          <w:rFonts w:cs="Arial"/>
        </w:rPr>
        <w:t xml:space="preserve"> Any Taxes imposed on </w:t>
      </w:r>
      <w:r w:rsidR="00C7467F">
        <w:rPr>
          <w:rFonts w:cs="Arial"/>
        </w:rPr>
        <w:t xml:space="preserve">a </w:t>
      </w:r>
      <w:r>
        <w:rPr>
          <w:rFonts w:cs="Arial"/>
        </w:rPr>
        <w:t xml:space="preserve">Unit or Seller by a Governmental Authority under a New GHG Law for Greenhouse Gas emitted by and attributable to </w:t>
      </w:r>
      <w:r w:rsidR="00C7467F">
        <w:rPr>
          <w:rFonts w:cs="Arial"/>
        </w:rPr>
        <w:t xml:space="preserve">a </w:t>
      </w:r>
      <w:r>
        <w:rPr>
          <w:rFonts w:cs="Arial"/>
        </w:rPr>
        <w:t>Unit after the Delivery Commencement Date and prior to the end of the Term.</w:t>
      </w:r>
    </w:p>
    <w:p w:rsidRPr="00F10071" w:rsidR="00D96326" w:rsidP="004A5539" w:rsidRDefault="00D96326" w14:paraId="453537BE" w14:textId="6A0430FE">
      <w:pPr>
        <w:pStyle w:val="Heading3"/>
        <w:keepNext w:val="0"/>
        <w:widowControl w:val="0"/>
        <w:spacing w:after="120"/>
        <w:rPr>
          <w:rFonts w:cs="Arial"/>
        </w:rPr>
      </w:pPr>
      <w:r>
        <w:rPr>
          <w:rFonts w:cs="Arial"/>
          <w:b/>
          <w:bCs/>
          <w:u w:val="single"/>
        </w:rPr>
        <w:t>GHG Credits</w:t>
      </w:r>
      <w:r>
        <w:rPr>
          <w:rFonts w:cs="Arial"/>
          <w:b/>
        </w:rPr>
        <w:t>:</w:t>
      </w:r>
      <w:r>
        <w:rPr>
          <w:rFonts w:cs="Arial"/>
        </w:rPr>
        <w:t xml:space="preserve"> Any instrument, credit, offset, allowance, or similar right to emit Greenhouse Gas issued by a Governmental Authority in accordance with </w:t>
      </w:r>
      <w:r>
        <w:t>applicable laws</w:t>
      </w:r>
      <w:r>
        <w:rPr>
          <w:rFonts w:cs="Arial"/>
        </w:rPr>
        <w:t xml:space="preserve"> or any revenues that are allocated to or received by any Person or generating facility associated with any GHG emissions or the avoidance of or reduction in the production of GHG emissions.</w:t>
      </w:r>
    </w:p>
    <w:p w:rsidRPr="00F10071" w:rsidR="00D96326" w:rsidP="004A5539" w:rsidRDefault="00D96326" w14:paraId="29FCC573" w14:textId="2F4E118E">
      <w:pPr>
        <w:pStyle w:val="Heading3"/>
        <w:keepNext w:val="0"/>
        <w:widowControl w:val="0"/>
        <w:spacing w:after="120"/>
        <w:rPr>
          <w:rFonts w:cs="Arial"/>
        </w:rPr>
      </w:pPr>
      <w:r>
        <w:rPr>
          <w:rFonts w:cs="Arial"/>
          <w:b/>
          <w:bCs/>
          <w:u w:val="single"/>
        </w:rPr>
        <w:t>GHG Rate</w:t>
      </w:r>
      <w:r>
        <w:rPr>
          <w:rFonts w:cs="Arial"/>
          <w:b/>
        </w:rPr>
        <w:t>:</w:t>
      </w:r>
      <w:r>
        <w:rPr>
          <w:rFonts w:cs="Arial"/>
        </w:rPr>
        <w:t xml:space="preserve"> The GHG rates specified in Exhibit A (</w:t>
      </w:r>
      <w:r>
        <w:rPr>
          <w:rFonts w:cs="Arial"/>
          <w:i/>
        </w:rPr>
        <w:t>Facility Description and Additional Details</w:t>
      </w:r>
      <w:r>
        <w:rPr>
          <w:rFonts w:cs="Arial"/>
        </w:rPr>
        <w:t>).</w:t>
      </w:r>
    </w:p>
    <w:p w:rsidR="4589528B" w:rsidP="54C72364" w:rsidRDefault="4589528B" w14:paraId="624339F9" w14:textId="0D806563">
      <w:pPr>
        <w:pStyle w:val="Heading3"/>
        <w:keepNext w:val="0"/>
        <w:widowControl w:val="0"/>
        <w:spacing w:after="120"/>
        <w:rPr>
          <w:rFonts w:cs="Arial"/>
        </w:rPr>
      </w:pPr>
      <w:r>
        <w:rPr>
          <w:rFonts w:cs="Arial"/>
          <w:b/>
          <w:bCs/>
          <w:u w:val="single"/>
        </w:rPr>
        <w:t>Governmental Approvals</w:t>
      </w:r>
      <w:r>
        <w:rPr>
          <w:rFonts w:cs="Arial"/>
          <w:b/>
          <w:bCs/>
        </w:rPr>
        <w:t>:</w:t>
      </w:r>
      <w:r>
        <w:rPr>
          <w:rFonts w:cs="Arial"/>
        </w:rPr>
        <w:t xml:space="preserve"> Defined in Section 7.1.3(v) (</w:t>
      </w:r>
      <w:r>
        <w:rPr>
          <w:rFonts w:cs="Arial"/>
          <w:i/>
        </w:rPr>
        <w:t>Commercial Operation</w:t>
      </w:r>
      <w:r>
        <w:rPr>
          <w:rFonts w:cs="Arial"/>
        </w:rPr>
        <w:t>).</w:t>
      </w:r>
    </w:p>
    <w:p w:rsidR="00D96326" w:rsidP="004A5539" w:rsidRDefault="00D96326" w14:paraId="15A314F4" w14:textId="4947F2B9">
      <w:pPr>
        <w:pStyle w:val="Heading3"/>
        <w:keepNext w:val="0"/>
        <w:widowControl w:val="0"/>
        <w:spacing w:after="120"/>
        <w:rPr>
          <w:rFonts w:cs="Arial"/>
        </w:rPr>
      </w:pPr>
      <w:r>
        <w:rPr>
          <w:rFonts w:cs="Arial"/>
          <w:b/>
          <w:u w:val="single"/>
        </w:rPr>
        <w:t>Governmental Authority</w:t>
      </w:r>
      <w:r>
        <w:rPr>
          <w:rFonts w:cs="Arial"/>
          <w:b/>
        </w:rPr>
        <w:t>:</w:t>
      </w:r>
      <w:r>
        <w:rPr>
          <w:rFonts w:cs="Arial"/>
        </w:rPr>
        <w:t xml:space="preserve"> As applicable to the specific Party, facility, or event, any federal, state, or local governmental or regulatory authority, administrative agency, commission, department, board, or court that has jurisdiction over that Party, </w:t>
      </w:r>
      <w:r w:rsidR="00C7467F">
        <w:rPr>
          <w:rFonts w:cs="Arial"/>
        </w:rPr>
        <w:t>the Facility</w:t>
      </w:r>
      <w:r>
        <w:rPr>
          <w:rFonts w:cs="Arial"/>
        </w:rPr>
        <w:t>, or the subject matter of this PPA, but excluding any federal, state, or local governmental or regulatory authority, administrative agency, commission, department, board, or other such entity acting in a capacity as lender, guarantor, or mortgagee.</w:t>
      </w:r>
    </w:p>
    <w:p w:rsidR="13C87198" w:rsidP="54C72364" w:rsidRDefault="13C87198" w14:paraId="53F90821" w14:textId="7EA5BEC0">
      <w:pPr>
        <w:pStyle w:val="Heading3"/>
        <w:keepNext w:val="0"/>
        <w:widowControl w:val="0"/>
        <w:spacing w:after="120"/>
        <w:rPr>
          <w:rStyle w:val="normaltextrun"/>
        </w:rPr>
      </w:pPr>
      <w:r>
        <w:rPr>
          <w:rFonts w:cs="Arial"/>
          <w:b/>
          <w:bCs/>
          <w:u w:val="single"/>
        </w:rPr>
        <w:t>GPC</w:t>
      </w:r>
      <w:r>
        <w:rPr>
          <w:rFonts w:cs="Arial"/>
          <w:b/>
          <w:bCs/>
        </w:rPr>
        <w:t>:</w:t>
      </w:r>
      <w:r>
        <w:rPr>
          <w:rFonts w:cs="Arial"/>
        </w:rPr>
        <w:t xml:space="preserve"> Georgia Power Company, a Georgia corporation, as specified in the preamble.</w:t>
      </w:r>
    </w:p>
    <w:p w:rsidR="3BFFBCD7" w:rsidP="54C72364" w:rsidRDefault="3BFFBCD7" w14:paraId="340DA33E" w14:textId="1C60428C">
      <w:pPr>
        <w:pStyle w:val="Heading3"/>
        <w:keepNext w:val="0"/>
        <w:widowControl w:val="0"/>
        <w:spacing w:after="120"/>
      </w:pPr>
      <w:r>
        <w:rPr>
          <w:b/>
          <w:bCs/>
          <w:u w:val="single"/>
        </w:rPr>
        <w:t>GPC Consolidation</w:t>
      </w:r>
      <w:r>
        <w:rPr>
          <w:b/>
          <w:bCs/>
        </w:rPr>
        <w:t xml:space="preserve">: </w:t>
      </w:r>
      <w:r>
        <w:t>Defined in Section 2.1.8(</w:t>
      </w:r>
      <w:proofErr w:type="spellStart"/>
      <w:r>
        <w:t>i</w:t>
      </w:r>
      <w:proofErr w:type="spellEnd"/>
      <w:r>
        <w:t>) (</w:t>
      </w:r>
      <w:r>
        <w:rPr>
          <w:i/>
        </w:rPr>
        <w:t>VIE Certification</w:t>
      </w:r>
      <w:r>
        <w:t>).</w:t>
      </w:r>
    </w:p>
    <w:p w:rsidR="00DB407D" w:rsidP="54C72364" w:rsidRDefault="00DB407D" w14:paraId="28ECF260" w14:textId="0F0B39B0">
      <w:pPr>
        <w:pStyle w:val="Heading3"/>
        <w:keepNext w:val="0"/>
        <w:widowControl w:val="0"/>
        <w:spacing w:after="120"/>
        <w:rPr>
          <w:b/>
          <w:bCs/>
          <w:u w:val="single"/>
        </w:rPr>
      </w:pPr>
      <w:r w:rsidRPr="00B20225">
        <w:rPr>
          <w:rFonts w:cs="Arial"/>
          <w:b/>
          <w:bCs/>
          <w:u w:val="single"/>
        </w:rPr>
        <w:t>GPC Election Deadline</w:t>
      </w:r>
      <w:r w:rsidRPr="00B20225">
        <w:rPr>
          <w:rFonts w:cs="Arial"/>
          <w:b/>
          <w:bCs/>
        </w:rPr>
        <w:t xml:space="preserve">: </w:t>
      </w:r>
      <w:r w:rsidRPr="00B20225">
        <w:rPr>
          <w:rFonts w:cs="Arial"/>
        </w:rPr>
        <w:t>(</w:t>
      </w:r>
      <w:proofErr w:type="spellStart"/>
      <w:r w:rsidRPr="00B20225">
        <w:rPr>
          <w:rFonts w:cs="Arial"/>
        </w:rPr>
        <w:t>i</w:t>
      </w:r>
      <w:proofErr w:type="spellEnd"/>
      <w:r w:rsidRPr="00B20225">
        <w:rPr>
          <w:rFonts w:cs="Arial"/>
        </w:rPr>
        <w:t>) with respect to an Excess Expenditures Notice concerning capital expenditures, Taxes, or operating costs, the date that is 180 Days after GPC’s receipt of the Excess Expenditures Notice; and (ii) with respect to an Initial Tariff Notice, the date that is 90 Days after GPC’s receipt of the Initial Tariff Notice.</w:t>
      </w:r>
    </w:p>
    <w:p w:rsidR="00AA3DD3" w:rsidP="004A5539" w:rsidRDefault="00391763" w14:paraId="2FECFF6A" w14:textId="5823AD6E">
      <w:pPr>
        <w:pStyle w:val="Heading3"/>
        <w:keepNext w:val="0"/>
        <w:widowControl w:val="0"/>
        <w:spacing w:after="120"/>
        <w:rPr>
          <w:kern w:val="2"/>
          <w14:ligatures w14:val="standardContextual"/>
        </w:rPr>
      </w:pPr>
      <w:r>
        <w:rPr>
          <w:b/>
          <w:bCs/>
          <w:kern w:val="2"/>
          <w:u w:val="single"/>
          <w14:ligatures w14:val="standardContextual"/>
        </w:rPr>
        <w:lastRenderedPageBreak/>
        <w:t>GPC Election Notice</w:t>
      </w:r>
      <w:r>
        <w:rPr>
          <w:kern w:val="2"/>
          <w14:ligatures w14:val="standardContextual"/>
        </w:rPr>
        <w:t xml:space="preserve">: </w:t>
      </w:r>
      <w:r w:rsidRPr="00341121" w:rsidR="00576BF2">
        <w:rPr>
          <w:rFonts w:cs="Arial"/>
        </w:rPr>
        <w:t>Written notice from GPC to Seller of GPC’s election to pay an ACP Adjustment</w:t>
      </w:r>
      <w:r w:rsidR="00576BF2">
        <w:rPr>
          <w:rFonts w:cs="Arial"/>
        </w:rPr>
        <w:t>, implement Operational Alternatives,</w:t>
      </w:r>
      <w:r w:rsidRPr="00341121" w:rsidR="00576BF2">
        <w:rPr>
          <w:rFonts w:cs="Arial"/>
        </w:rPr>
        <w:t xml:space="preserve"> or terminate the PPA</w:t>
      </w:r>
      <w:r>
        <w:rPr>
          <w:kern w:val="2"/>
          <w14:ligatures w14:val="standardContextual"/>
        </w:rPr>
        <w:t>.</w:t>
      </w:r>
    </w:p>
    <w:p w:rsidRPr="007C076E" w:rsidR="00AD27FA" w:rsidP="004A5539" w:rsidRDefault="007C076E" w14:paraId="5BA96394" w14:textId="4DABD6F0">
      <w:pPr>
        <w:pStyle w:val="Heading3"/>
        <w:spacing w:after="120"/>
        <w:rPr>
          <w:rStyle w:val="zGNormalChar"/>
          <w:b/>
          <w:bCs/>
        </w:rPr>
      </w:pPr>
      <w:r>
        <w:rPr>
          <w:b/>
          <w:bCs/>
          <w:u w:val="single"/>
        </w:rPr>
        <w:t>GPC-Related Party</w:t>
      </w:r>
      <w:r>
        <w:rPr>
          <w:b/>
          <w:bCs/>
        </w:rPr>
        <w:t>:</w:t>
      </w:r>
      <w:r>
        <w:t xml:space="preserve"> Each of GPC, Southern Company, and their Affiliates, and the officers, directors, employees, representatives, and agents of each of them.</w:t>
      </w:r>
    </w:p>
    <w:p w:rsidRPr="00F10071" w:rsidR="00D96326" w:rsidP="004A5539" w:rsidRDefault="00D96326" w14:paraId="31773431" w14:textId="251E1BB9">
      <w:pPr>
        <w:pStyle w:val="Heading3"/>
        <w:keepNext w:val="0"/>
        <w:widowControl w:val="0"/>
        <w:spacing w:after="120"/>
        <w:rPr>
          <w:rFonts w:cs="Arial"/>
        </w:rPr>
      </w:pPr>
      <w:r>
        <w:rPr>
          <w:rFonts w:cs="Arial"/>
          <w:b/>
          <w:u w:val="single"/>
        </w:rPr>
        <w:t>GPC Security Account</w:t>
      </w:r>
      <w:r>
        <w:rPr>
          <w:rFonts w:cs="Arial"/>
          <w:b/>
        </w:rPr>
        <w:t>:</w:t>
      </w:r>
      <w:r>
        <w:rPr>
          <w:rFonts w:cs="Arial"/>
        </w:rPr>
        <w:t xml:space="preserve"> An account designated by GPC for the benefit of GPC, under the exclusive control of GPC and free of any lien</w:t>
      </w:r>
      <w:r w:rsidR="007068EA">
        <w:rPr>
          <w:rFonts w:cs="Arial"/>
        </w:rPr>
        <w:t>s</w:t>
      </w:r>
      <w:r>
        <w:rPr>
          <w:rFonts w:cs="Arial"/>
        </w:rPr>
        <w:t xml:space="preserve"> (including the lien of any lender) of any Person or entity other than GPC. Any GPC Security Account will be established and maintained at the expense of Seller and held by a depositary bank acceptable to GPC under a control agreement in form and substance acceptable to GPC.</w:t>
      </w:r>
    </w:p>
    <w:p w:rsidRPr="00F10071" w:rsidR="00D96326" w:rsidP="004A5539" w:rsidRDefault="00D96326" w14:paraId="451A15CA" w14:textId="3DB72A54">
      <w:pPr>
        <w:pStyle w:val="Heading3"/>
        <w:keepNext w:val="0"/>
        <w:widowControl w:val="0"/>
        <w:spacing w:after="120"/>
        <w:rPr>
          <w:rFonts w:cs="Arial"/>
          <w:b/>
        </w:rPr>
      </w:pPr>
      <w:r>
        <w:rPr>
          <w:rFonts w:cs="Arial"/>
          <w:b/>
          <w:bCs/>
          <w:u w:val="single"/>
        </w:rPr>
        <w:t>GPC System Incremental Cost</w:t>
      </w:r>
      <w:r>
        <w:rPr>
          <w:rFonts w:cs="Arial"/>
          <w:b/>
        </w:rPr>
        <w:t>:</w:t>
      </w:r>
      <w:r>
        <w:rPr>
          <w:rFonts w:cs="Arial"/>
          <w:bCs/>
        </w:rPr>
        <w:t xml:space="preserve"> Defined in </w:t>
      </w:r>
      <w:r>
        <w:rPr>
          <w:rFonts w:cs="Arial"/>
        </w:rPr>
        <w:t>Exhibit B</w:t>
      </w:r>
      <w:r>
        <w:rPr>
          <w:rFonts w:cs="Arial"/>
          <w:bCs/>
        </w:rPr>
        <w:t xml:space="preserve"> (</w:t>
      </w:r>
      <w:r>
        <w:rPr>
          <w:rFonts w:cs="Arial"/>
          <w:i/>
        </w:rPr>
        <w:t>Capacity; Capacity Payments and Payment Reductions; Buydown</w:t>
      </w:r>
      <w:r>
        <w:rPr>
          <w:rFonts w:cs="Arial"/>
          <w:bCs/>
        </w:rPr>
        <w:t xml:space="preserve">), </w:t>
      </w:r>
      <w:r>
        <w:rPr>
          <w:rFonts w:cs="Arial"/>
        </w:rPr>
        <w:t>Section 4.1 (</w:t>
      </w:r>
      <w:r>
        <w:rPr>
          <w:rFonts w:cs="Arial"/>
          <w:i/>
        </w:rPr>
        <w:t>Calculation of Replacement Costs</w:t>
      </w:r>
      <w:r>
        <w:rPr>
          <w:rFonts w:cs="Arial"/>
        </w:rPr>
        <w:t>)</w:t>
      </w:r>
      <w:r>
        <w:rPr>
          <w:rFonts w:cs="Arial"/>
          <w:bCs/>
        </w:rPr>
        <w:t>.</w:t>
      </w:r>
    </w:p>
    <w:p w:rsidRPr="00F10071" w:rsidR="00D96326" w:rsidP="004A5539" w:rsidRDefault="00D96326" w14:paraId="14C2C5FF" w14:textId="77777777">
      <w:pPr>
        <w:pStyle w:val="Heading3"/>
        <w:keepNext w:val="0"/>
        <w:widowControl w:val="0"/>
        <w:spacing w:after="120"/>
        <w:rPr>
          <w:rFonts w:cs="Arial"/>
        </w:rPr>
      </w:pPr>
      <w:r>
        <w:rPr>
          <w:rFonts w:cs="Arial"/>
          <w:b/>
          <w:bCs/>
          <w:u w:val="single"/>
        </w:rPr>
        <w:t>Greenhouse Gas</w:t>
      </w:r>
      <w:r>
        <w:rPr>
          <w:rFonts w:cs="Arial"/>
          <w:b/>
          <w:u w:val="single"/>
        </w:rPr>
        <w:t xml:space="preserve"> (</w:t>
      </w:r>
      <w:r>
        <w:rPr>
          <w:rFonts w:cs="Arial"/>
          <w:b/>
          <w:bCs/>
          <w:u w:val="single"/>
        </w:rPr>
        <w:t>GHG</w:t>
      </w:r>
      <w:r>
        <w:rPr>
          <w:rFonts w:cs="Arial"/>
          <w:b/>
          <w:u w:val="single"/>
        </w:rPr>
        <w:t>)</w:t>
      </w:r>
      <w:r>
        <w:rPr>
          <w:rFonts w:cs="Arial"/>
          <w:b/>
        </w:rPr>
        <w:t>:</w:t>
      </w:r>
      <w:r>
        <w:rPr>
          <w:rFonts w:cs="Arial"/>
        </w:rPr>
        <w:t xml:space="preserve"> Carbon dioxide (CO</w:t>
      </w:r>
      <w:r>
        <w:rPr>
          <w:rFonts w:cs="Arial"/>
          <w:vertAlign w:val="subscript"/>
        </w:rPr>
        <w:t>2</w:t>
      </w:r>
      <w:r>
        <w:rPr>
          <w:rFonts w:cs="Arial"/>
        </w:rPr>
        <w:t>), methane (CH</w:t>
      </w:r>
      <w:r>
        <w:rPr>
          <w:rFonts w:cs="Arial"/>
          <w:vertAlign w:val="subscript"/>
        </w:rPr>
        <w:t>4</w:t>
      </w:r>
      <w:r>
        <w:rPr>
          <w:rFonts w:cs="Arial"/>
        </w:rPr>
        <w:t>), nitrous oxide (N</w:t>
      </w:r>
      <w:r>
        <w:rPr>
          <w:rFonts w:cs="Arial"/>
          <w:vertAlign w:val="subscript"/>
        </w:rPr>
        <w:t>2</w:t>
      </w:r>
      <w:r>
        <w:rPr>
          <w:rFonts w:cs="Arial"/>
        </w:rPr>
        <w:t>O), sulfur hexafluoride (SF</w:t>
      </w:r>
      <w:r>
        <w:rPr>
          <w:rFonts w:cs="Arial"/>
          <w:vertAlign w:val="subscript"/>
        </w:rPr>
        <w:t>6</w:t>
      </w:r>
      <w:r>
        <w:rPr>
          <w:rFonts w:cs="Arial"/>
        </w:rPr>
        <w:t>), hydrofluorocarbons (HFCs), perfluorocarbons (PFCs), or other gases or emissions classified as a greenhouse gas contributing to the greenhouse effect.</w:t>
      </w:r>
    </w:p>
    <w:p w:rsidRPr="00F10071" w:rsidR="00D96326" w:rsidP="004A5539" w:rsidRDefault="00D96326" w14:paraId="0F32726D" w14:textId="02CD0C58">
      <w:pPr>
        <w:pStyle w:val="Heading3"/>
        <w:keepNext w:val="0"/>
        <w:widowControl w:val="0"/>
        <w:spacing w:after="120"/>
        <w:rPr>
          <w:rFonts w:cs="Arial"/>
        </w:rPr>
      </w:pPr>
      <w:r>
        <w:rPr>
          <w:rFonts w:cs="Arial"/>
          <w:b/>
          <w:u w:val="single"/>
        </w:rPr>
        <w:t>Grid Emergency</w:t>
      </w:r>
      <w:r>
        <w:rPr>
          <w:rFonts w:cs="Arial"/>
          <w:b/>
        </w:rPr>
        <w:t>:</w:t>
      </w:r>
      <w:r>
        <w:rPr>
          <w:rFonts w:cs="Arial"/>
        </w:rPr>
        <w:t xml:space="preserve"> Defined in the </w:t>
      </w:r>
      <w:r>
        <w:t>IA</w:t>
      </w:r>
      <w:r>
        <w:rPr>
          <w:rFonts w:cs="Arial"/>
        </w:rPr>
        <w:t>.</w:t>
      </w:r>
    </w:p>
    <w:p w:rsidRPr="00F10071" w:rsidR="00D96326" w:rsidP="004A5539" w:rsidRDefault="00D96326" w14:paraId="1D5C6836" w14:textId="52851BEF">
      <w:pPr>
        <w:pStyle w:val="Heading3"/>
        <w:keepNext w:val="0"/>
        <w:widowControl w:val="0"/>
        <w:spacing w:after="120"/>
        <w:rPr>
          <w:rFonts w:cs="Arial"/>
        </w:rPr>
      </w:pPr>
      <w:r>
        <w:rPr>
          <w:rFonts w:cs="Arial"/>
          <w:b/>
          <w:u w:val="single"/>
        </w:rPr>
        <w:t>Guaranteed Heat Rates</w:t>
      </w:r>
      <w:r>
        <w:rPr>
          <w:rFonts w:cs="Arial"/>
          <w:b/>
        </w:rPr>
        <w:t>:</w:t>
      </w:r>
      <w:r>
        <w:rPr>
          <w:rFonts w:cs="Arial"/>
        </w:rPr>
        <w:t xml:space="preserve"> Guaranteed heat rates set forth in Exhibit F (</w:t>
      </w:r>
      <w:r>
        <w:rPr>
          <w:rFonts w:cs="Arial"/>
          <w:i/>
        </w:rPr>
        <w:t>Guaranteed Heat Rates</w:t>
      </w:r>
      <w:r>
        <w:rPr>
          <w:rFonts w:cs="Arial"/>
        </w:rPr>
        <w:t>).</w:t>
      </w:r>
    </w:p>
    <w:p w:rsidR="00D96326" w:rsidP="004A5539" w:rsidRDefault="00D96326" w14:paraId="7D16A453" w14:textId="77777777">
      <w:pPr>
        <w:pStyle w:val="Heading3"/>
        <w:keepNext w:val="0"/>
        <w:widowControl w:val="0"/>
        <w:spacing w:after="120"/>
        <w:rPr>
          <w:rFonts w:cs="Arial"/>
        </w:rPr>
      </w:pPr>
      <w:r>
        <w:rPr>
          <w:rFonts w:cs="Arial"/>
          <w:b/>
          <w:u w:val="single"/>
        </w:rPr>
        <w:t>Hot Gas Path Inspection</w:t>
      </w:r>
      <w:r>
        <w:rPr>
          <w:rFonts w:cs="Arial"/>
          <w:b/>
        </w:rPr>
        <w:t>:</w:t>
      </w:r>
      <w:r>
        <w:rPr>
          <w:rFonts w:cs="Arial"/>
        </w:rPr>
        <w:t xml:space="preserve"> The hot gas path inspection as defined by the maintenance documents of the original equipment manufacturer.</w:t>
      </w:r>
    </w:p>
    <w:p w:rsidR="00D96326" w:rsidP="004A5539" w:rsidRDefault="00D96326" w14:paraId="68AAF3A5" w14:textId="4B4E1151">
      <w:pPr>
        <w:pStyle w:val="Heading3"/>
        <w:keepNext w:val="0"/>
        <w:widowControl w:val="0"/>
        <w:spacing w:after="120"/>
        <w:rPr>
          <w:rFonts w:cs="Arial"/>
        </w:rPr>
      </w:pPr>
      <w:r>
        <w:rPr>
          <w:rFonts w:cs="Arial"/>
          <w:b/>
          <w:bCs/>
          <w:u w:val="single"/>
        </w:rPr>
        <w:t>Hour</w:t>
      </w:r>
      <w:r>
        <w:rPr>
          <w:rFonts w:cs="Arial"/>
          <w:b/>
          <w:bCs/>
        </w:rPr>
        <w:t>:</w:t>
      </w:r>
      <w:r>
        <w:rPr>
          <w:rFonts w:cs="Arial"/>
        </w:rPr>
        <w:t xml:space="preserve"> One of the 24 </w:t>
      </w:r>
      <w:proofErr w:type="gramStart"/>
      <w:r>
        <w:rPr>
          <w:rFonts w:cs="Arial"/>
        </w:rPr>
        <w:t>clock-hours</w:t>
      </w:r>
      <w:proofErr w:type="gramEnd"/>
      <w:r>
        <w:rPr>
          <w:rFonts w:cs="Arial"/>
        </w:rPr>
        <w:t xml:space="preserve"> of a Day. “</w:t>
      </w:r>
      <w:r>
        <w:rPr>
          <w:rFonts w:cs="Arial"/>
          <w:b/>
          <w:bCs/>
        </w:rPr>
        <w:t>Hourly</w:t>
      </w:r>
      <w:r>
        <w:rPr>
          <w:rFonts w:cs="Arial"/>
        </w:rPr>
        <w:t xml:space="preserve">” has a meaning correlative to that of Hour. </w:t>
      </w:r>
    </w:p>
    <w:p w:rsidRPr="00074882" w:rsidR="004D37DE" w:rsidP="004D37DE" w:rsidRDefault="004D37DE" w14:paraId="72223845" w14:textId="77777777">
      <w:pPr>
        <w:pStyle w:val="Heading3"/>
        <w:keepNext w:val="0"/>
        <w:widowControl w:val="0"/>
        <w:spacing w:after="120"/>
        <w:rPr>
          <w:rFonts w:cs="Arial"/>
          <w:bCs/>
        </w:rPr>
      </w:pPr>
      <w:r>
        <w:rPr>
          <w:rFonts w:cs="Arial"/>
          <w:b/>
          <w:u w:val="single"/>
        </w:rPr>
        <w:t>IA</w:t>
      </w:r>
      <w:r>
        <w:rPr>
          <w:rFonts w:cs="Arial"/>
          <w:b/>
        </w:rPr>
        <w:t xml:space="preserve">: </w:t>
      </w:r>
      <w:r>
        <w:rPr>
          <w:rFonts w:cs="Arial"/>
          <w:bCs/>
        </w:rPr>
        <w:t xml:space="preserve">See </w:t>
      </w:r>
      <w:r>
        <w:rPr>
          <w:rFonts w:cs="Arial"/>
          <w:bCs/>
          <w:i/>
          <w:iCs w:val="0"/>
        </w:rPr>
        <w:t>Interconnection Agreement</w:t>
      </w:r>
      <w:r>
        <w:rPr>
          <w:rFonts w:cs="Arial"/>
          <w:bCs/>
        </w:rPr>
        <w:t>.</w:t>
      </w:r>
    </w:p>
    <w:p w:rsidRPr="00F10071" w:rsidR="00D96326" w:rsidP="004A5539" w:rsidRDefault="00D96326" w14:paraId="0151E593" w14:textId="6BC14653">
      <w:pPr>
        <w:pStyle w:val="Heading3"/>
        <w:keepNext w:val="0"/>
        <w:widowControl w:val="0"/>
        <w:spacing w:after="120"/>
        <w:rPr>
          <w:rFonts w:cs="Arial"/>
        </w:rPr>
      </w:pPr>
      <w:r>
        <w:rPr>
          <w:rFonts w:cs="Arial"/>
          <w:b/>
          <w:u w:val="single"/>
        </w:rPr>
        <w:t>Imbalance Charges</w:t>
      </w:r>
      <w:r>
        <w:rPr>
          <w:rFonts w:cs="Arial"/>
          <w:b/>
        </w:rPr>
        <w:t>:</w:t>
      </w:r>
      <w:r>
        <w:t xml:space="preserve"> Any imbalances or other penalties or charges from transporters or suppliers of Natural Gas delivered to the </w:t>
      </w:r>
      <w:r w:rsidR="0014057A">
        <w:t>Facility</w:t>
      </w:r>
      <w:r>
        <w:t>.</w:t>
      </w:r>
    </w:p>
    <w:p w:rsidR="21F5211C" w:rsidP="54C72364" w:rsidRDefault="21F5211C" w14:paraId="53521A3C" w14:textId="1E43C85B">
      <w:pPr>
        <w:pStyle w:val="Heading3"/>
        <w:keepNext w:val="0"/>
        <w:widowControl w:val="0"/>
        <w:spacing w:after="120"/>
      </w:pPr>
      <w:r>
        <w:rPr>
          <w:b/>
          <w:bCs/>
          <w:u w:val="single"/>
        </w:rPr>
        <w:t>Impasse Notice</w:t>
      </w:r>
      <w:r>
        <w:rPr>
          <w:b/>
          <w:bCs/>
        </w:rPr>
        <w:t>:</w:t>
      </w:r>
      <w:r>
        <w:t xml:space="preserve"> Defined in Section 19.1 (</w:t>
      </w:r>
      <w:r>
        <w:rPr>
          <w:i/>
        </w:rPr>
        <w:t>Notice of Dispute; Dispute Resolution Process</w:t>
      </w:r>
      <w:r>
        <w:t>).</w:t>
      </w:r>
    </w:p>
    <w:p w:rsidR="00D96326" w:rsidP="004A5539" w:rsidRDefault="00D96326" w14:paraId="3DE0E9B5" w14:textId="368E1F83">
      <w:pPr>
        <w:pStyle w:val="Heading3"/>
        <w:keepNext w:val="0"/>
        <w:widowControl w:val="0"/>
        <w:spacing w:after="120"/>
        <w:rPr>
          <w:rFonts w:cs="Arial"/>
        </w:rPr>
      </w:pPr>
      <w:r>
        <w:rPr>
          <w:rFonts w:cs="Arial"/>
          <w:b/>
          <w:w w:val="0"/>
          <w:u w:val="single"/>
        </w:rPr>
        <w:t>Indebtedness</w:t>
      </w:r>
      <w:r>
        <w:rPr>
          <w:rFonts w:cs="Arial"/>
          <w:b/>
          <w:bCs/>
        </w:rPr>
        <w:t>:</w:t>
      </w:r>
      <w:r>
        <w:rPr>
          <w:rFonts w:cs="Arial"/>
        </w:rPr>
        <w:t xml:space="preserve"> For any Person, each of the following without duplication: (</w:t>
      </w:r>
      <w:proofErr w:type="spellStart"/>
      <w:r>
        <w:rPr>
          <w:rFonts w:cs="Arial"/>
        </w:rPr>
        <w:t>i</w:t>
      </w:r>
      <w:proofErr w:type="spellEnd"/>
      <w:r>
        <w:rPr>
          <w:rFonts w:cs="Arial"/>
        </w:rPr>
        <w:t xml:space="preserve">) obligations of the Person for borrowed money evidenced by bonds, debentures, notes, loan agreements, or other similar instruments; (ii) purchase money indebtedness of the Person constituting an obligation to pay the </w:t>
      </w:r>
      <w:r>
        <w:rPr>
          <w:rFonts w:cs="Arial"/>
          <w:w w:val="0"/>
        </w:rPr>
        <w:t>deferred</w:t>
      </w:r>
      <w:r>
        <w:rPr>
          <w:rFonts w:cs="Arial"/>
        </w:rPr>
        <w:t xml:space="preserve"> purchase price of property or services, other than trade payables incurred in the ordinary course of business; (iii) lease obligations of the Person that are capitalized on the balance sheet of the Person in accordance with GAAP; (iv) liabilities of </w:t>
      </w:r>
      <w:r w:rsidR="00F90485">
        <w:rPr>
          <w:rFonts w:cs="Arial"/>
        </w:rPr>
        <w:t>the</w:t>
      </w:r>
      <w:r>
        <w:rPr>
          <w:rFonts w:cs="Arial"/>
        </w:rPr>
        <w:t xml:space="preserve"> second Person secured by any lien on any property of the first Person, whether or not the liabilities have been assumed by the first Person; (v) liabilities of the Person regarding letters of credit, applications, or reimbursement agreements for the liabilities; (vi) net obligations of the Person under any swap or hedging agreement;</w:t>
      </w:r>
      <w:r>
        <w:rPr>
          <w:rFonts w:cs="Arial"/>
          <w:b/>
        </w:rPr>
        <w:t xml:space="preserve"> </w:t>
      </w:r>
      <w:r>
        <w:rPr>
          <w:rFonts w:cs="Arial"/>
        </w:rPr>
        <w:t>or (vii) indebtedness of the Person owing under direct or indirect guarantees of indebtedness of any other Person or constituting obligations to purchase, acquire, or otherwise protect or insure a creditor against loss regarding indebtedness of any other Person, excluding endorsements of negotiable instruments for deposit or collection in the ordinary course of business.</w:t>
      </w:r>
    </w:p>
    <w:p w:rsidRPr="00F10071" w:rsidR="00C46B6E" w:rsidP="004A5539" w:rsidRDefault="00EA4C7E" w14:paraId="553EE09C" w14:textId="70B3D789">
      <w:pPr>
        <w:pStyle w:val="Heading3"/>
        <w:keepNext w:val="0"/>
        <w:widowControl w:val="0"/>
        <w:spacing w:after="120"/>
        <w:rPr>
          <w:rFonts w:cs="Arial"/>
          <w:w w:val="0"/>
        </w:rPr>
      </w:pPr>
      <w:r w:rsidRPr="00341121">
        <w:rPr>
          <w:rFonts w:cs="Arial"/>
          <w:b/>
          <w:bCs/>
          <w:u w:val="single"/>
        </w:rPr>
        <w:t>Initial Capital Expenditures Notice</w:t>
      </w:r>
      <w:r w:rsidRPr="00341121">
        <w:rPr>
          <w:rFonts w:cs="Arial"/>
          <w:b/>
          <w:bCs/>
        </w:rPr>
        <w:t xml:space="preserve">: </w:t>
      </w:r>
      <w:r w:rsidRPr="00341121">
        <w:rPr>
          <w:rFonts w:cs="Arial"/>
        </w:rPr>
        <w:t>A preliminary Excess Expenditures Notice solely concerning additional capital costs that Seller must incur because of a Change of Law.</w:t>
      </w:r>
    </w:p>
    <w:p w:rsidR="00D96326" w:rsidP="004A5539" w:rsidRDefault="00D96326" w14:paraId="5D77EA2B" w14:textId="539F1628">
      <w:pPr>
        <w:pStyle w:val="Heading3"/>
        <w:keepNext w:val="0"/>
        <w:widowControl w:val="0"/>
        <w:spacing w:after="120"/>
        <w:rPr>
          <w:rFonts w:cs="Arial"/>
        </w:rPr>
      </w:pPr>
      <w:r>
        <w:rPr>
          <w:rFonts w:cs="Arial"/>
          <w:b/>
          <w:u w:val="single"/>
        </w:rPr>
        <w:t>Initial Synchronization Date</w:t>
      </w:r>
      <w:r>
        <w:rPr>
          <w:rFonts w:cs="Arial"/>
          <w:b/>
        </w:rPr>
        <w:t>:</w:t>
      </w:r>
      <w:r>
        <w:rPr>
          <w:rFonts w:cs="Arial"/>
        </w:rPr>
        <w:t xml:space="preserve"> The date that includes the first instant in time when energy generated by the Facility is delivered to the POD in accordance with </w:t>
      </w:r>
      <w:proofErr w:type="gramStart"/>
      <w:r>
        <w:rPr>
          <w:rFonts w:cs="Arial"/>
        </w:rPr>
        <w:t xml:space="preserve">the </w:t>
      </w:r>
      <w:r>
        <w:t>IA</w:t>
      </w:r>
      <w:proofErr w:type="gramEnd"/>
      <w:r>
        <w:rPr>
          <w:rFonts w:cs="Arial"/>
        </w:rPr>
        <w:t>.</w:t>
      </w:r>
    </w:p>
    <w:p w:rsidRPr="001C0ABF" w:rsidR="009D3799" w:rsidP="004A5539" w:rsidRDefault="009D3799" w14:paraId="41B08844" w14:textId="3E608680">
      <w:pPr>
        <w:pStyle w:val="Heading3"/>
        <w:keepNext w:val="0"/>
        <w:widowControl w:val="0"/>
        <w:spacing w:after="120"/>
        <w:rPr>
          <w:rFonts w:cs="Arial"/>
        </w:rPr>
      </w:pPr>
      <w:r w:rsidRPr="00341121">
        <w:rPr>
          <w:rFonts w:cs="Arial"/>
          <w:b/>
          <w:bCs/>
          <w:u w:val="single"/>
        </w:rPr>
        <w:t>Initial Tariff Notice</w:t>
      </w:r>
      <w:r w:rsidRPr="00341121">
        <w:rPr>
          <w:rFonts w:cs="Arial"/>
        </w:rPr>
        <w:t xml:space="preserve">: A preliminary Excess Expenditures Notice solely concerning </w:t>
      </w:r>
      <w:r w:rsidR="003F0254">
        <w:rPr>
          <w:rFonts w:cs="Arial"/>
        </w:rPr>
        <w:t>T</w:t>
      </w:r>
      <w:r w:rsidRPr="00341121">
        <w:rPr>
          <w:rFonts w:cs="Arial"/>
        </w:rPr>
        <w:t>ariffs.</w:t>
      </w:r>
    </w:p>
    <w:p w:rsidRPr="001C0ABF" w:rsidR="00D96326" w:rsidP="004A5539" w:rsidRDefault="00D96326" w14:paraId="5C5F5567" w14:textId="3FCD1D46">
      <w:pPr>
        <w:pStyle w:val="Heading3"/>
        <w:keepNext w:val="0"/>
        <w:widowControl w:val="0"/>
        <w:spacing w:after="120"/>
        <w:rPr>
          <w:rStyle w:val="FootnoteReference"/>
          <w:rFonts w:cs="Arial"/>
        </w:rPr>
      </w:pPr>
      <w:r>
        <w:rPr>
          <w:rFonts w:cs="Arial"/>
          <w:b/>
          <w:u w:val="single"/>
        </w:rPr>
        <w:t>Interconnection Agreement (IA)</w:t>
      </w:r>
      <w:r>
        <w:rPr>
          <w:rFonts w:cs="Arial"/>
          <w:b/>
        </w:rPr>
        <w:t>:</w:t>
      </w:r>
      <w:r>
        <w:rPr>
          <w:rFonts w:cs="Arial"/>
        </w:rPr>
        <w:t xml:space="preserve"> T</w:t>
      </w:r>
      <w:r>
        <w:t xml:space="preserve">he agreement, </w:t>
      </w:r>
      <w:proofErr w:type="gramStart"/>
      <w:r>
        <w:t>entered into</w:t>
      </w:r>
      <w:proofErr w:type="gramEnd"/>
      <w:r>
        <w:t xml:space="preserve"> </w:t>
      </w:r>
      <w:r>
        <w:rPr>
          <w:highlight w:val="yellow"/>
        </w:rPr>
        <w:t xml:space="preserve">[or to be </w:t>
      </w:r>
      <w:proofErr w:type="gramStart"/>
      <w:r>
        <w:rPr>
          <w:highlight w:val="yellow"/>
        </w:rPr>
        <w:t>entered into</w:t>
      </w:r>
      <w:proofErr w:type="gramEnd"/>
      <w:r>
        <w:rPr>
          <w:highlight w:val="yellow"/>
        </w:rPr>
        <w:t>]</w:t>
      </w:r>
      <w:r w:rsidR="002131DE">
        <w:t xml:space="preserve"> </w:t>
      </w:r>
      <w:r>
        <w:t>between Seller and Interconnection Provider, in accordance with Section 8.1 (</w:t>
      </w:r>
      <w:r>
        <w:rPr>
          <w:i/>
        </w:rPr>
        <w:t>Interconnection</w:t>
      </w:r>
      <w:r>
        <w:t xml:space="preserve">), that provides for </w:t>
      </w:r>
      <w:r w:rsidR="00F90485">
        <w:t xml:space="preserve">the </w:t>
      </w:r>
      <w:r>
        <w:t>construction and operation of</w:t>
      </w:r>
      <w:r w:rsidR="00F90485">
        <w:t xml:space="preserve"> the</w:t>
      </w:r>
      <w:r>
        <w:t xml:space="preserve"> Interconnection Facilities and governs the interconnection and parallel operation of the Facility with the Electric System.</w:t>
      </w:r>
    </w:p>
    <w:p w:rsidR="00D96326" w:rsidP="004A5539" w:rsidRDefault="00D96326" w14:paraId="505C2BD4" w14:textId="7A6747D2">
      <w:pPr>
        <w:pStyle w:val="Heading3"/>
        <w:keepNext w:val="0"/>
        <w:widowControl w:val="0"/>
        <w:spacing w:after="120"/>
        <w:rPr>
          <w:rFonts w:cs="Arial"/>
        </w:rPr>
      </w:pPr>
      <w:r>
        <w:rPr>
          <w:rFonts w:cs="Arial"/>
          <w:b/>
          <w:bCs/>
          <w:u w:val="single"/>
        </w:rPr>
        <w:t>Interconnection Facilities</w:t>
      </w:r>
      <w:r>
        <w:rPr>
          <w:rFonts w:cs="Arial"/>
          <w:b/>
        </w:rPr>
        <w:t>:</w:t>
      </w:r>
      <w:r>
        <w:rPr>
          <w:rFonts w:cs="Arial"/>
        </w:rPr>
        <w:t xml:space="preserve"> The facilities described in the </w:t>
      </w:r>
      <w:r>
        <w:t>IA</w:t>
      </w:r>
      <w:r>
        <w:rPr>
          <w:rFonts w:cs="Arial"/>
        </w:rPr>
        <w:t xml:space="preserve"> that: (</w:t>
      </w:r>
      <w:proofErr w:type="spellStart"/>
      <w:r>
        <w:rPr>
          <w:rFonts w:cs="Arial"/>
        </w:rPr>
        <w:t>i</w:t>
      </w:r>
      <w:proofErr w:type="spellEnd"/>
      <w:r>
        <w:rPr>
          <w:rFonts w:cs="Arial"/>
        </w:rPr>
        <w:t>) must be installed or modified to enable the Facility to deliver capacity within the Contracted Capacity Range and associated energy; (ii) are owned by the Interconnection Provider; and (iii) are necessary to provide the physical electrical connection between the Facility and the Electric System.</w:t>
      </w:r>
    </w:p>
    <w:p w:rsidRPr="0064585E" w:rsidR="00DF2B95" w:rsidP="004A5539" w:rsidRDefault="00DF2B95" w14:paraId="43075236" w14:textId="4600B89C">
      <w:pPr>
        <w:pStyle w:val="Heading3"/>
        <w:keepNext w:val="0"/>
        <w:widowControl w:val="0"/>
        <w:spacing w:after="120"/>
        <w:rPr>
          <w:rFonts w:cs="Arial"/>
          <w:b/>
          <w:bCs/>
        </w:rPr>
      </w:pPr>
      <w:r>
        <w:rPr>
          <w:rFonts w:cs="Arial"/>
          <w:b/>
          <w:bCs/>
          <w:u w:val="single"/>
        </w:rPr>
        <w:t>Interconnection Limit</w:t>
      </w:r>
      <w:r>
        <w:rPr>
          <w:rFonts w:cs="Arial"/>
          <w:b/>
          <w:bCs/>
        </w:rPr>
        <w:t xml:space="preserve">: </w:t>
      </w:r>
      <w:r>
        <w:t>The maximum output amount of power allowed by the IA.</w:t>
      </w:r>
    </w:p>
    <w:p w:rsidRPr="00511AAB" w:rsidR="00D96326" w:rsidP="004A5539" w:rsidRDefault="00D96326" w14:paraId="7B0A54EE" w14:textId="77777777">
      <w:pPr>
        <w:pStyle w:val="Heading3"/>
        <w:keepNext w:val="0"/>
        <w:widowControl w:val="0"/>
        <w:spacing w:after="120"/>
        <w:rPr>
          <w:rFonts w:eastAsia="Times New Roman"/>
          <w:u w:color="0000FF"/>
        </w:rPr>
      </w:pPr>
      <w:r>
        <w:rPr>
          <w:rFonts w:ascii="Arial Bold" w:hAnsi="Arial Bold" w:eastAsia="Times New Roman" w:cs="Arial"/>
          <w:b/>
          <w:color w:val="000000" w:themeColor="text1"/>
          <w:u w:val="single"/>
        </w:rPr>
        <w:lastRenderedPageBreak/>
        <w:t>Interconnection Provider</w:t>
      </w:r>
      <w:r>
        <w:rPr>
          <w:rFonts w:eastAsia="Times New Roman" w:cs="Arial"/>
          <w:b/>
          <w:bCs/>
          <w:u w:color="0000FF"/>
        </w:rPr>
        <w:t>:</w:t>
      </w:r>
      <w:r>
        <w:rPr>
          <w:rFonts w:eastAsia="Times New Roman" w:cs="Arial"/>
          <w:u w:color="0000FF"/>
        </w:rPr>
        <w:t xml:space="preserve"> </w:t>
      </w:r>
      <w:r>
        <w:rPr>
          <w:rFonts w:eastAsia="Times New Roman"/>
          <w:u w:color="0000FF"/>
        </w:rPr>
        <w:t xml:space="preserve">The owner or operator of the </w:t>
      </w:r>
      <w:r>
        <w:rPr>
          <w:rFonts w:eastAsia="PMingLiU"/>
          <w:u w:color="0000FF"/>
        </w:rPr>
        <w:t>Electric</w:t>
      </w:r>
      <w:r>
        <w:rPr>
          <w:rFonts w:eastAsia="Times New Roman"/>
          <w:u w:color="0000FF"/>
        </w:rPr>
        <w:t xml:space="preserve"> System responsible for providing transmission interconnection service to the Facility.</w:t>
      </w:r>
    </w:p>
    <w:p w:rsidRPr="00BF1AD0" w:rsidR="00A314CD" w:rsidP="004A5539" w:rsidRDefault="00BE2322" w14:paraId="02AA8585" w14:textId="61395A11">
      <w:pPr>
        <w:pStyle w:val="Heading3"/>
        <w:keepNext w:val="0"/>
        <w:widowControl w:val="0"/>
        <w:spacing w:after="120"/>
        <w:rPr>
          <w:rFonts w:eastAsia="Times New Roman" w:cs="Arial"/>
          <w:b/>
          <w:bCs/>
          <w:color w:val="0000FF"/>
          <w:u w:val="double"/>
        </w:rPr>
      </w:pPr>
      <w:r>
        <w:rPr>
          <w:b/>
          <w:bCs/>
          <w:u w:val="single"/>
        </w:rPr>
        <w:t>Interconnection Study</w:t>
      </w:r>
      <w:r>
        <w:rPr>
          <w:b/>
          <w:bCs/>
        </w:rPr>
        <w:t>:</w:t>
      </w:r>
      <w:r>
        <w:t xml:space="preserve"> A study by the Interconnection Provider in which the provider studies the Facility’s potential impact on the </w:t>
      </w:r>
      <w:r>
        <w:rPr>
          <w:rFonts w:eastAsia="PMingLiU"/>
        </w:rPr>
        <w:t>Electric</w:t>
      </w:r>
      <w:r>
        <w:t xml:space="preserve"> System to determine necessary Interconnection Facilities and Electric System improvements or Affected System upgrades, the estimated related costs, and the schedule of construction, for purposes of </w:t>
      </w:r>
      <w:proofErr w:type="gramStart"/>
      <w:r>
        <w:t>entering into</w:t>
      </w:r>
      <w:proofErr w:type="gramEnd"/>
      <w:r>
        <w:t xml:space="preserve"> an IA or amending an existing IA.</w:t>
      </w:r>
    </w:p>
    <w:p w:rsidRPr="00F10071" w:rsidR="00D96326" w:rsidP="004A5539" w:rsidRDefault="00D96326" w14:paraId="56692466" w14:textId="058AA08B">
      <w:pPr>
        <w:pStyle w:val="Heading3"/>
        <w:keepNext w:val="0"/>
        <w:widowControl w:val="0"/>
        <w:spacing w:after="120"/>
        <w:rPr>
          <w:rFonts w:cs="Arial"/>
        </w:rPr>
      </w:pPr>
      <w:r>
        <w:rPr>
          <w:rFonts w:cs="Arial"/>
          <w:b/>
          <w:u w:val="single"/>
        </w:rPr>
        <w:t>Interconnection Study Agreement</w:t>
      </w:r>
      <w:r>
        <w:rPr>
          <w:rFonts w:cs="Arial"/>
          <w:b/>
        </w:rPr>
        <w:t>:</w:t>
      </w:r>
      <w:r>
        <w:rPr>
          <w:rFonts w:cs="Arial"/>
        </w:rPr>
        <w:t xml:space="preserve"> An agreement between Seller and the Interconnection Provider under which the Interconnection Provider performs the Interconnection Study. </w:t>
      </w:r>
    </w:p>
    <w:p w:rsidR="00D96326" w:rsidP="004A5539" w:rsidRDefault="00D96326" w14:paraId="1AA6334D" w14:textId="77777777">
      <w:pPr>
        <w:pStyle w:val="Heading3"/>
        <w:keepNext w:val="0"/>
        <w:widowControl w:val="0"/>
        <w:spacing w:after="120"/>
        <w:rPr>
          <w:rFonts w:cs="Arial"/>
        </w:rPr>
      </w:pPr>
      <w:r>
        <w:rPr>
          <w:rFonts w:cs="Arial"/>
          <w:b/>
          <w:bCs/>
          <w:u w:val="single"/>
        </w:rPr>
        <w:t>Interest Rate</w:t>
      </w:r>
      <w:r>
        <w:rPr>
          <w:rFonts w:cs="Arial"/>
          <w:b/>
        </w:rPr>
        <w:t>:</w:t>
      </w:r>
      <w:r>
        <w:rPr>
          <w:rFonts w:cs="Arial"/>
        </w:rPr>
        <w:t xml:space="preserve"> Interest per annum equal to the prime rate as published in </w:t>
      </w:r>
      <w:r>
        <w:rPr>
          <w:rFonts w:cs="Arial"/>
          <w:i/>
        </w:rPr>
        <w:t>The Wall Street Journal</w:t>
      </w:r>
      <w:r>
        <w:rPr>
          <w:rFonts w:cs="Arial"/>
        </w:rPr>
        <w:t>, or comparable successor publication, under “Money Rates,” as applied daily and compounded quarterly.</w:t>
      </w:r>
    </w:p>
    <w:p w:rsidRPr="00E75DCA" w:rsidR="004D519C" w:rsidP="004A5539" w:rsidRDefault="004D519C" w14:paraId="552A7E17" w14:textId="06E56978">
      <w:pPr>
        <w:pStyle w:val="Heading3"/>
        <w:keepNext w:val="0"/>
        <w:widowControl w:val="0"/>
        <w:spacing w:after="120"/>
      </w:pPr>
      <w:r>
        <w:rPr>
          <w:rFonts w:cs="Arial"/>
          <w:b/>
          <w:bCs/>
          <w:u w:val="single"/>
        </w:rPr>
        <w:t>ITS Participant</w:t>
      </w:r>
      <w:r>
        <w:rPr>
          <w:rFonts w:cs="Arial"/>
          <w:b/>
          <w:bCs/>
        </w:rPr>
        <w:t>:</w:t>
      </w:r>
      <w:r>
        <w:rPr>
          <w:rFonts w:cs="Arial"/>
        </w:rPr>
        <w:t xml:space="preserve"> Any of Dalton Utilities, </w:t>
      </w:r>
      <w:r>
        <w:t>Georgia Transmission Corporation, or the Municipal Electric Authority of Georgia. As used in this PPA, ITS Participant excludes GPC.</w:t>
      </w:r>
    </w:p>
    <w:p w:rsidR="245E2A91" w:rsidP="54C72364" w:rsidRDefault="245E2A91" w14:paraId="3763B5C8" w14:textId="2BAD5BA2">
      <w:pPr>
        <w:pStyle w:val="Heading3"/>
        <w:keepNext w:val="0"/>
        <w:widowControl w:val="0"/>
        <w:spacing w:after="120"/>
      </w:pPr>
      <w:r>
        <w:rPr>
          <w:b/>
          <w:bCs/>
          <w:u w:val="single"/>
        </w:rPr>
        <w:t>JAMS</w:t>
      </w:r>
      <w:r>
        <w:rPr>
          <w:b/>
          <w:bCs/>
        </w:rPr>
        <w:t xml:space="preserve">: </w:t>
      </w:r>
      <w:r>
        <w:t>Defined in Section 19.3.1 (</w:t>
      </w:r>
      <w:r>
        <w:rPr>
          <w:i/>
        </w:rPr>
        <w:t>JAMS</w:t>
      </w:r>
      <w:r>
        <w:t>).</w:t>
      </w:r>
    </w:p>
    <w:p w:rsidRPr="00094229" w:rsidR="00D96326" w:rsidP="004A5539" w:rsidRDefault="00D96326" w14:paraId="3983DCEC" w14:textId="7F5122A1">
      <w:pPr>
        <w:pStyle w:val="Heading3"/>
        <w:keepNext w:val="0"/>
        <w:widowControl w:val="0"/>
        <w:spacing w:after="120"/>
      </w:pPr>
      <w:r>
        <w:rPr>
          <w:rFonts w:cs="Arial"/>
          <w:b/>
          <w:u w:val="single"/>
        </w:rPr>
        <w:t>Key Milestone</w:t>
      </w:r>
      <w:r>
        <w:rPr>
          <w:rFonts w:cs="Arial"/>
          <w:b/>
          <w:bCs/>
          <w:u w:val="single"/>
        </w:rPr>
        <w:t>s</w:t>
      </w:r>
      <w:r>
        <w:rPr>
          <w:rFonts w:cs="Arial"/>
          <w:b/>
          <w:bCs/>
        </w:rPr>
        <w:t>:</w:t>
      </w:r>
      <w:r>
        <w:t xml:space="preserve"> Each of the milestones identified in Exhibit A-1 (</w:t>
      </w:r>
      <w:r>
        <w:rPr>
          <w:i/>
        </w:rPr>
        <w:t>Key Milestones and Required Key Milestone Dates</w:t>
      </w:r>
      <w:r>
        <w:t>).</w:t>
      </w:r>
    </w:p>
    <w:p w:rsidRPr="00CC79BA" w:rsidR="0096660A" w:rsidP="004A5539" w:rsidRDefault="0096660A" w14:paraId="447157F9" w14:textId="437EE937">
      <w:pPr>
        <w:pStyle w:val="Heading3"/>
        <w:keepNext w:val="0"/>
        <w:widowControl w:val="0"/>
        <w:spacing w:after="120"/>
        <w:rPr>
          <w:rFonts w:cs="Arial"/>
        </w:rPr>
      </w:pPr>
      <w:r>
        <w:rPr>
          <w:b/>
          <w:bCs/>
          <w:u w:val="single"/>
        </w:rPr>
        <w:t>Key Milestone Date</w:t>
      </w:r>
      <w:r>
        <w:rPr>
          <w:b/>
          <w:bCs/>
        </w:rPr>
        <w:t xml:space="preserve">: </w:t>
      </w:r>
      <w:r>
        <w:t>Each of the dates identified in Exhibit A-1 (</w:t>
      </w:r>
      <w:r>
        <w:rPr>
          <w:i/>
        </w:rPr>
        <w:t>Key Milestones and Required Key Milestone Dates</w:t>
      </w:r>
      <w:r>
        <w:t>) as the date by which Seller guarantees the corresponding Key Milestone will be achieved.</w:t>
      </w:r>
    </w:p>
    <w:p w:rsidRPr="00FC384E" w:rsidR="00D96326" w:rsidP="004A5539" w:rsidRDefault="00D96326" w14:paraId="12BF2C6B" w14:textId="3EBD5BBE">
      <w:pPr>
        <w:pStyle w:val="Heading3"/>
        <w:keepNext w:val="0"/>
        <w:widowControl w:val="0"/>
        <w:spacing w:after="120"/>
        <w:rPr>
          <w:rFonts w:cs="Arial"/>
        </w:rPr>
      </w:pPr>
      <w:r>
        <w:rPr>
          <w:rFonts w:cs="Arial"/>
          <w:b/>
          <w:u w:val="single"/>
        </w:rPr>
        <w:t>kV</w:t>
      </w:r>
      <w:r>
        <w:rPr>
          <w:rFonts w:cs="Arial"/>
          <w:b/>
        </w:rPr>
        <w:t>:</w:t>
      </w:r>
      <w:r>
        <w:rPr>
          <w:rFonts w:cs="Arial"/>
        </w:rPr>
        <w:t xml:space="preserve"> Kilovolt(s).</w:t>
      </w:r>
    </w:p>
    <w:p w:rsidR="00D96326" w:rsidP="004A5539" w:rsidRDefault="00D96326" w14:paraId="4B17C0D0" w14:textId="77777777">
      <w:pPr>
        <w:pStyle w:val="Heading3"/>
        <w:keepNext w:val="0"/>
        <w:widowControl w:val="0"/>
        <w:spacing w:after="120"/>
        <w:rPr>
          <w:rFonts w:cs="Arial"/>
        </w:rPr>
      </w:pPr>
      <w:r>
        <w:rPr>
          <w:rFonts w:cs="Arial"/>
          <w:b/>
          <w:u w:val="single"/>
        </w:rPr>
        <w:t>kW</w:t>
      </w:r>
      <w:r>
        <w:rPr>
          <w:rFonts w:cs="Arial"/>
          <w:b/>
        </w:rPr>
        <w:t>:</w:t>
      </w:r>
      <w:r>
        <w:rPr>
          <w:rFonts w:cs="Arial"/>
        </w:rPr>
        <w:t xml:space="preserve"> Kilowatt(s) (AC).</w:t>
      </w:r>
    </w:p>
    <w:p w:rsidRPr="00F10071" w:rsidR="00D96326" w:rsidP="004A5539" w:rsidRDefault="001A1E8E" w14:paraId="4309BD66" w14:textId="6272DCAE">
      <w:pPr>
        <w:pStyle w:val="Heading3"/>
        <w:keepNext w:val="0"/>
        <w:widowControl w:val="0"/>
        <w:spacing w:after="120"/>
        <w:rPr>
          <w:rFonts w:cs="Arial"/>
        </w:rPr>
      </w:pPr>
      <w:r>
        <w:rPr>
          <w:rFonts w:cs="Arial"/>
          <w:b/>
          <w:u w:val="single"/>
        </w:rPr>
        <w:t>Letter of Credit</w:t>
      </w:r>
      <w:r>
        <w:rPr>
          <w:rFonts w:cs="Arial"/>
          <w:b/>
        </w:rPr>
        <w:t>:</w:t>
      </w:r>
      <w:r>
        <w:rPr>
          <w:rFonts w:cs="Arial"/>
        </w:rPr>
        <w:t xml:space="preserve"> </w:t>
      </w:r>
      <w:r>
        <w:rPr>
          <w:rFonts w:cs="Arial"/>
          <w:bCs/>
        </w:rPr>
        <w:t>An irrevocable standby letter of credit that is: (</w:t>
      </w:r>
      <w:proofErr w:type="spellStart"/>
      <w:r>
        <w:rPr>
          <w:rFonts w:cs="Arial"/>
          <w:bCs/>
        </w:rPr>
        <w:t>i</w:t>
      </w:r>
      <w:proofErr w:type="spellEnd"/>
      <w:r>
        <w:rPr>
          <w:rFonts w:cs="Arial"/>
          <w:bCs/>
        </w:rPr>
        <w:t xml:space="preserve">) substantially in the form set forth in </w:t>
      </w:r>
      <w:r>
        <w:rPr>
          <w:rFonts w:cs="Arial"/>
        </w:rPr>
        <w:t>Exhibit H (</w:t>
      </w:r>
      <w:r>
        <w:rPr>
          <w:rFonts w:cs="Arial"/>
          <w:i/>
        </w:rPr>
        <w:t>Form of Standby Letter of Credit</w:t>
      </w:r>
      <w:r>
        <w:rPr>
          <w:rFonts w:cs="Arial"/>
        </w:rPr>
        <w:t>)</w:t>
      </w:r>
      <w:r>
        <w:rPr>
          <w:rFonts w:cs="Arial"/>
          <w:bCs/>
        </w:rPr>
        <w:t>; (ii) issued by a U.S. commercial bank or a U.S. branch of a foreign bank: (a) with total assets of at least 10 billion dollars ($10,000,000,000); and (b) having a general long-term senior unsecured debt rating of: (I) A minus or higher as rated by S&amp;P; (II) A3 or higher as rated by Moody’s; or (III) A minus or higher as rated by Fitch; and (iii) acceptable to GPC in GPC’s sole but reasonable discretion.</w:t>
      </w:r>
    </w:p>
    <w:p w:rsidR="42230ED9" w:rsidP="54C72364" w:rsidRDefault="42230ED9" w14:paraId="13D0DCF5" w14:textId="491C4E95">
      <w:pPr>
        <w:pStyle w:val="Heading3"/>
        <w:keepNext w:val="0"/>
        <w:widowControl w:val="0"/>
        <w:spacing w:after="120"/>
        <w:rPr>
          <w:rFonts w:cs="Arial"/>
        </w:rPr>
      </w:pPr>
      <w:r>
        <w:rPr>
          <w:rFonts w:cs="Arial"/>
          <w:b/>
          <w:bCs/>
          <w:u w:val="single"/>
        </w:rPr>
        <w:t>Losses</w:t>
      </w:r>
      <w:r>
        <w:rPr>
          <w:rFonts w:cs="Arial"/>
          <w:b/>
          <w:bCs/>
        </w:rPr>
        <w:t>:</w:t>
      </w:r>
      <w:r>
        <w:rPr>
          <w:rFonts w:cs="Arial"/>
        </w:rPr>
        <w:t xml:space="preserve"> Defined in Section 16.3.3 (</w:t>
      </w:r>
      <w:r>
        <w:rPr>
          <w:rFonts w:cs="Arial"/>
          <w:i/>
        </w:rPr>
        <w:t>Determining Gains, Losses, and Costs</w:t>
      </w:r>
      <w:r>
        <w:rPr>
          <w:rFonts w:cs="Arial"/>
        </w:rPr>
        <w:t>).</w:t>
      </w:r>
    </w:p>
    <w:p w:rsidRPr="00E63E41" w:rsidR="009D5FCE" w:rsidP="004A5539" w:rsidRDefault="009D5FCE" w14:paraId="12CEE929" w14:textId="77777777">
      <w:pPr>
        <w:pStyle w:val="Heading3"/>
        <w:keepNext w:val="0"/>
        <w:widowControl w:val="0"/>
        <w:spacing w:after="120"/>
        <w:rPr>
          <w:rFonts w:cs="Arial"/>
          <w:bCs/>
          <w:u w:val="single"/>
        </w:rPr>
      </w:pPr>
      <w:r>
        <w:rPr>
          <w:rFonts w:cs="Arial"/>
          <w:b/>
          <w:u w:val="single"/>
        </w:rPr>
        <w:t>MAA</w:t>
      </w:r>
      <w:r>
        <w:rPr>
          <w:rFonts w:cs="Arial"/>
          <w:b/>
        </w:rPr>
        <w:t>:</w:t>
      </w:r>
      <w:r>
        <w:rPr>
          <w:rFonts w:cs="Arial"/>
          <w:bCs/>
        </w:rPr>
        <w:t xml:space="preserve"> See </w:t>
      </w:r>
      <w:r>
        <w:rPr>
          <w:rFonts w:cs="Arial"/>
          <w:bCs/>
          <w:i/>
          <w:iCs w:val="0"/>
        </w:rPr>
        <w:t>Monthly Availability Adjustment</w:t>
      </w:r>
      <w:r>
        <w:rPr>
          <w:rFonts w:cs="Arial"/>
          <w:bCs/>
        </w:rPr>
        <w:t>.</w:t>
      </w:r>
    </w:p>
    <w:p w:rsidR="00D96326" w:rsidP="004A5539" w:rsidRDefault="00D96326" w14:paraId="67B3C440" w14:textId="77777777">
      <w:pPr>
        <w:pStyle w:val="Heading3"/>
        <w:keepNext w:val="0"/>
        <w:widowControl w:val="0"/>
        <w:spacing w:after="120"/>
        <w:rPr>
          <w:rFonts w:cs="Arial"/>
          <w:bCs/>
        </w:rPr>
      </w:pPr>
      <w:r>
        <w:rPr>
          <w:rFonts w:cs="Arial"/>
          <w:b/>
          <w:u w:val="single"/>
        </w:rPr>
        <w:t>MAF</w:t>
      </w:r>
      <w:r>
        <w:rPr>
          <w:rFonts w:cs="Arial"/>
          <w:b/>
        </w:rPr>
        <w:t>:</w:t>
      </w:r>
      <w:r>
        <w:rPr>
          <w:rFonts w:cs="Arial"/>
          <w:bCs/>
        </w:rPr>
        <w:t xml:space="preserve"> See</w:t>
      </w:r>
      <w:r>
        <w:rPr>
          <w:rFonts w:cs="Arial"/>
          <w:bCs/>
          <w:i/>
          <w:iCs w:val="0"/>
        </w:rPr>
        <w:t xml:space="preserve"> Monthly Availability Factor</w:t>
      </w:r>
      <w:r>
        <w:rPr>
          <w:rFonts w:cs="Arial"/>
          <w:bCs/>
        </w:rPr>
        <w:t>.</w:t>
      </w:r>
    </w:p>
    <w:p w:rsidRPr="00F10071" w:rsidR="00D96326" w:rsidP="004A5539" w:rsidRDefault="00D96326" w14:paraId="767CAF0D" w14:textId="2979B2A9">
      <w:pPr>
        <w:pStyle w:val="Heading3"/>
        <w:keepNext w:val="0"/>
        <w:widowControl w:val="0"/>
        <w:spacing w:after="120"/>
        <w:rPr>
          <w:rFonts w:cs="Arial"/>
        </w:rPr>
      </w:pPr>
      <w:r>
        <w:rPr>
          <w:rFonts w:cs="Arial"/>
          <w:b/>
          <w:u w:val="single"/>
        </w:rPr>
        <w:t>Maintenance Outage</w:t>
      </w:r>
      <w:r>
        <w:rPr>
          <w:rFonts w:cs="Arial"/>
          <w:b/>
        </w:rPr>
        <w:t>:</w:t>
      </w:r>
      <w:r>
        <w:rPr>
          <w:rFonts w:cs="Arial"/>
        </w:rPr>
        <w:t xml:space="preserve"> A planned interruption of a portion or all of the Facility’s generation capability that: (</w:t>
      </w:r>
      <w:proofErr w:type="spellStart"/>
      <w:r>
        <w:rPr>
          <w:rFonts w:cs="Arial"/>
        </w:rPr>
        <w:t>i</w:t>
      </w:r>
      <w:proofErr w:type="spellEnd"/>
      <w:r>
        <w:rPr>
          <w:rFonts w:cs="Arial"/>
        </w:rPr>
        <w:t>) has been coordinated in advance with GPC with a mutually agreed start date, time and duration or to which GPC has consented in accordance with Section 10.2.2 (</w:t>
      </w:r>
      <w:r>
        <w:rPr>
          <w:rFonts w:cs="Arial"/>
          <w:i/>
        </w:rPr>
        <w:t>Maintenance Outages</w:t>
      </w:r>
      <w:r>
        <w:rPr>
          <w:rFonts w:cs="Arial"/>
        </w:rPr>
        <w:t>); and (ii) is for the purpose of performing work on specific components of the Facility that would limit the power output of the Facility but should not, in the reasonable judgment of Seller, be postponed until the next Scheduled Outage.</w:t>
      </w:r>
    </w:p>
    <w:p w:rsidRPr="00F10071" w:rsidR="00D96326" w:rsidP="004A5539" w:rsidRDefault="00D96326" w14:paraId="285483D4" w14:textId="25AC334B">
      <w:pPr>
        <w:pStyle w:val="Heading3"/>
        <w:keepNext w:val="0"/>
        <w:widowControl w:val="0"/>
        <w:spacing w:after="120"/>
        <w:rPr>
          <w:rFonts w:cs="Arial"/>
        </w:rPr>
      </w:pPr>
      <w:r>
        <w:rPr>
          <w:rFonts w:cs="Arial"/>
          <w:b/>
          <w:u w:val="single"/>
        </w:rPr>
        <w:t>Maintenance Schedule</w:t>
      </w:r>
      <w:r>
        <w:rPr>
          <w:rFonts w:cs="Arial"/>
          <w:b/>
        </w:rPr>
        <w:t>:</w:t>
      </w:r>
      <w:r>
        <w:rPr>
          <w:rFonts w:cs="Arial"/>
        </w:rPr>
        <w:t xml:space="preserve"> Seller’s maintenance schedule, including the scope of the maintenance</w:t>
      </w:r>
      <w:r w:rsidR="00782C84">
        <w:rPr>
          <w:rFonts w:cs="Arial"/>
        </w:rPr>
        <w:t>,</w:t>
      </w:r>
      <w:r>
        <w:rPr>
          <w:rFonts w:cs="Arial"/>
        </w:rPr>
        <w:t xml:space="preserve"> and outage plans for the Facility that conform to Prudent Industry Practices for similar equipment, including in terms of frequency and duration. Upon GPC approval, the Maintenance Schedule establishes Scheduled Outages.</w:t>
      </w:r>
    </w:p>
    <w:p w:rsidRPr="00F10071" w:rsidR="00D96326" w:rsidP="004A5539" w:rsidRDefault="00D96326" w14:paraId="4D522A77" w14:textId="77777777">
      <w:pPr>
        <w:pStyle w:val="Heading3"/>
        <w:keepNext w:val="0"/>
        <w:widowControl w:val="0"/>
        <w:spacing w:after="120"/>
        <w:rPr>
          <w:rFonts w:cs="Arial"/>
        </w:rPr>
      </w:pPr>
      <w:r>
        <w:rPr>
          <w:rFonts w:cs="Arial"/>
          <w:b/>
          <w:u w:val="single"/>
        </w:rPr>
        <w:t>Major Inspection</w:t>
      </w:r>
      <w:r>
        <w:rPr>
          <w:rFonts w:cs="Arial"/>
          <w:b/>
        </w:rPr>
        <w:t>:</w:t>
      </w:r>
      <w:r>
        <w:rPr>
          <w:rFonts w:cs="Arial"/>
        </w:rPr>
        <w:t xml:space="preserve"> Major inspection as defined by the maintenance documents of the original equipment manufacturer.</w:t>
      </w:r>
    </w:p>
    <w:p w:rsidR="00821AB2" w:rsidP="004A5539" w:rsidRDefault="00821AB2" w14:paraId="6682BF4C" w14:textId="77777777">
      <w:pPr>
        <w:pStyle w:val="Heading3"/>
        <w:keepNext w:val="0"/>
        <w:widowControl w:val="0"/>
        <w:spacing w:after="120"/>
        <w:rPr>
          <w:rFonts w:cs="Arial"/>
          <w:bCs/>
          <w:u w:val="single"/>
        </w:rPr>
      </w:pPr>
      <w:r>
        <w:rPr>
          <w:rFonts w:cs="Arial"/>
          <w:b/>
          <w:u w:val="single"/>
        </w:rPr>
        <w:t>MAP</w:t>
      </w:r>
      <w:r>
        <w:rPr>
          <w:rFonts w:cs="Arial"/>
          <w:b/>
        </w:rPr>
        <w:t>:</w:t>
      </w:r>
      <w:r>
        <w:rPr>
          <w:rFonts w:cs="Arial"/>
          <w:bCs/>
        </w:rPr>
        <w:t xml:space="preserve"> See</w:t>
      </w:r>
      <w:r>
        <w:rPr>
          <w:rFonts w:cs="Arial"/>
          <w:bCs/>
          <w:i/>
          <w:iCs w:val="0"/>
        </w:rPr>
        <w:t xml:space="preserve"> Monthly Availability Percentage</w:t>
      </w:r>
      <w:r>
        <w:rPr>
          <w:rFonts w:cs="Arial"/>
          <w:bCs/>
        </w:rPr>
        <w:t>.</w:t>
      </w:r>
    </w:p>
    <w:p w:rsidR="00D96326" w:rsidP="004A5539" w:rsidRDefault="00D96326" w14:paraId="38B9A571" w14:textId="6F130F53">
      <w:pPr>
        <w:pStyle w:val="Heading3"/>
        <w:keepNext w:val="0"/>
        <w:widowControl w:val="0"/>
        <w:spacing w:after="120"/>
        <w:rPr>
          <w:rFonts w:cs="Arial"/>
        </w:rPr>
      </w:pPr>
      <w:r>
        <w:rPr>
          <w:rFonts w:cs="Arial"/>
          <w:b/>
          <w:u w:val="single"/>
        </w:rPr>
        <w:t>Material Adverse Change</w:t>
      </w:r>
      <w:r>
        <w:rPr>
          <w:rFonts w:cs="Arial"/>
          <w:b/>
        </w:rPr>
        <w:t>:</w:t>
      </w:r>
      <w:r>
        <w:rPr>
          <w:rFonts w:cs="Arial"/>
        </w:rPr>
        <w:t xml:space="preserve"> Seller or, if Seller is providing Eligible Collateral in the form of a Seller Guaranty, Seller Guarantor experiences any of the following conditions: (</w:t>
      </w:r>
      <w:proofErr w:type="spellStart"/>
      <w:r>
        <w:rPr>
          <w:rFonts w:cs="Arial"/>
        </w:rPr>
        <w:t>i</w:t>
      </w:r>
      <w:proofErr w:type="spellEnd"/>
      <w:r>
        <w:rPr>
          <w:rFonts w:cs="Arial"/>
        </w:rPr>
        <w:t>) Seller or Seller Guarantor is no longer Creditworthy; or (ii) the maturity of any Indebtedness of Seller or Seller Guarantor that in the aggregate exceeds fifty million dollars ($50,000,000.00) or 3% of equity, whichever is less, is accelerated by the holder or holders of the Indebtedness because of a Seller or Seller Guarantor default regarding the Indebtedness.</w:t>
      </w:r>
    </w:p>
    <w:p w:rsidRPr="00E2776B" w:rsidR="00D96326" w:rsidP="004A5539" w:rsidRDefault="00D96326" w14:paraId="450CC20F" w14:textId="2B07BFC7">
      <w:pPr>
        <w:pStyle w:val="Heading3"/>
        <w:keepNext w:val="0"/>
        <w:widowControl w:val="0"/>
        <w:spacing w:after="120"/>
        <w:rPr>
          <w:rFonts w:cs="Arial"/>
          <w:i/>
          <w:iCs w:val="0"/>
        </w:rPr>
      </w:pPr>
      <w:r>
        <w:rPr>
          <w:rFonts w:cs="Arial"/>
          <w:b/>
          <w:bCs/>
          <w:u w:val="single"/>
        </w:rPr>
        <w:t>Maximum Ramp Rate</w:t>
      </w:r>
      <w:r>
        <w:rPr>
          <w:rFonts w:cs="Arial"/>
          <w:b/>
          <w:bCs/>
        </w:rPr>
        <w:t>:</w:t>
      </w:r>
      <w:r>
        <w:rPr>
          <w:rFonts w:cs="Arial"/>
        </w:rPr>
        <w:t xml:space="preserve"> The maximum ramp rate listed in Exhibit D (</w:t>
      </w:r>
      <w:r>
        <w:rPr>
          <w:rFonts w:cs="Arial"/>
          <w:i/>
        </w:rPr>
        <w:t>Technical Limits and Schedule Procedures</w:t>
      </w:r>
      <w:r>
        <w:rPr>
          <w:rFonts w:cs="Arial"/>
        </w:rPr>
        <w:t>), Section 1.3 (</w:t>
      </w:r>
      <w:r>
        <w:rPr>
          <w:rFonts w:cs="Arial"/>
          <w:i/>
        </w:rPr>
        <w:t>Maximum Ramp Rate</w:t>
      </w:r>
      <w:r>
        <w:rPr>
          <w:rFonts w:cs="Arial"/>
        </w:rPr>
        <w:t>).</w:t>
      </w:r>
    </w:p>
    <w:p w:rsidRPr="003D24AB" w:rsidR="00D96326" w:rsidP="004A5539" w:rsidRDefault="00D96326" w14:paraId="157D8368" w14:textId="77777777">
      <w:pPr>
        <w:pStyle w:val="Heading3"/>
        <w:keepNext w:val="0"/>
        <w:widowControl w:val="0"/>
        <w:spacing w:after="120"/>
        <w:rPr>
          <w:rFonts w:cs="Arial"/>
          <w:bCs/>
          <w:u w:val="single"/>
        </w:rPr>
      </w:pPr>
      <w:r>
        <w:rPr>
          <w:rFonts w:cs="Arial"/>
          <w:b/>
          <w:u w:val="single"/>
        </w:rPr>
        <w:t>MCF</w:t>
      </w:r>
      <w:r>
        <w:rPr>
          <w:rFonts w:cs="Arial"/>
          <w:b/>
        </w:rPr>
        <w:t>:</w:t>
      </w:r>
      <w:r>
        <w:rPr>
          <w:rFonts w:cs="Arial"/>
          <w:bCs/>
        </w:rPr>
        <w:t xml:space="preserve"> See</w:t>
      </w:r>
      <w:r>
        <w:rPr>
          <w:rFonts w:cs="Arial"/>
          <w:bCs/>
          <w:i/>
          <w:iCs w:val="0"/>
        </w:rPr>
        <w:t xml:space="preserve"> Monthly Capacity Fee</w:t>
      </w:r>
      <w:r>
        <w:rPr>
          <w:rFonts w:cs="Arial"/>
          <w:bCs/>
        </w:rPr>
        <w:t>.</w:t>
      </w:r>
    </w:p>
    <w:p w:rsidRPr="003D24AB" w:rsidR="00D96326" w:rsidP="004A5539" w:rsidRDefault="00D96326" w14:paraId="0B26EAFA" w14:textId="77777777">
      <w:pPr>
        <w:pStyle w:val="Heading3"/>
        <w:keepNext w:val="0"/>
        <w:widowControl w:val="0"/>
        <w:spacing w:after="120"/>
        <w:rPr>
          <w:rFonts w:cs="Arial"/>
          <w:bCs/>
          <w:u w:val="single"/>
        </w:rPr>
      </w:pPr>
      <w:r>
        <w:rPr>
          <w:rFonts w:cs="Arial"/>
          <w:b/>
          <w:u w:val="single"/>
        </w:rPr>
        <w:t>MCP</w:t>
      </w:r>
      <w:r>
        <w:rPr>
          <w:rFonts w:cs="Arial"/>
          <w:b/>
        </w:rPr>
        <w:t>:</w:t>
      </w:r>
      <w:r>
        <w:rPr>
          <w:rFonts w:cs="Arial"/>
          <w:bCs/>
        </w:rPr>
        <w:t xml:space="preserve"> See</w:t>
      </w:r>
      <w:r>
        <w:rPr>
          <w:rFonts w:cs="Arial"/>
          <w:bCs/>
          <w:i/>
          <w:iCs w:val="0"/>
        </w:rPr>
        <w:t xml:space="preserve"> Monthly Capacity Payment</w:t>
      </w:r>
      <w:r>
        <w:rPr>
          <w:rFonts w:cs="Arial"/>
          <w:bCs/>
        </w:rPr>
        <w:t>.</w:t>
      </w:r>
    </w:p>
    <w:p w:rsidRPr="003D24AB" w:rsidR="00D96326" w:rsidP="004A5539" w:rsidRDefault="00D96326" w14:paraId="6F112327" w14:textId="77777777">
      <w:pPr>
        <w:pStyle w:val="Heading3"/>
        <w:keepNext w:val="0"/>
        <w:widowControl w:val="0"/>
        <w:spacing w:after="120"/>
        <w:rPr>
          <w:rFonts w:cs="Arial"/>
          <w:bCs/>
          <w:u w:val="single"/>
        </w:rPr>
      </w:pPr>
      <w:r>
        <w:rPr>
          <w:rFonts w:cs="Arial"/>
          <w:b/>
          <w:u w:val="single"/>
        </w:rPr>
        <w:lastRenderedPageBreak/>
        <w:t>MEP</w:t>
      </w:r>
      <w:r>
        <w:rPr>
          <w:rFonts w:cs="Arial"/>
          <w:b/>
        </w:rPr>
        <w:t>:</w:t>
      </w:r>
      <w:r>
        <w:rPr>
          <w:rFonts w:cs="Arial"/>
          <w:bCs/>
        </w:rPr>
        <w:t xml:space="preserve"> See</w:t>
      </w:r>
      <w:r>
        <w:rPr>
          <w:rFonts w:cs="Arial"/>
          <w:bCs/>
          <w:i/>
          <w:iCs w:val="0"/>
        </w:rPr>
        <w:t xml:space="preserve"> Monthly Energy Payment.</w:t>
      </w:r>
    </w:p>
    <w:p w:rsidRPr="00F10071" w:rsidR="00D96326" w:rsidP="004A5539" w:rsidRDefault="00D96326" w14:paraId="7F7E810E" w14:textId="01236F35">
      <w:pPr>
        <w:pStyle w:val="Heading3"/>
        <w:keepNext w:val="0"/>
        <w:widowControl w:val="0"/>
        <w:spacing w:after="120"/>
        <w:rPr>
          <w:rFonts w:cs="Arial"/>
        </w:rPr>
      </w:pPr>
      <w:r>
        <w:rPr>
          <w:rFonts w:cs="Arial"/>
          <w:b/>
          <w:u w:val="single"/>
        </w:rPr>
        <w:t>Metering System</w:t>
      </w:r>
      <w:r>
        <w:rPr>
          <w:rFonts w:cs="Arial"/>
          <w:b/>
        </w:rPr>
        <w:t>:</w:t>
      </w:r>
      <w:r>
        <w:rPr>
          <w:rFonts w:cs="Arial"/>
        </w:rPr>
        <w:t xml:space="preserve"> All meters, metering devices and related instruments used to measure and record electric energy and to determine the amount of energy that is being made available or delivered to </w:t>
      </w:r>
      <w:r w:rsidR="00C56364">
        <w:rPr>
          <w:rFonts w:cs="Arial"/>
        </w:rPr>
        <w:t xml:space="preserve">GPC at </w:t>
      </w:r>
      <w:r>
        <w:rPr>
          <w:rFonts w:cs="Arial"/>
        </w:rPr>
        <w:t>the POD and for the other purposes set forth in Section 8.2 (</w:t>
      </w:r>
      <w:r>
        <w:rPr>
          <w:rFonts w:cs="Arial"/>
          <w:i/>
        </w:rPr>
        <w:t>Metering and Telemetry</w:t>
      </w:r>
      <w:r>
        <w:rPr>
          <w:rFonts w:cs="Arial"/>
        </w:rPr>
        <w:t>).</w:t>
      </w:r>
    </w:p>
    <w:p w:rsidRPr="003D24AB" w:rsidR="00D96326" w:rsidP="004A5539" w:rsidRDefault="00D96326" w14:paraId="3329F9E3" w14:textId="77777777">
      <w:pPr>
        <w:pStyle w:val="Heading3"/>
        <w:keepNext w:val="0"/>
        <w:widowControl w:val="0"/>
        <w:spacing w:after="120"/>
        <w:rPr>
          <w:rFonts w:cs="Arial"/>
        </w:rPr>
      </w:pPr>
      <w:r>
        <w:rPr>
          <w:rFonts w:cs="Arial"/>
          <w:b/>
          <w:u w:val="single"/>
        </w:rPr>
        <w:t>MFC</w:t>
      </w:r>
      <w:r>
        <w:rPr>
          <w:rFonts w:cs="Arial"/>
          <w:b/>
        </w:rPr>
        <w:t>:</w:t>
      </w:r>
      <w:r>
        <w:rPr>
          <w:rFonts w:cs="Arial"/>
          <w:bCs/>
        </w:rPr>
        <w:t xml:space="preserve"> See</w:t>
      </w:r>
      <w:r>
        <w:rPr>
          <w:rFonts w:cs="Arial"/>
          <w:bCs/>
          <w:i/>
          <w:iCs w:val="0"/>
        </w:rPr>
        <w:t xml:space="preserve"> Monthly Fuel Charge</w:t>
      </w:r>
      <w:r>
        <w:rPr>
          <w:rFonts w:cs="Arial"/>
          <w:bCs/>
        </w:rPr>
        <w:t>.</w:t>
      </w:r>
    </w:p>
    <w:p w:rsidRPr="00604864" w:rsidR="00D96326" w:rsidP="004A5539" w:rsidRDefault="00D96326" w14:paraId="6C64406B" w14:textId="77777777">
      <w:pPr>
        <w:pStyle w:val="Heading3"/>
        <w:keepNext w:val="0"/>
        <w:widowControl w:val="0"/>
        <w:spacing w:after="120"/>
        <w:rPr>
          <w:rFonts w:cs="Arial"/>
          <w:bCs/>
        </w:rPr>
      </w:pPr>
      <w:r>
        <w:rPr>
          <w:rFonts w:cs="Arial"/>
          <w:b/>
          <w:u w:val="single"/>
        </w:rPr>
        <w:t>MH</w:t>
      </w:r>
      <w:r>
        <w:rPr>
          <w:rFonts w:cs="Arial"/>
          <w:b/>
        </w:rPr>
        <w:t>:</w:t>
      </w:r>
      <w:r>
        <w:rPr>
          <w:rFonts w:cs="Arial"/>
          <w:bCs/>
        </w:rPr>
        <w:t xml:space="preserve"> See </w:t>
      </w:r>
      <w:r>
        <w:rPr>
          <w:rFonts w:cs="Arial"/>
          <w:bCs/>
          <w:i/>
          <w:iCs w:val="0"/>
        </w:rPr>
        <w:t>Monthly Hours</w:t>
      </w:r>
      <w:r>
        <w:rPr>
          <w:rFonts w:cs="Arial"/>
          <w:bCs/>
        </w:rPr>
        <w:t xml:space="preserve">. </w:t>
      </w:r>
    </w:p>
    <w:p w:rsidRPr="00F10071" w:rsidR="00D96326" w:rsidP="004A5539" w:rsidRDefault="00D96326" w14:paraId="5D084999" w14:textId="159D4F4E">
      <w:pPr>
        <w:pStyle w:val="Heading3"/>
        <w:keepNext w:val="0"/>
        <w:widowControl w:val="0"/>
        <w:spacing w:after="120"/>
        <w:rPr>
          <w:rFonts w:cs="Arial"/>
        </w:rPr>
      </w:pPr>
      <w:r>
        <w:rPr>
          <w:rFonts w:cs="Arial"/>
          <w:b/>
          <w:u w:val="single"/>
        </w:rPr>
        <w:t>Milestone Schedule</w:t>
      </w:r>
      <w:r>
        <w:rPr>
          <w:rFonts w:cs="Arial"/>
          <w:b/>
        </w:rPr>
        <w:t>:</w:t>
      </w:r>
      <w:r>
        <w:rPr>
          <w:rFonts w:cs="Arial"/>
        </w:rPr>
        <w:t xml:space="preserve"> A schedule containing, at a minimum, Key Milestones and other significant milestones related to Facility design, Unit design, engineering, procurement,  construction, Initial Synchronization Date, testing, startup, </w:t>
      </w:r>
      <w:r w:rsidR="00150EB8">
        <w:rPr>
          <w:rFonts w:cs="Arial"/>
        </w:rPr>
        <w:t>R</w:t>
      </w:r>
      <w:r>
        <w:rPr>
          <w:rFonts w:cs="Arial"/>
        </w:rPr>
        <w:t xml:space="preserve">COD, and any </w:t>
      </w:r>
      <w:r w:rsidR="00150EB8">
        <w:rPr>
          <w:rFonts w:cs="Arial"/>
        </w:rPr>
        <w:t xml:space="preserve">other milestone </w:t>
      </w:r>
      <w:r>
        <w:rPr>
          <w:rFonts w:cs="Arial"/>
        </w:rPr>
        <w:t>GPC may reasonably request.</w:t>
      </w:r>
    </w:p>
    <w:p w:rsidRPr="00F10071" w:rsidR="00D96326" w:rsidP="004A5539" w:rsidRDefault="00D96326" w14:paraId="21FC4ED2" w14:textId="0A5190A8">
      <w:pPr>
        <w:pStyle w:val="Heading3"/>
        <w:keepNext w:val="0"/>
        <w:widowControl w:val="0"/>
        <w:spacing w:after="120"/>
        <w:rPr>
          <w:rFonts w:cs="Arial"/>
        </w:rPr>
      </w:pPr>
      <w:r>
        <w:rPr>
          <w:rFonts w:cs="Arial"/>
          <w:b/>
          <w:u w:val="single"/>
        </w:rPr>
        <w:t>Minimum Capacity</w:t>
      </w:r>
      <w:r>
        <w:rPr>
          <w:rFonts w:cs="Arial"/>
          <w:b/>
        </w:rPr>
        <w:t>:</w:t>
      </w:r>
      <w:r>
        <w:rPr>
          <w:rFonts w:cs="Arial"/>
        </w:rPr>
        <w:t xml:space="preserve"> </w:t>
      </w:r>
      <w:r>
        <w:rPr>
          <w:rFonts w:eastAsia="Times New Roman" w:cs="Arial"/>
        </w:rPr>
        <w:t xml:space="preserve">The minimum level that the </w:t>
      </w:r>
      <w:r w:rsidR="0005035B">
        <w:rPr>
          <w:rFonts w:eastAsia="Times New Roman" w:cs="Arial"/>
        </w:rPr>
        <w:t>Facility, including each</w:t>
      </w:r>
      <w:r w:rsidR="00EC25F4">
        <w:rPr>
          <w:rFonts w:eastAsia="Times New Roman" w:cs="Arial"/>
        </w:rPr>
        <w:t xml:space="preserve"> </w:t>
      </w:r>
      <w:r>
        <w:rPr>
          <w:rFonts w:eastAsia="Times New Roman" w:cs="Arial"/>
        </w:rPr>
        <w:t>Unit</w:t>
      </w:r>
      <w:r w:rsidR="0005035B">
        <w:rPr>
          <w:rFonts w:eastAsia="Times New Roman" w:cs="Arial"/>
        </w:rPr>
        <w:t>,</w:t>
      </w:r>
      <w:r>
        <w:rPr>
          <w:rFonts w:eastAsia="Times New Roman" w:cs="Arial"/>
        </w:rPr>
        <w:t xml:space="preserve"> can remain operationally stable and in compliance with permitted emissions limits</w:t>
      </w:r>
      <w:r>
        <w:rPr>
          <w:rFonts w:cs="Arial"/>
        </w:rPr>
        <w:t>.</w:t>
      </w:r>
    </w:p>
    <w:p w:rsidRPr="00F10071" w:rsidR="00D96326" w:rsidP="004A5539" w:rsidRDefault="00D96326" w14:paraId="676898C4" w14:textId="77777777">
      <w:pPr>
        <w:pStyle w:val="Heading3"/>
        <w:keepNext w:val="0"/>
        <w:widowControl w:val="0"/>
        <w:spacing w:after="120"/>
        <w:rPr>
          <w:rFonts w:cs="Arial"/>
        </w:rPr>
      </w:pPr>
      <w:r>
        <w:rPr>
          <w:rStyle w:val="DeltaViewInsertion"/>
          <w:rFonts w:eastAsia="SimHei" w:cs="Arial"/>
          <w:b/>
          <w:color w:val="auto"/>
          <w:u w:val="single"/>
        </w:rPr>
        <w:t>MMBtu</w:t>
      </w:r>
      <w:r>
        <w:rPr>
          <w:rStyle w:val="DeltaViewInsertion"/>
          <w:rFonts w:eastAsia="SimHei" w:cs="Arial"/>
          <w:b/>
          <w:color w:val="auto"/>
          <w:u w:val="none"/>
        </w:rPr>
        <w:t>:</w:t>
      </w:r>
      <w:r>
        <w:rPr>
          <w:rStyle w:val="DeltaViewInsertion"/>
          <w:rFonts w:eastAsia="SimHei" w:cs="Arial"/>
          <w:color w:val="auto"/>
          <w:u w:val="none"/>
        </w:rPr>
        <w:t xml:space="preserve"> One million British thermal units. One MMBtu is equivalent to one dekatherm.</w:t>
      </w:r>
    </w:p>
    <w:p w:rsidRPr="00F10071" w:rsidR="00D96326" w:rsidP="004A5539" w:rsidRDefault="00D96326" w14:paraId="32B9862C" w14:textId="77777777">
      <w:pPr>
        <w:pStyle w:val="Heading3"/>
        <w:keepNext w:val="0"/>
        <w:widowControl w:val="0"/>
        <w:spacing w:after="120"/>
        <w:rPr>
          <w:rFonts w:cs="Arial"/>
        </w:rPr>
      </w:pPr>
      <w:r>
        <w:rPr>
          <w:rFonts w:cs="Arial"/>
          <w:b/>
          <w:u w:val="single"/>
        </w:rPr>
        <w:t>Month</w:t>
      </w:r>
      <w:r>
        <w:rPr>
          <w:rFonts w:cs="Arial"/>
          <w:b/>
        </w:rPr>
        <w:t>:</w:t>
      </w:r>
      <w:r>
        <w:rPr>
          <w:rFonts w:cs="Arial"/>
        </w:rPr>
        <w:t xml:space="preserve"> A calendar month, commencing at the beginning of the first Day of such calendar month. “</w:t>
      </w:r>
      <w:r>
        <w:rPr>
          <w:rFonts w:cs="Arial"/>
          <w:b/>
        </w:rPr>
        <w:t>Monthly</w:t>
      </w:r>
      <w:r>
        <w:rPr>
          <w:rFonts w:cs="Arial"/>
        </w:rPr>
        <w:t>” has a meaning correlative to that of Month.</w:t>
      </w:r>
    </w:p>
    <w:p w:rsidRPr="00E36FEC" w:rsidR="00D96326" w:rsidP="004A5539" w:rsidRDefault="00D96326" w14:paraId="125D2033" w14:textId="7CA4C132">
      <w:pPr>
        <w:pStyle w:val="Heading3"/>
        <w:keepNext w:val="0"/>
        <w:widowControl w:val="0"/>
        <w:spacing w:after="120"/>
        <w:rPr>
          <w:rFonts w:cs="Arial"/>
        </w:rPr>
      </w:pPr>
      <w:r>
        <w:rPr>
          <w:rFonts w:cs="Arial"/>
          <w:b/>
          <w:u w:val="single"/>
        </w:rPr>
        <w:t>Monthly Availability Adjustment (MAA)</w:t>
      </w:r>
      <w:r>
        <w:rPr>
          <w:rFonts w:cs="Arial"/>
          <w:b/>
        </w:rPr>
        <w:t>:</w:t>
      </w:r>
      <w:r>
        <w:rPr>
          <w:rFonts w:cs="Arial"/>
        </w:rPr>
        <w:t xml:space="preserve"> Defined in, and determined in accordance with, Exhibit B</w:t>
      </w:r>
      <w:r>
        <w:rPr>
          <w:rFonts w:cs="Arial"/>
          <w:bCs/>
        </w:rPr>
        <w:t xml:space="preserve"> (</w:t>
      </w:r>
      <w:r>
        <w:rPr>
          <w:rFonts w:cs="Arial"/>
          <w:bCs/>
          <w:i/>
        </w:rPr>
        <w:t>Capacity; Capacity Payments</w:t>
      </w:r>
      <w:r>
        <w:rPr>
          <w:rFonts w:cs="Arial"/>
          <w:i/>
        </w:rPr>
        <w:t xml:space="preserve"> and Payment Reductions; Buydown</w:t>
      </w:r>
      <w:r>
        <w:rPr>
          <w:rFonts w:cs="Arial"/>
          <w:bCs/>
        </w:rPr>
        <w:t>)</w:t>
      </w:r>
      <w:r>
        <w:rPr>
          <w:rFonts w:cs="Arial"/>
        </w:rPr>
        <w:t>, Part 3 (</w:t>
      </w:r>
      <w:r>
        <w:rPr>
          <w:rFonts w:cs="Arial"/>
          <w:i/>
          <w:iCs w:val="0"/>
        </w:rPr>
        <w:t>Monthly Availability Adjustment</w:t>
      </w:r>
      <w:r>
        <w:rPr>
          <w:rFonts w:cs="Arial"/>
        </w:rPr>
        <w:t>).</w:t>
      </w:r>
    </w:p>
    <w:p w:rsidRPr="00E36FEC" w:rsidR="00D96326" w:rsidP="004A5539" w:rsidRDefault="00D96326" w14:paraId="19A912AE" w14:textId="4F935F7D">
      <w:pPr>
        <w:pStyle w:val="Heading3"/>
        <w:keepNext w:val="0"/>
        <w:widowControl w:val="0"/>
        <w:spacing w:after="120"/>
        <w:rPr>
          <w:rFonts w:cs="Arial"/>
        </w:rPr>
      </w:pPr>
      <w:r>
        <w:rPr>
          <w:rFonts w:cs="Arial"/>
          <w:b/>
          <w:u w:val="single"/>
        </w:rPr>
        <w:t>Monthly Availability Factor (MAF)</w:t>
      </w:r>
      <w:r>
        <w:rPr>
          <w:rFonts w:cs="Arial"/>
          <w:b/>
        </w:rPr>
        <w:t>:</w:t>
      </w:r>
      <w:r>
        <w:rPr>
          <w:rFonts w:cs="Arial"/>
        </w:rPr>
        <w:t xml:space="preserve"> Defined in, and determined in accordance with, Table B-4 (</w:t>
      </w:r>
      <w:r>
        <w:rPr>
          <w:rFonts w:cs="Arial"/>
          <w:i/>
          <w:iCs w:val="0"/>
        </w:rPr>
        <w:t>Monthly Availability Factor (MAF)</w:t>
      </w:r>
      <w:r>
        <w:rPr>
          <w:rFonts w:cs="Arial"/>
        </w:rPr>
        <w:t>) in Exhibit B (</w:t>
      </w:r>
      <w:r>
        <w:rPr>
          <w:rFonts w:cs="Arial"/>
          <w:i/>
        </w:rPr>
        <w:t>Capacity; Capacity Payments and Payment Reductions; Buydown</w:t>
      </w:r>
      <w:r>
        <w:rPr>
          <w:rFonts w:cs="Arial"/>
        </w:rPr>
        <w:t>).</w:t>
      </w:r>
    </w:p>
    <w:p w:rsidRPr="00E36FEC" w:rsidR="00D96326" w:rsidP="004A5539" w:rsidRDefault="00D96326" w14:paraId="063E6200" w14:textId="3E21EC03">
      <w:pPr>
        <w:pStyle w:val="Heading3"/>
        <w:keepNext w:val="0"/>
        <w:widowControl w:val="0"/>
        <w:spacing w:after="120"/>
        <w:rPr>
          <w:rFonts w:cs="Arial"/>
        </w:rPr>
      </w:pPr>
      <w:r>
        <w:rPr>
          <w:rFonts w:cs="Arial"/>
          <w:b/>
          <w:u w:val="single"/>
        </w:rPr>
        <w:t>Monthly Availability Percentage (MAP)</w:t>
      </w:r>
      <w:r>
        <w:rPr>
          <w:rFonts w:cs="Arial"/>
          <w:b/>
        </w:rPr>
        <w:t>:</w:t>
      </w:r>
      <w:r>
        <w:rPr>
          <w:rFonts w:cs="Arial"/>
        </w:rPr>
        <w:t xml:space="preserve"> </w:t>
      </w:r>
      <w:bookmarkStart w:name="_Hlk158221023" w:id="26"/>
      <w:r>
        <w:rPr>
          <w:rFonts w:cs="Arial"/>
        </w:rPr>
        <w:t>Defined in, and determined in accordance with</w:t>
      </w:r>
      <w:bookmarkEnd w:id="26"/>
      <w:r>
        <w:rPr>
          <w:rFonts w:cs="Arial"/>
        </w:rPr>
        <w:t>, Exhibit B</w:t>
      </w:r>
      <w:r>
        <w:rPr>
          <w:rFonts w:cs="Arial"/>
          <w:bCs/>
        </w:rPr>
        <w:t xml:space="preserve"> (</w:t>
      </w:r>
      <w:r>
        <w:rPr>
          <w:rFonts w:cs="Arial"/>
          <w:bCs/>
          <w:i/>
        </w:rPr>
        <w:t>Capacity; Capacity Payments</w:t>
      </w:r>
      <w:r>
        <w:rPr>
          <w:rFonts w:cs="Arial"/>
          <w:i/>
        </w:rPr>
        <w:t xml:space="preserve"> and Payment Reductions; Buydown</w:t>
      </w:r>
      <w:r>
        <w:rPr>
          <w:rFonts w:cs="Arial"/>
          <w:bCs/>
        </w:rPr>
        <w:t>)</w:t>
      </w:r>
      <w:r>
        <w:rPr>
          <w:rFonts w:cs="Arial"/>
        </w:rPr>
        <w:t>, Part 3 (</w:t>
      </w:r>
      <w:r>
        <w:rPr>
          <w:rFonts w:cs="Arial"/>
          <w:i/>
          <w:iCs w:val="0"/>
        </w:rPr>
        <w:t>Monthly Availability Adjustment</w:t>
      </w:r>
      <w:r>
        <w:rPr>
          <w:rFonts w:cs="Arial"/>
        </w:rPr>
        <w:t>).</w:t>
      </w:r>
    </w:p>
    <w:p w:rsidRPr="00E36FEC" w:rsidR="00D96326" w:rsidP="004A5539" w:rsidRDefault="00D96326" w14:paraId="224243BD" w14:textId="256AD6E6">
      <w:pPr>
        <w:pStyle w:val="Heading3"/>
        <w:keepNext w:val="0"/>
        <w:widowControl w:val="0"/>
        <w:spacing w:after="120"/>
        <w:rPr>
          <w:rFonts w:cs="Arial"/>
          <w:b/>
        </w:rPr>
      </w:pPr>
      <w:r>
        <w:rPr>
          <w:rFonts w:cs="Arial"/>
          <w:b/>
          <w:u w:val="single"/>
        </w:rPr>
        <w:t>Monthly Capacity Fee (MCF)</w:t>
      </w:r>
      <w:r>
        <w:rPr>
          <w:rFonts w:cs="Arial"/>
          <w:b/>
        </w:rPr>
        <w:t>:</w:t>
      </w:r>
      <w:r>
        <w:rPr>
          <w:rFonts w:cs="Arial"/>
        </w:rPr>
        <w:t xml:space="preserve"> Defined in, and determined in accordance with, </w:t>
      </w:r>
      <w:r>
        <w:rPr>
          <w:rFonts w:cs="Arial"/>
          <w:bCs/>
        </w:rPr>
        <w:t>Exhibit B (</w:t>
      </w:r>
      <w:r>
        <w:rPr>
          <w:rFonts w:cs="Arial"/>
          <w:bCs/>
          <w:i/>
        </w:rPr>
        <w:t>Capacity; Capacity Payments</w:t>
      </w:r>
      <w:r>
        <w:rPr>
          <w:rFonts w:cs="Arial"/>
          <w:i/>
        </w:rPr>
        <w:t xml:space="preserve"> and Payment Reductions; Buydown</w:t>
      </w:r>
      <w:r>
        <w:rPr>
          <w:rFonts w:cs="Arial"/>
          <w:bCs/>
        </w:rPr>
        <w:t>), Section 2.1 (</w:t>
      </w:r>
      <w:r>
        <w:rPr>
          <w:rFonts w:cs="Arial"/>
          <w:bCs/>
          <w:i/>
          <w:iCs w:val="0"/>
        </w:rPr>
        <w:t>Calculation</w:t>
      </w:r>
      <w:r>
        <w:rPr>
          <w:rFonts w:cs="Arial"/>
          <w:bCs/>
        </w:rPr>
        <w:t xml:space="preserve"> of </w:t>
      </w:r>
      <w:r>
        <w:rPr>
          <w:rFonts w:cs="Arial"/>
          <w:bCs/>
          <w:i/>
          <w:iCs w:val="0"/>
        </w:rPr>
        <w:t>Monthly Capacity Payment</w:t>
      </w:r>
      <w:r>
        <w:rPr>
          <w:rFonts w:cs="Arial"/>
          <w:bCs/>
        </w:rPr>
        <w:t>).</w:t>
      </w:r>
    </w:p>
    <w:p w:rsidRPr="00E36FEC" w:rsidR="00D96326" w:rsidP="004A5539" w:rsidRDefault="00D96326" w14:paraId="632D63CD" w14:textId="59F199EE">
      <w:pPr>
        <w:pStyle w:val="Heading3"/>
        <w:keepNext w:val="0"/>
        <w:widowControl w:val="0"/>
        <w:spacing w:after="120"/>
        <w:rPr>
          <w:rFonts w:cs="Arial"/>
        </w:rPr>
      </w:pPr>
      <w:r>
        <w:rPr>
          <w:rFonts w:cs="Arial"/>
          <w:b/>
          <w:u w:val="single"/>
        </w:rPr>
        <w:t>Monthly Capacity Payment (MCP)</w:t>
      </w:r>
      <w:r>
        <w:rPr>
          <w:rFonts w:cs="Arial"/>
          <w:b/>
        </w:rPr>
        <w:t>:</w:t>
      </w:r>
      <w:r>
        <w:rPr>
          <w:rFonts w:cs="Arial"/>
        </w:rPr>
        <w:t xml:space="preserve"> Defined in, and determined in accordance with, Exhibit B</w:t>
      </w:r>
      <w:r>
        <w:rPr>
          <w:rFonts w:cs="Arial"/>
          <w:bCs/>
        </w:rPr>
        <w:t xml:space="preserve"> (</w:t>
      </w:r>
      <w:r>
        <w:rPr>
          <w:rFonts w:cs="Arial"/>
          <w:bCs/>
          <w:i/>
        </w:rPr>
        <w:t>Capacity; Capacity Payments</w:t>
      </w:r>
      <w:r>
        <w:rPr>
          <w:rFonts w:cs="Arial"/>
          <w:i/>
        </w:rPr>
        <w:t xml:space="preserve"> and Payment Reductions; Buydown</w:t>
      </w:r>
      <w:r>
        <w:rPr>
          <w:rFonts w:cs="Arial"/>
          <w:bCs/>
        </w:rPr>
        <w:t>), Part 2 (</w:t>
      </w:r>
      <w:r>
        <w:rPr>
          <w:rFonts w:cs="Arial"/>
          <w:bCs/>
          <w:i/>
          <w:iCs w:val="0"/>
        </w:rPr>
        <w:t>Monthly Capacity Payment</w:t>
      </w:r>
      <w:r>
        <w:rPr>
          <w:rFonts w:cs="Arial"/>
          <w:bCs/>
        </w:rPr>
        <w:t>).</w:t>
      </w:r>
    </w:p>
    <w:p w:rsidRPr="00E36FEC" w:rsidR="00D96326" w:rsidP="004A5539" w:rsidRDefault="00D96326" w14:paraId="5F5AADE0" w14:textId="7652FD93">
      <w:pPr>
        <w:pStyle w:val="Heading3"/>
        <w:keepNext w:val="0"/>
        <w:widowControl w:val="0"/>
        <w:spacing w:after="120"/>
        <w:rPr>
          <w:rFonts w:cs="Arial"/>
        </w:rPr>
      </w:pPr>
      <w:r>
        <w:rPr>
          <w:rFonts w:cs="Arial"/>
          <w:b/>
          <w:u w:val="single"/>
        </w:rPr>
        <w:t>Monthly Energy Payment (MEP)</w:t>
      </w:r>
      <w:r>
        <w:rPr>
          <w:rFonts w:cs="Arial"/>
          <w:b/>
        </w:rPr>
        <w:t>:</w:t>
      </w:r>
      <w:r>
        <w:rPr>
          <w:rFonts w:cs="Arial"/>
        </w:rPr>
        <w:t xml:space="preserve"> Defined in, and determined in accordance with, Exhibit C (</w:t>
      </w:r>
      <w:r>
        <w:rPr>
          <w:rFonts w:cs="Arial"/>
          <w:i/>
          <w:iCs w:val="0"/>
        </w:rPr>
        <w:t>Energy Payment Calculation</w:t>
      </w:r>
      <w:r>
        <w:rPr>
          <w:rFonts w:cs="Arial"/>
        </w:rPr>
        <w:t>), Part 1 (</w:t>
      </w:r>
      <w:r>
        <w:rPr>
          <w:rFonts w:cs="Arial"/>
          <w:i/>
          <w:iCs w:val="0"/>
        </w:rPr>
        <w:t>Monthly Energy Payment</w:t>
      </w:r>
      <w:r>
        <w:rPr>
          <w:rFonts w:cs="Arial"/>
        </w:rPr>
        <w:t>).</w:t>
      </w:r>
    </w:p>
    <w:p w:rsidRPr="00E36FEC" w:rsidR="00D96326" w:rsidP="004A5539" w:rsidRDefault="00D96326" w14:paraId="34CD54A0" w14:textId="77777777">
      <w:pPr>
        <w:pStyle w:val="Heading3"/>
        <w:keepNext w:val="0"/>
        <w:widowControl w:val="0"/>
        <w:spacing w:after="120"/>
        <w:rPr>
          <w:rFonts w:cs="Arial"/>
        </w:rPr>
      </w:pPr>
      <w:r>
        <w:rPr>
          <w:rFonts w:cs="Arial"/>
          <w:b/>
          <w:u w:val="single"/>
        </w:rPr>
        <w:t>Monthly Fuel Charge (MFC)</w:t>
      </w:r>
      <w:r>
        <w:rPr>
          <w:rFonts w:cs="Arial"/>
          <w:b/>
        </w:rPr>
        <w:t>:</w:t>
      </w:r>
      <w:r>
        <w:rPr>
          <w:rFonts w:cs="Arial"/>
        </w:rPr>
        <w:t xml:space="preserve"> Defined in, and determined in accordance with, </w:t>
      </w:r>
      <w:r>
        <w:rPr>
          <w:rFonts w:cs="Arial"/>
          <w:bCs/>
        </w:rPr>
        <w:t>Exhibit C (</w:t>
      </w:r>
      <w:r>
        <w:rPr>
          <w:rFonts w:cs="Arial"/>
          <w:bCs/>
          <w:i/>
          <w:iCs w:val="0"/>
        </w:rPr>
        <w:t>Energy Payment Calculation</w:t>
      </w:r>
      <w:r>
        <w:rPr>
          <w:rFonts w:cs="Arial"/>
          <w:bCs/>
        </w:rPr>
        <w:t>)</w:t>
      </w:r>
      <w:r>
        <w:rPr>
          <w:rFonts w:cs="Arial"/>
        </w:rPr>
        <w:t>, Part 1 (</w:t>
      </w:r>
      <w:r>
        <w:rPr>
          <w:rFonts w:cs="Arial"/>
          <w:i/>
          <w:iCs w:val="0"/>
        </w:rPr>
        <w:t>Monthly Energy Payment</w:t>
      </w:r>
      <w:r>
        <w:rPr>
          <w:rFonts w:cs="Arial"/>
        </w:rPr>
        <w:t>) and Section 1.5 (</w:t>
      </w:r>
      <w:r>
        <w:rPr>
          <w:rFonts w:cs="Arial"/>
          <w:i/>
          <w:iCs w:val="0"/>
        </w:rPr>
        <w:t>Monthly Fuel Charge</w:t>
      </w:r>
      <w:r>
        <w:rPr>
          <w:rFonts w:cs="Arial"/>
        </w:rPr>
        <w:t>).</w:t>
      </w:r>
    </w:p>
    <w:p w:rsidRPr="00E36FEC" w:rsidR="00D96326" w:rsidP="004A5539" w:rsidRDefault="00D96326" w14:paraId="44344754" w14:textId="77777777">
      <w:pPr>
        <w:pStyle w:val="Heading3"/>
        <w:keepNext w:val="0"/>
        <w:widowControl w:val="0"/>
        <w:spacing w:after="120"/>
        <w:rPr>
          <w:rFonts w:cs="Arial"/>
        </w:rPr>
      </w:pPr>
      <w:r>
        <w:rPr>
          <w:rFonts w:cs="Arial"/>
          <w:b/>
          <w:bCs/>
          <w:u w:val="single"/>
        </w:rPr>
        <w:t>Monthly Hours (MH)</w:t>
      </w:r>
      <w:r>
        <w:rPr>
          <w:rFonts w:cs="Arial"/>
          <w:b/>
          <w:bCs/>
        </w:rPr>
        <w:t>:</w:t>
      </w:r>
      <w:r>
        <w:rPr>
          <w:rFonts w:cs="Arial"/>
        </w:rPr>
        <w:t xml:space="preserve"> The total Hours during the applicable Month. </w:t>
      </w:r>
    </w:p>
    <w:p w:rsidRPr="00E36FEC" w:rsidR="00D96326" w:rsidP="004A5539" w:rsidRDefault="00D96326" w14:paraId="24A14D1D" w14:textId="6CC2F3C2">
      <w:pPr>
        <w:pStyle w:val="Heading3"/>
        <w:keepNext w:val="0"/>
        <w:widowControl w:val="0"/>
        <w:spacing w:after="120"/>
        <w:rPr>
          <w:rFonts w:cs="Arial"/>
        </w:rPr>
      </w:pPr>
      <w:r>
        <w:rPr>
          <w:rFonts w:cs="Arial"/>
          <w:b/>
          <w:u w:val="single"/>
        </w:rPr>
        <w:t>Monthly Invoice</w:t>
      </w:r>
      <w:r>
        <w:rPr>
          <w:rFonts w:cs="Arial"/>
          <w:b/>
          <w:bCs/>
        </w:rPr>
        <w:t>:</w:t>
      </w:r>
      <w:r>
        <w:rPr>
          <w:rFonts w:cs="Arial"/>
        </w:rPr>
        <w:t xml:space="preserve"> Defined in Section 5.1 (</w:t>
      </w:r>
      <w:r>
        <w:rPr>
          <w:rFonts w:cs="Arial"/>
          <w:i/>
          <w:iCs w:val="0"/>
        </w:rPr>
        <w:t>Capacity and Energy Billing and Payment</w:t>
      </w:r>
      <w:r>
        <w:rPr>
          <w:rFonts w:cs="Arial"/>
        </w:rPr>
        <w:t>).</w:t>
      </w:r>
    </w:p>
    <w:p w:rsidRPr="00E36FEC" w:rsidR="00D96326" w:rsidP="004A5539" w:rsidRDefault="00D96326" w14:paraId="5B182514" w14:textId="77777777">
      <w:pPr>
        <w:pStyle w:val="Heading3"/>
        <w:keepNext w:val="0"/>
        <w:widowControl w:val="0"/>
        <w:spacing w:after="120"/>
        <w:rPr>
          <w:rFonts w:cs="Arial"/>
        </w:rPr>
      </w:pPr>
      <w:r>
        <w:rPr>
          <w:rFonts w:cs="Arial"/>
          <w:b/>
          <w:u w:val="single"/>
        </w:rPr>
        <w:t>Monthly Startup Charge (MSC)</w:t>
      </w:r>
      <w:r>
        <w:rPr>
          <w:rFonts w:cs="Arial"/>
          <w:b/>
        </w:rPr>
        <w:t>:</w:t>
      </w:r>
      <w:r>
        <w:rPr>
          <w:rFonts w:cs="Arial"/>
        </w:rPr>
        <w:t xml:space="preserve"> Defined in, and determined in accordance with, Exhibit C</w:t>
      </w:r>
      <w:r>
        <w:rPr>
          <w:rFonts w:cs="Arial"/>
          <w:bCs/>
        </w:rPr>
        <w:t xml:space="preserve"> (</w:t>
      </w:r>
      <w:r>
        <w:rPr>
          <w:rFonts w:cs="Arial"/>
          <w:bCs/>
          <w:i/>
          <w:iCs w:val="0"/>
        </w:rPr>
        <w:t>Energy Payment Calculation</w:t>
      </w:r>
      <w:r>
        <w:rPr>
          <w:rFonts w:cs="Arial"/>
          <w:bCs/>
        </w:rPr>
        <w:t>)</w:t>
      </w:r>
      <w:r>
        <w:rPr>
          <w:rFonts w:cs="Arial"/>
        </w:rPr>
        <w:t>, Section 1.3 (</w:t>
      </w:r>
      <w:r>
        <w:rPr>
          <w:rFonts w:cs="Arial"/>
          <w:i/>
          <w:iCs w:val="0"/>
        </w:rPr>
        <w:t xml:space="preserve">Monthly Startup </w:t>
      </w:r>
      <w:r>
        <w:rPr>
          <w:rFonts w:cs="Arial"/>
          <w:i/>
        </w:rPr>
        <w:t>Charges</w:t>
      </w:r>
      <w:r>
        <w:rPr>
          <w:rFonts w:cs="Arial"/>
          <w:i/>
          <w:iCs w:val="0"/>
        </w:rPr>
        <w:t xml:space="preserve"> (MSC)</w:t>
      </w:r>
      <w:r>
        <w:rPr>
          <w:rFonts w:cs="Arial"/>
        </w:rPr>
        <w:t>).</w:t>
      </w:r>
    </w:p>
    <w:p w:rsidRPr="00E36FEC" w:rsidR="00D96326" w:rsidP="004A5539" w:rsidRDefault="00D96326" w14:paraId="48535E69" w14:textId="5B2F6E28">
      <w:pPr>
        <w:pStyle w:val="Heading3"/>
        <w:keepNext w:val="0"/>
        <w:widowControl w:val="0"/>
        <w:spacing w:after="120"/>
        <w:rPr>
          <w:rFonts w:cs="Arial"/>
        </w:rPr>
      </w:pPr>
      <w:r>
        <w:rPr>
          <w:rFonts w:cs="Arial"/>
          <w:b/>
          <w:u w:val="single"/>
        </w:rPr>
        <w:t>Monthly Value Factor (MVF)</w:t>
      </w:r>
      <w:r>
        <w:rPr>
          <w:rFonts w:cs="Arial"/>
          <w:b/>
          <w:bCs/>
        </w:rPr>
        <w:t>:</w:t>
      </w:r>
      <w:r>
        <w:rPr>
          <w:rFonts w:cs="Arial"/>
        </w:rPr>
        <w:t xml:space="preserve"> For a given Month, the factor value determined in accordance with Table B-3 (</w:t>
      </w:r>
      <w:r>
        <w:rPr>
          <w:rFonts w:cs="Arial"/>
          <w:i/>
          <w:iCs w:val="0"/>
        </w:rPr>
        <w:t>Monthly Value Factor (MVF)</w:t>
      </w:r>
      <w:r>
        <w:rPr>
          <w:rFonts w:cs="Arial"/>
        </w:rPr>
        <w:t xml:space="preserve">) in </w:t>
      </w:r>
      <w:r>
        <w:rPr>
          <w:rFonts w:cs="Arial"/>
          <w:bCs/>
        </w:rPr>
        <w:t>Exhibit B (</w:t>
      </w:r>
      <w:r>
        <w:rPr>
          <w:rFonts w:cs="Arial"/>
          <w:bCs/>
          <w:i/>
          <w:iCs w:val="0"/>
        </w:rPr>
        <w:t>Capacity; Capacity Payments</w:t>
      </w:r>
      <w:r>
        <w:rPr>
          <w:rFonts w:cs="Arial"/>
          <w:i/>
        </w:rPr>
        <w:t xml:space="preserve"> and Payment Reductions; Buydown</w:t>
      </w:r>
      <w:r>
        <w:rPr>
          <w:rFonts w:cs="Arial"/>
          <w:bCs/>
        </w:rPr>
        <w:t>)</w:t>
      </w:r>
      <w:r>
        <w:rPr>
          <w:rFonts w:cs="Arial"/>
          <w:b/>
        </w:rPr>
        <w:t>.</w:t>
      </w:r>
    </w:p>
    <w:p w:rsidRPr="00E36FEC" w:rsidR="00D96326" w:rsidP="004A5539" w:rsidRDefault="00D96326" w14:paraId="4159BC6F" w14:textId="77777777">
      <w:pPr>
        <w:pStyle w:val="Heading3"/>
        <w:keepNext w:val="0"/>
        <w:widowControl w:val="0"/>
        <w:spacing w:after="120"/>
        <w:rPr>
          <w:rFonts w:cs="Arial"/>
        </w:rPr>
      </w:pPr>
      <w:r>
        <w:rPr>
          <w:rFonts w:cs="Arial"/>
          <w:b/>
          <w:u w:val="single"/>
        </w:rPr>
        <w:t>Moody’s</w:t>
      </w:r>
      <w:r>
        <w:rPr>
          <w:rFonts w:cs="Arial"/>
          <w:b/>
        </w:rPr>
        <w:t>:</w:t>
      </w:r>
      <w:r>
        <w:rPr>
          <w:rFonts w:cs="Arial"/>
        </w:rPr>
        <w:t xml:space="preserve"> Moody’s Investors Service, Inc. or its successor. If Moody’s ceases to exist or publish ratings, Moody’s will mean a nationally recognized rating agency mutually agreed upon by the Parties.</w:t>
      </w:r>
    </w:p>
    <w:p w:rsidRPr="00E36FEC" w:rsidR="00D96326" w:rsidP="004A5539" w:rsidRDefault="00D96326" w14:paraId="2A9EC372" w14:textId="77777777">
      <w:pPr>
        <w:pStyle w:val="Heading3"/>
        <w:keepNext w:val="0"/>
        <w:widowControl w:val="0"/>
        <w:spacing w:after="120"/>
        <w:rPr>
          <w:rFonts w:cs="Arial"/>
          <w:bCs/>
          <w:i/>
          <w:iCs w:val="0"/>
        </w:rPr>
      </w:pPr>
      <w:r>
        <w:rPr>
          <w:rFonts w:cs="Arial"/>
          <w:b/>
          <w:u w:val="single"/>
        </w:rPr>
        <w:t>MSC</w:t>
      </w:r>
      <w:r>
        <w:rPr>
          <w:rFonts w:cs="Arial"/>
          <w:b/>
        </w:rPr>
        <w:t>:</w:t>
      </w:r>
      <w:r>
        <w:rPr>
          <w:rFonts w:cs="Arial"/>
          <w:bCs/>
        </w:rPr>
        <w:t xml:space="preserve"> See</w:t>
      </w:r>
      <w:r>
        <w:rPr>
          <w:rFonts w:cs="Arial"/>
          <w:bCs/>
          <w:i/>
          <w:iCs w:val="0"/>
        </w:rPr>
        <w:t xml:space="preserve"> Monthly Startup Charge</w:t>
      </w:r>
      <w:r>
        <w:rPr>
          <w:rFonts w:cs="Arial"/>
          <w:bCs/>
        </w:rPr>
        <w:t>.</w:t>
      </w:r>
    </w:p>
    <w:p w:rsidRPr="00E36FEC" w:rsidR="00D96326" w:rsidP="004A5539" w:rsidRDefault="00D96326" w14:paraId="27BCAD14" w14:textId="77777777">
      <w:pPr>
        <w:pStyle w:val="Heading3"/>
        <w:keepNext w:val="0"/>
        <w:widowControl w:val="0"/>
        <w:spacing w:after="120"/>
        <w:rPr>
          <w:rFonts w:cs="Arial"/>
        </w:rPr>
      </w:pPr>
      <w:r>
        <w:rPr>
          <w:rFonts w:cs="Arial"/>
          <w:b/>
          <w:bCs/>
          <w:u w:val="single"/>
        </w:rPr>
        <w:t>MVF</w:t>
      </w:r>
      <w:r>
        <w:rPr>
          <w:rFonts w:cs="Arial"/>
          <w:b/>
          <w:bCs/>
        </w:rPr>
        <w:t>:</w:t>
      </w:r>
      <w:r>
        <w:rPr>
          <w:rFonts w:cs="Arial"/>
        </w:rPr>
        <w:t xml:space="preserve"> See</w:t>
      </w:r>
      <w:r>
        <w:rPr>
          <w:rFonts w:cs="Arial"/>
          <w:i/>
          <w:iCs w:val="0"/>
        </w:rPr>
        <w:t xml:space="preserve"> Monthly Value Factor</w:t>
      </w:r>
      <w:r>
        <w:rPr>
          <w:rFonts w:cs="Arial"/>
        </w:rPr>
        <w:t>.</w:t>
      </w:r>
    </w:p>
    <w:p w:rsidRPr="00E36FEC" w:rsidR="00D96326" w:rsidP="004A5539" w:rsidRDefault="00D96326" w14:paraId="0C48A8BE" w14:textId="77777777">
      <w:pPr>
        <w:pStyle w:val="Heading3"/>
        <w:keepNext w:val="0"/>
        <w:widowControl w:val="0"/>
        <w:spacing w:after="120"/>
        <w:rPr>
          <w:rFonts w:cs="Arial"/>
        </w:rPr>
      </w:pPr>
      <w:r>
        <w:rPr>
          <w:rFonts w:cs="Arial"/>
          <w:b/>
          <w:u w:val="single"/>
        </w:rPr>
        <w:t>MVOM</w:t>
      </w:r>
      <w:r>
        <w:rPr>
          <w:rFonts w:cs="Arial"/>
          <w:b/>
        </w:rPr>
        <w:t>:</w:t>
      </w:r>
      <w:r>
        <w:rPr>
          <w:rFonts w:cs="Arial"/>
        </w:rPr>
        <w:t xml:space="preserve"> Defined in, and determined in accordance with, Exhibit C </w:t>
      </w:r>
      <w:r>
        <w:rPr>
          <w:rFonts w:cs="Arial"/>
          <w:bCs/>
        </w:rPr>
        <w:t>(</w:t>
      </w:r>
      <w:r>
        <w:rPr>
          <w:rFonts w:cs="Arial"/>
          <w:bCs/>
          <w:i/>
          <w:iCs w:val="0"/>
        </w:rPr>
        <w:t>Energy Payment Calculation</w:t>
      </w:r>
      <w:r>
        <w:rPr>
          <w:rFonts w:cs="Arial"/>
          <w:bCs/>
        </w:rPr>
        <w:t>)</w:t>
      </w:r>
      <w:r>
        <w:rPr>
          <w:rFonts w:cs="Arial"/>
        </w:rPr>
        <w:t>, Section 1.2 (</w:t>
      </w:r>
      <w:r>
        <w:rPr>
          <w:rFonts w:cs="Arial"/>
          <w:i/>
          <w:iCs w:val="0"/>
        </w:rPr>
        <w:t>Monthly Variable O&amp;M (MVOM) Charges</w:t>
      </w:r>
      <w:r>
        <w:rPr>
          <w:rFonts w:cs="Arial"/>
        </w:rPr>
        <w:t>).</w:t>
      </w:r>
    </w:p>
    <w:p w:rsidRPr="00F10071" w:rsidR="00D96326" w:rsidP="004A5539" w:rsidRDefault="00D96326" w14:paraId="5A7E37A5" w14:textId="77777777">
      <w:pPr>
        <w:pStyle w:val="Heading3"/>
        <w:keepNext w:val="0"/>
        <w:widowControl w:val="0"/>
        <w:spacing w:after="120"/>
        <w:rPr>
          <w:rFonts w:cs="Arial"/>
        </w:rPr>
      </w:pPr>
      <w:r>
        <w:rPr>
          <w:rFonts w:cs="Arial"/>
          <w:b/>
          <w:u w:val="single"/>
        </w:rPr>
        <w:t>MW</w:t>
      </w:r>
      <w:r>
        <w:rPr>
          <w:rFonts w:cs="Arial"/>
          <w:b/>
        </w:rPr>
        <w:t>:</w:t>
      </w:r>
      <w:r>
        <w:rPr>
          <w:rFonts w:cs="Arial"/>
        </w:rPr>
        <w:t xml:space="preserve"> Megawatt (AC).</w:t>
      </w:r>
    </w:p>
    <w:p w:rsidRPr="00F10071" w:rsidR="00D96326" w:rsidP="004A5539" w:rsidRDefault="00D96326" w14:paraId="37299EBE" w14:textId="27B8E2F4">
      <w:pPr>
        <w:pStyle w:val="Heading3"/>
        <w:keepNext w:val="0"/>
        <w:widowControl w:val="0"/>
        <w:spacing w:after="120"/>
        <w:rPr>
          <w:rFonts w:cs="Arial"/>
        </w:rPr>
      </w:pPr>
      <w:r>
        <w:rPr>
          <w:rFonts w:cs="Arial"/>
          <w:b/>
          <w:u w:val="single"/>
        </w:rPr>
        <w:t>MWh</w:t>
      </w:r>
      <w:r>
        <w:rPr>
          <w:rFonts w:cs="Arial"/>
          <w:b/>
        </w:rPr>
        <w:t>:</w:t>
      </w:r>
      <w:r>
        <w:rPr>
          <w:rFonts w:cs="Arial"/>
        </w:rPr>
        <w:t xml:space="preserve"> Megawatt-hour (AC).</w:t>
      </w:r>
    </w:p>
    <w:p w:rsidRPr="00F10071" w:rsidR="00D96326" w:rsidP="004A5539" w:rsidRDefault="00D96326" w14:paraId="52BBA4C8" w14:textId="77777777">
      <w:pPr>
        <w:pStyle w:val="Heading3"/>
        <w:keepNext w:val="0"/>
        <w:widowControl w:val="0"/>
        <w:spacing w:after="120"/>
        <w:rPr>
          <w:rFonts w:cs="Arial"/>
        </w:rPr>
      </w:pPr>
      <w:r>
        <w:rPr>
          <w:rFonts w:cs="Arial"/>
          <w:b/>
          <w:u w:val="single"/>
        </w:rPr>
        <w:t>Natural Gas</w:t>
      </w:r>
      <w:r>
        <w:rPr>
          <w:rFonts w:cs="Arial"/>
          <w:b/>
        </w:rPr>
        <w:t>:</w:t>
      </w:r>
      <w:r>
        <w:rPr>
          <w:rFonts w:cs="Arial"/>
        </w:rPr>
        <w:t xml:space="preserve"> A mixture of hydrocarbon </w:t>
      </w:r>
      <w:proofErr w:type="gramStart"/>
      <w:r>
        <w:rPr>
          <w:rFonts w:cs="Arial"/>
        </w:rPr>
        <w:t>gasses</w:t>
      </w:r>
      <w:proofErr w:type="gramEnd"/>
      <w:r>
        <w:rPr>
          <w:rFonts w:cs="Arial"/>
        </w:rPr>
        <w:t xml:space="preserve"> that occurs with petroleum deposits, principally methane, together with varying quantities of ethane, propane, butane, or other gases, but excluding manufactured or artificial gas.</w:t>
      </w:r>
    </w:p>
    <w:p w:rsidRPr="00F10071" w:rsidR="00D96326" w:rsidP="004A5539" w:rsidRDefault="00D96326" w14:paraId="03AD6A9F" w14:textId="77777777">
      <w:pPr>
        <w:pStyle w:val="Heading3"/>
        <w:keepNext w:val="0"/>
        <w:widowControl w:val="0"/>
        <w:spacing w:after="120"/>
        <w:rPr>
          <w:rFonts w:cs="Arial"/>
        </w:rPr>
      </w:pPr>
      <w:r>
        <w:rPr>
          <w:rFonts w:cs="Arial"/>
          <w:b/>
          <w:u w:val="single"/>
        </w:rPr>
        <w:t>NERC</w:t>
      </w:r>
      <w:r>
        <w:rPr>
          <w:rFonts w:cs="Arial"/>
          <w:b/>
        </w:rPr>
        <w:t>:</w:t>
      </w:r>
      <w:r>
        <w:rPr>
          <w:rFonts w:cs="Arial"/>
        </w:rPr>
        <w:t xml:space="preserve"> The North American Electric Reliability Corporation, including any successor and subdivisions.</w:t>
      </w:r>
    </w:p>
    <w:p w:rsidRPr="00E36FEC" w:rsidR="002728DA" w:rsidP="004A5539" w:rsidRDefault="002728DA" w14:paraId="5188474E" w14:textId="77777777">
      <w:pPr>
        <w:pStyle w:val="Heading3"/>
        <w:keepNext w:val="0"/>
        <w:widowControl w:val="0"/>
        <w:spacing w:after="120"/>
        <w:rPr>
          <w:rFonts w:cs="Arial"/>
        </w:rPr>
      </w:pPr>
      <w:r>
        <w:rPr>
          <w:rFonts w:cs="Arial"/>
          <w:b/>
          <w:bCs/>
          <w:u w:val="single"/>
        </w:rPr>
        <w:lastRenderedPageBreak/>
        <w:t>Network Resource</w:t>
      </w:r>
      <w:r>
        <w:rPr>
          <w:rFonts w:cs="Arial"/>
          <w:b/>
          <w:bCs/>
        </w:rPr>
        <w:t>:</w:t>
      </w:r>
      <w:r>
        <w:rPr>
          <w:rFonts w:cs="Arial"/>
        </w:rPr>
        <w:t xml:space="preserve"> As defined in the Southern OATT, including any successor term.</w:t>
      </w:r>
    </w:p>
    <w:p w:rsidRPr="00E36FEC" w:rsidR="00D96326" w:rsidP="004A5539" w:rsidRDefault="00D96326" w14:paraId="2EE000B2" w14:textId="4EF82B0B">
      <w:pPr>
        <w:pStyle w:val="Heading3"/>
        <w:keepNext w:val="0"/>
        <w:widowControl w:val="0"/>
        <w:spacing w:after="120"/>
        <w:rPr>
          <w:rFonts w:cs="Arial"/>
        </w:rPr>
      </w:pPr>
      <w:r>
        <w:rPr>
          <w:rFonts w:cs="Arial"/>
          <w:b/>
          <w:bCs/>
          <w:u w:val="single"/>
        </w:rPr>
        <w:t>New GHG Law</w:t>
      </w:r>
      <w:r>
        <w:rPr>
          <w:rFonts w:cs="Arial"/>
          <w:b/>
        </w:rPr>
        <w:t>:</w:t>
      </w:r>
      <w:r>
        <w:rPr>
          <w:rFonts w:cs="Arial"/>
        </w:rPr>
        <w:t xml:space="preserve"> An applicable law enacted after the Effective Date that imposes GHG Charges as a direct result of </w:t>
      </w:r>
      <w:r w:rsidR="00EC25F4">
        <w:rPr>
          <w:rFonts w:cs="Arial"/>
        </w:rPr>
        <w:t xml:space="preserve">a </w:t>
      </w:r>
      <w:r>
        <w:rPr>
          <w:rFonts w:cs="Arial"/>
        </w:rPr>
        <w:t xml:space="preserve">Unit’s generation of electric energy. </w:t>
      </w:r>
    </w:p>
    <w:p w:rsidRPr="00E36FEC" w:rsidR="00D96326" w:rsidP="004A5539" w:rsidRDefault="00D96326" w14:paraId="62878993" w14:textId="00AD3119">
      <w:pPr>
        <w:pStyle w:val="Heading3"/>
        <w:keepNext w:val="0"/>
        <w:widowControl w:val="0"/>
        <w:spacing w:after="120"/>
        <w:rPr>
          <w:rFonts w:cs="Arial"/>
        </w:rPr>
      </w:pPr>
      <w:r>
        <w:rPr>
          <w:rFonts w:cs="Arial"/>
          <w:b/>
          <w:u w:val="single"/>
        </w:rPr>
        <w:t>Nominal Standard Capability</w:t>
      </w:r>
      <w:r>
        <w:rPr>
          <w:rFonts w:cs="Arial"/>
          <w:b/>
        </w:rPr>
        <w:t>:</w:t>
      </w:r>
      <w:r>
        <w:rPr>
          <w:rFonts w:cs="Arial"/>
        </w:rPr>
        <w:t xml:space="preserve"> The values (in MW) stated in Exhibit A (</w:t>
      </w:r>
      <w:r>
        <w:rPr>
          <w:rFonts w:cs="Arial"/>
          <w:i/>
          <w:iCs w:val="0"/>
        </w:rPr>
        <w:t>Facility Description and Additional Details</w:t>
      </w:r>
      <w:r>
        <w:rPr>
          <w:rFonts w:cs="Arial"/>
        </w:rPr>
        <w:t>).</w:t>
      </w:r>
    </w:p>
    <w:p w:rsidRPr="00E36FEC" w:rsidR="00E70E25" w:rsidP="004A5539" w:rsidRDefault="00E70E25" w14:paraId="4E538F7D" w14:textId="794B1746">
      <w:pPr>
        <w:pStyle w:val="Heading3"/>
        <w:keepNext w:val="0"/>
        <w:widowControl w:val="0"/>
        <w:spacing w:after="120"/>
        <w:rPr>
          <w:rFonts w:cs="Arial"/>
        </w:rPr>
      </w:pPr>
      <w:r>
        <w:rPr>
          <w:rFonts w:cs="Arial"/>
          <w:b/>
          <w:bCs/>
          <w:u w:val="single"/>
        </w:rPr>
        <w:t>Nominal Winter Capability</w:t>
      </w:r>
      <w:r>
        <w:rPr>
          <w:rFonts w:cs="Arial"/>
          <w:b/>
          <w:bCs/>
        </w:rPr>
        <w:t>:</w:t>
      </w:r>
      <w:r>
        <w:rPr>
          <w:rFonts w:cs="Arial"/>
        </w:rPr>
        <w:t xml:space="preserve"> The values (in MW) stated in Exhibit A (</w:t>
      </w:r>
      <w:r>
        <w:rPr>
          <w:rFonts w:cs="Arial"/>
          <w:i/>
          <w:iCs w:val="0"/>
        </w:rPr>
        <w:t>Facility Description and Additional Details</w:t>
      </w:r>
      <w:r>
        <w:rPr>
          <w:rFonts w:cs="Arial"/>
        </w:rPr>
        <w:t>).</w:t>
      </w:r>
    </w:p>
    <w:p w:rsidR="163E5E87" w:rsidP="54C72364" w:rsidRDefault="163E5E87" w14:paraId="7831DDA5" w14:textId="341CF0C9">
      <w:pPr>
        <w:pStyle w:val="Heading3"/>
        <w:keepNext w:val="0"/>
        <w:widowControl w:val="0"/>
        <w:spacing w:after="120"/>
        <w:rPr>
          <w:rFonts w:cs="Arial"/>
        </w:rPr>
      </w:pPr>
      <w:r>
        <w:rPr>
          <w:rFonts w:cs="Arial"/>
          <w:b/>
          <w:bCs/>
          <w:u w:val="single"/>
        </w:rPr>
        <w:t>Non-Defaulting Party</w:t>
      </w:r>
      <w:r>
        <w:rPr>
          <w:rFonts w:cs="Arial"/>
          <w:b/>
          <w:bCs/>
        </w:rPr>
        <w:t>:</w:t>
      </w:r>
      <w:r>
        <w:rPr>
          <w:rFonts w:cs="Arial"/>
        </w:rPr>
        <w:t xml:space="preserve"> Defined in Section 16.3.1 (</w:t>
      </w:r>
      <w:r>
        <w:rPr>
          <w:rFonts w:cs="Arial"/>
          <w:i/>
        </w:rPr>
        <w:t>Remedies for Event of Default</w:t>
      </w:r>
      <w:r>
        <w:rPr>
          <w:rFonts w:cs="Arial"/>
        </w:rPr>
        <w:t>).</w:t>
      </w:r>
    </w:p>
    <w:p w:rsidR="163E5E87" w:rsidP="54C72364" w:rsidRDefault="163E5E87" w14:paraId="5EF999CB" w14:textId="224B4C7A">
      <w:pPr>
        <w:pStyle w:val="Heading3"/>
        <w:keepNext w:val="0"/>
        <w:widowControl w:val="0"/>
        <w:spacing w:after="120"/>
        <w:rPr>
          <w:rFonts w:cs="Arial"/>
        </w:rPr>
      </w:pPr>
      <w:r>
        <w:rPr>
          <w:rFonts w:cs="Arial"/>
          <w:b/>
          <w:bCs/>
          <w:u w:val="single"/>
        </w:rPr>
        <w:t>Notice of Dispute</w:t>
      </w:r>
      <w:r>
        <w:rPr>
          <w:rFonts w:cs="Arial"/>
          <w:b/>
          <w:bCs/>
        </w:rPr>
        <w:t>:</w:t>
      </w:r>
      <w:r>
        <w:rPr>
          <w:rFonts w:cs="Arial"/>
        </w:rPr>
        <w:t xml:space="preserve"> Defined in Section 19.1 (</w:t>
      </w:r>
      <w:r>
        <w:rPr>
          <w:rFonts w:cs="Arial"/>
          <w:i/>
        </w:rPr>
        <w:t>Notice of Dispute; Dispute Resolution Process</w:t>
      </w:r>
      <w:r>
        <w:rPr>
          <w:rFonts w:cs="Arial"/>
        </w:rPr>
        <w:t>).</w:t>
      </w:r>
    </w:p>
    <w:p w:rsidR="12A592CC" w:rsidP="54C72364" w:rsidRDefault="12A592CC" w14:paraId="4DAC04AD" w14:textId="633954DF">
      <w:pPr>
        <w:pStyle w:val="Heading3"/>
        <w:keepNext w:val="0"/>
        <w:widowControl w:val="0"/>
        <w:spacing w:after="120"/>
        <w:rPr>
          <w:rFonts w:cs="Arial"/>
        </w:rPr>
      </w:pPr>
      <w:r>
        <w:rPr>
          <w:rFonts w:cs="Arial"/>
          <w:b/>
          <w:bCs/>
          <w:u w:val="single"/>
        </w:rPr>
        <w:t>NOV</w:t>
      </w:r>
      <w:r>
        <w:rPr>
          <w:rFonts w:cs="Arial"/>
          <w:b/>
          <w:bCs/>
        </w:rPr>
        <w:t xml:space="preserve">: </w:t>
      </w:r>
      <w:r>
        <w:rPr>
          <w:rFonts w:cs="Arial"/>
        </w:rPr>
        <w:t>Defined in Section 17.7.1 (</w:t>
      </w:r>
      <w:r>
        <w:rPr>
          <w:rFonts w:cs="Arial"/>
          <w:i/>
        </w:rPr>
        <w:t>Notices of Violations</w:t>
      </w:r>
      <w:r>
        <w:rPr>
          <w:rFonts w:cs="Arial"/>
        </w:rPr>
        <w:t>).</w:t>
      </w:r>
    </w:p>
    <w:p w:rsidR="12A592CC" w:rsidP="54C72364" w:rsidRDefault="12A592CC" w14:paraId="787DC470" w14:textId="79A176F8">
      <w:pPr>
        <w:pStyle w:val="Heading3"/>
        <w:keepNext w:val="0"/>
        <w:widowControl w:val="0"/>
        <w:spacing w:after="120"/>
        <w:rPr>
          <w:rFonts w:cs="Arial"/>
        </w:rPr>
      </w:pPr>
      <w:r>
        <w:rPr>
          <w:rFonts w:cs="Arial"/>
          <w:b/>
          <w:bCs/>
          <w:u w:val="single"/>
        </w:rPr>
        <w:t>NOV Remedy Plan</w:t>
      </w:r>
      <w:r>
        <w:rPr>
          <w:rFonts w:cs="Arial"/>
          <w:b/>
          <w:bCs/>
        </w:rPr>
        <w:t xml:space="preserve">: </w:t>
      </w:r>
      <w:r>
        <w:rPr>
          <w:rFonts w:cs="Arial"/>
        </w:rPr>
        <w:t>Defined in Section 17.7.2 (</w:t>
      </w:r>
      <w:r>
        <w:rPr>
          <w:rFonts w:cs="Arial"/>
          <w:i/>
        </w:rPr>
        <w:t>NOV Remedy Plan</w:t>
      </w:r>
      <w:r>
        <w:rPr>
          <w:rFonts w:cs="Arial"/>
        </w:rPr>
        <w:t>).</w:t>
      </w:r>
    </w:p>
    <w:p w:rsidRPr="00E36FEC" w:rsidR="00D96326" w:rsidP="004A5539" w:rsidRDefault="00D96326" w14:paraId="04B5AF3D" w14:textId="77777777">
      <w:pPr>
        <w:pStyle w:val="Heading3"/>
        <w:keepNext w:val="0"/>
        <w:widowControl w:val="0"/>
        <w:spacing w:after="120"/>
        <w:rPr>
          <w:rFonts w:cs="Arial"/>
        </w:rPr>
      </w:pPr>
      <w:r>
        <w:rPr>
          <w:rFonts w:cs="Arial"/>
          <w:b/>
          <w:u w:val="single"/>
        </w:rPr>
        <w:t>NOx</w:t>
      </w:r>
      <w:r>
        <w:rPr>
          <w:rFonts w:cs="Arial"/>
          <w:b/>
          <w:bCs/>
        </w:rPr>
        <w:t>:</w:t>
      </w:r>
      <w:r>
        <w:rPr>
          <w:rFonts w:cs="Arial"/>
        </w:rPr>
        <w:t xml:space="preserve"> Nitrogen oxides.</w:t>
      </w:r>
    </w:p>
    <w:p w:rsidRPr="00E36FEC" w:rsidR="00D96326" w:rsidP="004A5539" w:rsidRDefault="00D96326" w14:paraId="49105AAD" w14:textId="0265B7DC">
      <w:pPr>
        <w:pStyle w:val="Heading3"/>
        <w:keepNext w:val="0"/>
        <w:widowControl w:val="0"/>
        <w:spacing w:after="120"/>
        <w:rPr>
          <w:rFonts w:cs="Arial"/>
        </w:rPr>
      </w:pPr>
      <w:r>
        <w:rPr>
          <w:rFonts w:cs="Arial"/>
          <w:b/>
          <w:u w:val="single"/>
        </w:rPr>
        <w:t>NOx Allowances</w:t>
      </w:r>
      <w:r>
        <w:rPr>
          <w:rFonts w:cs="Arial"/>
          <w:b/>
        </w:rPr>
        <w:t>:</w:t>
      </w:r>
      <w:r>
        <w:rPr>
          <w:rFonts w:cs="Arial"/>
        </w:rPr>
        <w:t xml:space="preserve"> Allowances for NOx Emissions that are allocated or otherwise granted by any Governmental Authority or in accordance with any applicable law or Consent, including through any type of state or federal set-aside program, for the calendar years covered, in whole or in part, by the Annual Periods.</w:t>
      </w:r>
    </w:p>
    <w:p w:rsidRPr="00E36FEC" w:rsidR="00D96326" w:rsidP="004A5539" w:rsidRDefault="00D96326" w14:paraId="13737C70" w14:textId="77777777">
      <w:pPr>
        <w:pStyle w:val="Heading3"/>
        <w:keepNext w:val="0"/>
        <w:widowControl w:val="0"/>
        <w:spacing w:after="120"/>
        <w:rPr>
          <w:rFonts w:cs="Arial"/>
        </w:rPr>
      </w:pPr>
      <w:r>
        <w:rPr>
          <w:rFonts w:cs="Arial"/>
          <w:b/>
          <w:u w:val="single"/>
        </w:rPr>
        <w:t>NOx Emissions</w:t>
      </w:r>
      <w:r>
        <w:rPr>
          <w:rFonts w:cs="Arial"/>
          <w:b/>
        </w:rPr>
        <w:t>:</w:t>
      </w:r>
      <w:r>
        <w:rPr>
          <w:rFonts w:cs="Arial"/>
        </w:rPr>
        <w:t xml:space="preserve"> Emissions of NOx.</w:t>
      </w:r>
    </w:p>
    <w:p w:rsidRPr="000A2525" w:rsidR="00AC733B" w:rsidP="54C72364" w:rsidRDefault="00D96326" w14:paraId="71EB58C2" w14:textId="0D061DA5">
      <w:pPr>
        <w:pStyle w:val="Heading3"/>
        <w:keepNext w:val="0"/>
        <w:widowControl w:val="0"/>
        <w:spacing w:after="120"/>
        <w:rPr>
          <w:rFonts w:cs="Arial"/>
        </w:rPr>
      </w:pPr>
      <w:r>
        <w:rPr>
          <w:rStyle w:val="normaltextrun"/>
          <w:rFonts w:cs="Arial"/>
          <w:b/>
          <w:u w:val="single"/>
        </w:rPr>
        <w:t>OASIS</w:t>
      </w:r>
      <w:r>
        <w:rPr>
          <w:rStyle w:val="normaltextrun"/>
          <w:rFonts w:cs="Arial"/>
          <w:b/>
        </w:rPr>
        <w:t>:</w:t>
      </w:r>
      <w:r>
        <w:rPr>
          <w:rStyle w:val="normaltextrun"/>
          <w:rFonts w:cs="Arial"/>
        </w:rPr>
        <w:t xml:space="preserve"> Southern Company’s Open Access Same-Time Information System web site (located at </w:t>
      </w:r>
      <w:hyperlink w:history="1" r:id="rId18">
        <w:r>
          <w:rPr>
            <w:rFonts w:cs="Arial"/>
          </w:rPr>
          <w:t>https://www.oasis.oati.com/SOCO</w:t>
        </w:r>
      </w:hyperlink>
      <w:r>
        <w:rPr>
          <w:rStyle w:val="normaltextrun"/>
          <w:rFonts w:cs="Arial"/>
        </w:rPr>
        <w:t>).</w:t>
      </w:r>
    </w:p>
    <w:p w:rsidRPr="000A2525" w:rsidR="00D96326" w:rsidP="004A5539" w:rsidRDefault="00D96326" w14:paraId="60A8ED98" w14:textId="7037E1EA">
      <w:pPr>
        <w:pStyle w:val="Heading3"/>
        <w:keepNext w:val="0"/>
        <w:widowControl w:val="0"/>
        <w:spacing w:after="120"/>
        <w:rPr>
          <w:rFonts w:eastAsia="Arial" w:cs="Arial"/>
        </w:rPr>
      </w:pPr>
      <w:r>
        <w:rPr>
          <w:rFonts w:eastAsia="Arial" w:cs="Arial"/>
          <w:b/>
          <w:u w:val="single"/>
        </w:rPr>
        <w:t>Operating Committee</w:t>
      </w:r>
      <w:r>
        <w:rPr>
          <w:rFonts w:eastAsia="Arial" w:cs="Arial"/>
          <w:b/>
        </w:rPr>
        <w:t>:</w:t>
      </w:r>
      <w:r>
        <w:rPr>
          <w:rFonts w:eastAsia="Arial" w:cs="Arial"/>
        </w:rPr>
        <w:t xml:space="preserve"> The committee established in accordance with Section 10.7 (</w:t>
      </w:r>
      <w:r>
        <w:rPr>
          <w:rFonts w:eastAsia="Arial" w:cs="Arial"/>
          <w:i/>
        </w:rPr>
        <w:t>Operating Committee</w:t>
      </w:r>
      <w:r>
        <w:rPr>
          <w:rFonts w:eastAsia="Arial" w:cs="Arial"/>
        </w:rPr>
        <w:t>).</w:t>
      </w:r>
    </w:p>
    <w:p w:rsidRPr="000A2525" w:rsidR="00D96326" w:rsidP="004A5539" w:rsidRDefault="00D96326" w14:paraId="4BAFC12D" w14:textId="77777777">
      <w:pPr>
        <w:pStyle w:val="Heading3"/>
        <w:keepNext w:val="0"/>
        <w:widowControl w:val="0"/>
        <w:spacing w:after="120"/>
        <w:rPr>
          <w:rFonts w:eastAsia="Arial" w:cs="Arial"/>
        </w:rPr>
      </w:pPr>
      <w:r>
        <w:rPr>
          <w:rFonts w:eastAsia="Arial" w:cs="Arial"/>
          <w:b/>
          <w:u w:val="single"/>
        </w:rPr>
        <w:t>Operating Procedures</w:t>
      </w:r>
      <w:r>
        <w:rPr>
          <w:rFonts w:eastAsia="Arial" w:cs="Arial"/>
          <w:b/>
        </w:rPr>
        <w:t>:</w:t>
      </w:r>
      <w:r>
        <w:rPr>
          <w:rFonts w:eastAsia="Arial" w:cs="Arial"/>
        </w:rPr>
        <w:t xml:space="preserve"> Procedures developed by the Parties in accordance with Section 10.1.2 (</w:t>
      </w:r>
      <w:r>
        <w:rPr>
          <w:rFonts w:eastAsia="Arial" w:cs="Arial"/>
          <w:i/>
        </w:rPr>
        <w:t>Written</w:t>
      </w:r>
      <w:r>
        <w:rPr>
          <w:rFonts w:eastAsia="Arial" w:cs="Arial"/>
        </w:rPr>
        <w:t xml:space="preserve"> </w:t>
      </w:r>
      <w:r>
        <w:rPr>
          <w:rFonts w:eastAsia="Arial" w:cs="Arial"/>
          <w:i/>
        </w:rPr>
        <w:t>Operating Procedures</w:t>
      </w:r>
      <w:r>
        <w:rPr>
          <w:rFonts w:eastAsia="Arial" w:cs="Arial"/>
        </w:rPr>
        <w:t>).</w:t>
      </w:r>
    </w:p>
    <w:p w:rsidR="00D96326" w:rsidP="004A5539" w:rsidRDefault="00D96326" w14:paraId="3092B6D6" w14:textId="77777777">
      <w:pPr>
        <w:pStyle w:val="Heading3"/>
        <w:keepNext w:val="0"/>
        <w:widowControl w:val="0"/>
        <w:spacing w:after="120"/>
        <w:rPr>
          <w:rFonts w:cs="Arial"/>
        </w:rPr>
      </w:pPr>
      <w:r>
        <w:rPr>
          <w:rFonts w:cs="Arial"/>
          <w:b/>
          <w:u w:val="single"/>
        </w:rPr>
        <w:t>Operating Representatives</w:t>
      </w:r>
      <w:r>
        <w:rPr>
          <w:rFonts w:cs="Arial"/>
          <w:b/>
        </w:rPr>
        <w:t>:</w:t>
      </w:r>
      <w:r>
        <w:rPr>
          <w:rFonts w:cs="Arial"/>
        </w:rPr>
        <w:t xml:space="preserve"> Those individuals appointed by each of the Parties to the Operating Committee in accordance with Section 10.7 (</w:t>
      </w:r>
      <w:r>
        <w:rPr>
          <w:rFonts w:cs="Arial"/>
          <w:i/>
        </w:rPr>
        <w:t xml:space="preserve">Operating </w:t>
      </w:r>
      <w:r>
        <w:rPr>
          <w:rFonts w:cs="Arial"/>
          <w:i/>
          <w:iCs w:val="0"/>
        </w:rPr>
        <w:t>Committee</w:t>
      </w:r>
      <w:r>
        <w:rPr>
          <w:rFonts w:cs="Arial"/>
        </w:rPr>
        <w:t>).</w:t>
      </w:r>
    </w:p>
    <w:p w:rsidRPr="00E36FEC" w:rsidR="00023533" w:rsidP="004A5539" w:rsidRDefault="00023533" w14:paraId="4F735C25" w14:textId="17A2DDB9">
      <w:pPr>
        <w:pStyle w:val="Heading3"/>
        <w:keepNext w:val="0"/>
        <w:widowControl w:val="0"/>
        <w:spacing w:after="120"/>
        <w:rPr>
          <w:rFonts w:cs="Arial"/>
        </w:rPr>
      </w:pPr>
      <w:r w:rsidRPr="00341121">
        <w:rPr>
          <w:rFonts w:cs="Arial"/>
          <w:b/>
          <w:bCs/>
          <w:u w:val="single"/>
        </w:rPr>
        <w:t>Operational Alternatives</w:t>
      </w:r>
      <w:r w:rsidRPr="00341121">
        <w:rPr>
          <w:rFonts w:cs="Arial"/>
        </w:rPr>
        <w:t>: Proposed changes to the operation of the Facility that avoid or reduce Change of Law Expenditures.</w:t>
      </w:r>
    </w:p>
    <w:p w:rsidRPr="00E36FEC" w:rsidR="00D96326" w:rsidP="004A5539" w:rsidRDefault="00D96326" w14:paraId="077D0145" w14:textId="4464BAF5">
      <w:pPr>
        <w:pStyle w:val="Heading3"/>
        <w:keepNext w:val="0"/>
        <w:widowControl w:val="0"/>
        <w:spacing w:after="120"/>
        <w:rPr>
          <w:rFonts w:cs="Arial"/>
        </w:rPr>
      </w:pPr>
      <w:r>
        <w:rPr>
          <w:b/>
          <w:u w:val="single"/>
        </w:rPr>
        <w:t>Party</w:t>
      </w:r>
      <w:r>
        <w:rPr>
          <w:b/>
        </w:rPr>
        <w:t xml:space="preserve"> or</w:t>
      </w:r>
      <w:r>
        <w:rPr>
          <w:rFonts w:cs="Arial"/>
          <w:b/>
          <w:u w:val="single"/>
        </w:rPr>
        <w:t xml:space="preserve"> </w:t>
      </w:r>
      <w:r>
        <w:rPr>
          <w:b/>
          <w:u w:val="single"/>
        </w:rPr>
        <w:t>Parties</w:t>
      </w:r>
      <w:r>
        <w:rPr>
          <w:rFonts w:cs="Arial"/>
          <w:b/>
        </w:rPr>
        <w:t>:</w:t>
      </w:r>
      <w:r>
        <w:rPr>
          <w:rFonts w:cs="Arial"/>
        </w:rPr>
        <w:t xml:space="preserve"> Either GPC or Seller or both, as applicable.</w:t>
      </w:r>
    </w:p>
    <w:p w:rsidR="6D1E23AA" w:rsidP="54C72364" w:rsidRDefault="6D1E23AA" w14:paraId="1684E8A7" w14:textId="2C6AFC3E">
      <w:pPr>
        <w:pStyle w:val="Heading3"/>
        <w:keepNext w:val="0"/>
        <w:widowControl w:val="0"/>
        <w:spacing w:after="120"/>
        <w:rPr>
          <w:rFonts w:cs="Arial"/>
        </w:rPr>
      </w:pPr>
      <w:r>
        <w:rPr>
          <w:rFonts w:cs="Arial"/>
          <w:b/>
          <w:bCs/>
          <w:u w:val="single"/>
        </w:rPr>
        <w:t>Party-Appointed Arbitrators</w:t>
      </w:r>
      <w:r>
        <w:rPr>
          <w:rFonts w:cs="Arial"/>
          <w:b/>
          <w:bCs/>
        </w:rPr>
        <w:t>:</w:t>
      </w:r>
      <w:r>
        <w:rPr>
          <w:rFonts w:cs="Arial"/>
        </w:rPr>
        <w:t xml:space="preserve"> Defined in Section 19.3.2(</w:t>
      </w:r>
      <w:proofErr w:type="spellStart"/>
      <w:r>
        <w:rPr>
          <w:rFonts w:cs="Arial"/>
        </w:rPr>
        <w:t>i</w:t>
      </w:r>
      <w:proofErr w:type="spellEnd"/>
      <w:r>
        <w:rPr>
          <w:rFonts w:cs="Arial"/>
        </w:rPr>
        <w:t>) (</w:t>
      </w:r>
      <w:r>
        <w:rPr>
          <w:rFonts w:cs="Arial"/>
          <w:i/>
        </w:rPr>
        <w:t>Initiation of Arbitration; Selection of Party-Appointed Arbitrators</w:t>
      </w:r>
      <w:r>
        <w:rPr>
          <w:rFonts w:cs="Arial"/>
        </w:rPr>
        <w:t>).</w:t>
      </w:r>
    </w:p>
    <w:p w:rsidRPr="00E36FEC" w:rsidR="00D96326" w:rsidP="004A5539" w:rsidRDefault="00D96326" w14:paraId="61A65927" w14:textId="61799E2E">
      <w:pPr>
        <w:pStyle w:val="Heading3"/>
        <w:keepNext w:val="0"/>
        <w:widowControl w:val="0"/>
        <w:spacing w:after="120"/>
        <w:rPr>
          <w:rFonts w:cs="Arial"/>
        </w:rPr>
      </w:pPr>
      <w:r>
        <w:rPr>
          <w:rFonts w:cs="Arial"/>
          <w:b/>
          <w:bCs/>
          <w:u w:val="single"/>
        </w:rPr>
        <w:t>Performance Security</w:t>
      </w:r>
      <w:r>
        <w:rPr>
          <w:rFonts w:cs="Arial"/>
          <w:b/>
        </w:rPr>
        <w:t>:</w:t>
      </w:r>
      <w:r>
        <w:rPr>
          <w:rFonts w:cs="Arial"/>
        </w:rPr>
        <w:t xml:space="preserve"> Security in the form of Eligible Collateral that Seller must deliver to GPC to secure Seller’s due performance of Seller’s PPA obligations, as required under Section 6.1 (</w:t>
      </w:r>
      <w:r>
        <w:rPr>
          <w:rFonts w:cs="Arial"/>
          <w:i/>
          <w:iCs w:val="0"/>
        </w:rPr>
        <w:t>Performance Security</w:t>
      </w:r>
      <w:r>
        <w:rPr>
          <w:rFonts w:cs="Arial"/>
        </w:rPr>
        <w:t xml:space="preserve">) and </w:t>
      </w:r>
      <w:r w:rsidR="00DE0C8F">
        <w:rPr>
          <w:rFonts w:cs="Arial"/>
        </w:rPr>
        <w:t>Part 1 (</w:t>
      </w:r>
      <w:r w:rsidRPr="00DE0C8F" w:rsidR="00DE0C8F">
        <w:rPr>
          <w:rFonts w:cs="Arial"/>
          <w:i/>
          <w:iCs w:val="0"/>
        </w:rPr>
        <w:t>Performance Security</w:t>
      </w:r>
      <w:r w:rsidR="00DE0C8F">
        <w:rPr>
          <w:rFonts w:cs="Arial"/>
        </w:rPr>
        <w:t xml:space="preserve">) of </w:t>
      </w:r>
      <w:r>
        <w:rPr>
          <w:rFonts w:cs="Arial"/>
        </w:rPr>
        <w:t>Exhibit A-2 (</w:t>
      </w:r>
      <w:r>
        <w:rPr>
          <w:rFonts w:cs="Arial"/>
          <w:i/>
          <w:iCs w:val="0"/>
        </w:rPr>
        <w:t>Performance Security and Liquidated Damages</w:t>
      </w:r>
      <w:r>
        <w:rPr>
          <w:rFonts w:cs="Arial"/>
        </w:rPr>
        <w:t>).</w:t>
      </w:r>
    </w:p>
    <w:p w:rsidRPr="00E36FEC" w:rsidR="00D96326" w:rsidP="004A5539" w:rsidRDefault="00D96326" w14:paraId="45B72A00" w14:textId="3A110D44">
      <w:pPr>
        <w:pStyle w:val="Heading3"/>
        <w:keepNext w:val="0"/>
        <w:widowControl w:val="0"/>
        <w:spacing w:after="120"/>
        <w:rPr>
          <w:rFonts w:cs="Arial"/>
        </w:rPr>
      </w:pPr>
      <w:r>
        <w:rPr>
          <w:rFonts w:cs="Arial"/>
          <w:b/>
          <w:u w:val="single"/>
        </w:rPr>
        <w:t>Performance Test</w:t>
      </w:r>
      <w:r>
        <w:rPr>
          <w:rFonts w:cs="Arial"/>
          <w:b/>
        </w:rPr>
        <w:t>:</w:t>
      </w:r>
      <w:r>
        <w:rPr>
          <w:rFonts w:cs="Arial"/>
        </w:rPr>
        <w:t xml:space="preserve"> A performance test conducted in accordance with the procedures set forth in Exhibit E (</w:t>
      </w:r>
      <w:r>
        <w:rPr>
          <w:rFonts w:cs="Arial"/>
          <w:i/>
          <w:iCs w:val="0"/>
        </w:rPr>
        <w:t>Performance Testing Procedures</w:t>
      </w:r>
      <w:r>
        <w:rPr>
          <w:rFonts w:cs="Arial"/>
        </w:rPr>
        <w:t>). Performance Testing has a meaning correlative to that of Performance Test.</w:t>
      </w:r>
    </w:p>
    <w:p w:rsidRPr="00E36FEC" w:rsidR="00D96326" w:rsidP="004A5539" w:rsidRDefault="00D96326" w14:paraId="1ED30D01" w14:textId="77777777">
      <w:pPr>
        <w:pStyle w:val="Heading3"/>
        <w:keepNext w:val="0"/>
        <w:widowControl w:val="0"/>
        <w:spacing w:after="120"/>
        <w:rPr>
          <w:rFonts w:cs="Arial"/>
        </w:rPr>
      </w:pPr>
      <w:r>
        <w:rPr>
          <w:rFonts w:cs="Arial"/>
          <w:b/>
          <w:u w:val="single"/>
        </w:rPr>
        <w:t>Person</w:t>
      </w:r>
      <w:r>
        <w:rPr>
          <w:rFonts w:cs="Arial"/>
          <w:b/>
        </w:rPr>
        <w:t>:</w:t>
      </w:r>
      <w:r>
        <w:rPr>
          <w:rFonts w:cs="Arial"/>
        </w:rPr>
        <w:t xml:space="preserve"> Any natural person, corporation, limited liability company, general partnership, limited partnership, proprietorship, other business organization, trust, union, association, or Governmental Authority.</w:t>
      </w:r>
    </w:p>
    <w:p w:rsidRPr="00E36FEC" w:rsidR="00D96326" w:rsidP="004A5539" w:rsidRDefault="004D3CD4" w14:paraId="13163D56" w14:textId="3EABEC3A">
      <w:pPr>
        <w:pStyle w:val="Heading3"/>
        <w:keepNext w:val="0"/>
        <w:widowControl w:val="0"/>
        <w:spacing w:after="120"/>
      </w:pPr>
      <w:r>
        <w:rPr>
          <w:rStyle w:val="normaltextrun"/>
          <w:rFonts w:cs="Arial"/>
          <w:b/>
          <w:bCs/>
          <w:u w:val="single"/>
          <w:shd w:val="clear" w:color="auto" w:fill="FFFFFF"/>
        </w:rPr>
        <w:t>Point of Delivery (POD)</w:t>
      </w:r>
      <w:r>
        <w:rPr>
          <w:rStyle w:val="normaltextrun"/>
          <w:rFonts w:cs="Arial"/>
          <w:b/>
          <w:bCs/>
          <w:shd w:val="clear" w:color="auto" w:fill="FFFFFF"/>
        </w:rPr>
        <w:t>:</w:t>
      </w:r>
      <w:r>
        <w:rPr>
          <w:rStyle w:val="normaltextrun"/>
          <w:rFonts w:cs="Arial"/>
          <w:shd w:val="clear" w:color="auto" w:fill="FFFFFF"/>
        </w:rPr>
        <w:t xml:space="preserve"> Either: (</w:t>
      </w:r>
      <w:proofErr w:type="spellStart"/>
      <w:r>
        <w:rPr>
          <w:rStyle w:val="normaltextrun"/>
          <w:rFonts w:cs="Arial"/>
          <w:shd w:val="clear" w:color="auto" w:fill="FFFFFF"/>
        </w:rPr>
        <w:t>i</w:t>
      </w:r>
      <w:proofErr w:type="spellEnd"/>
      <w:r>
        <w:rPr>
          <w:rStyle w:val="normaltextrun"/>
          <w:rFonts w:cs="Arial"/>
          <w:shd w:val="clear" w:color="auto" w:fill="FFFFFF"/>
        </w:rPr>
        <w:t>) the POI or Alternate Delivery Point, if the Facility or Alternate Resource (in accordance with Section 4.1.4 (</w:t>
      </w:r>
      <w:r>
        <w:rPr>
          <w:rStyle w:val="normaltextrun"/>
          <w:rFonts w:cs="Arial"/>
          <w:i/>
          <w:iCs w:val="0"/>
          <w:shd w:val="clear" w:color="auto" w:fill="FFFFFF"/>
        </w:rPr>
        <w:t>Unavailability</w:t>
      </w:r>
      <w:r>
        <w:rPr>
          <w:rStyle w:val="normaltextrun"/>
          <w:rFonts w:cs="Arial"/>
          <w:shd w:val="clear" w:color="auto" w:fill="FFFFFF"/>
        </w:rPr>
        <w:t>)) is interconnected to the STT; or (ii) the selected Southern Transmission Interface if the Facility or Alternate Resource is interconnected to an Electric System outside the SBAA</w:t>
      </w:r>
      <w:r>
        <w:rPr>
          <w:rStyle w:val="normaltextrun"/>
          <w:rFonts w:cs="Arial"/>
        </w:rPr>
        <w:t>.</w:t>
      </w:r>
      <w:r>
        <w:rPr>
          <w:rStyle w:val="eop"/>
          <w:rFonts w:cs="Arial"/>
        </w:rPr>
        <w:t> </w:t>
      </w:r>
      <w:r>
        <w:t>For a Facility interconnected to an Electric System outside the SBAA, the selected Southern Transmission Interface is identified in Exhibit A (</w:t>
      </w:r>
      <w:r>
        <w:rPr>
          <w:i/>
        </w:rPr>
        <w:t>Facility Description and Additional Details</w:t>
      </w:r>
      <w:r>
        <w:t xml:space="preserve">). </w:t>
      </w:r>
    </w:p>
    <w:p w:rsidRPr="00E36FEC" w:rsidR="00B909B5" w:rsidP="004A5539" w:rsidRDefault="00B909B5" w14:paraId="4B586B56" w14:textId="65A6197E">
      <w:pPr>
        <w:pStyle w:val="Heading3"/>
        <w:keepNext w:val="0"/>
        <w:widowControl w:val="0"/>
        <w:spacing w:after="120"/>
        <w:rPr>
          <w:rStyle w:val="eop"/>
          <w:rFonts w:cs="Arial"/>
        </w:rPr>
      </w:pPr>
      <w:r>
        <w:rPr>
          <w:rFonts w:cs="Arial"/>
          <w:b/>
          <w:u w:val="single"/>
        </w:rPr>
        <w:t>Point of Interconnection (POI)</w:t>
      </w:r>
      <w:r>
        <w:rPr>
          <w:rFonts w:cs="Arial"/>
          <w:b/>
        </w:rPr>
        <w:t>:</w:t>
      </w:r>
      <w:r>
        <w:rPr>
          <w:rFonts w:cs="Arial"/>
        </w:rPr>
        <w:t xml:space="preserve"> The point </w:t>
      </w:r>
      <w:r>
        <w:t>at which the Facility is interconnected to the Electric System, as defined in the IA</w:t>
      </w:r>
      <w:r>
        <w:rPr>
          <w:rFonts w:cs="Arial"/>
        </w:rPr>
        <w:t>.</w:t>
      </w:r>
    </w:p>
    <w:p w:rsidRPr="00E36FEC" w:rsidR="00D96326" w:rsidP="004A5539" w:rsidRDefault="00D96326" w14:paraId="573BB6A7" w14:textId="1757BD20">
      <w:pPr>
        <w:pStyle w:val="Heading3"/>
        <w:keepNext w:val="0"/>
        <w:widowControl w:val="0"/>
        <w:spacing w:after="120"/>
        <w:rPr>
          <w:rStyle w:val="eop"/>
          <w:rFonts w:cs="Arial"/>
          <w:shd w:val="clear" w:color="auto" w:fill="FFFFFF"/>
        </w:rPr>
      </w:pPr>
      <w:r>
        <w:rPr>
          <w:rStyle w:val="eop"/>
          <w:rFonts w:cs="Arial"/>
          <w:b/>
          <w:u w:val="single"/>
          <w:shd w:val="clear" w:color="auto" w:fill="FFFFFF"/>
        </w:rPr>
        <w:t>PPA</w:t>
      </w:r>
      <w:r>
        <w:rPr>
          <w:rStyle w:val="eop"/>
          <w:rFonts w:cs="Arial"/>
          <w:b/>
          <w:shd w:val="clear" w:color="auto" w:fill="FFFFFF"/>
        </w:rPr>
        <w:t>:</w:t>
      </w:r>
      <w:r>
        <w:rPr>
          <w:rStyle w:val="eop"/>
          <w:rFonts w:cs="Arial"/>
          <w:shd w:val="clear" w:color="auto" w:fill="FFFFFF"/>
        </w:rPr>
        <w:t xml:space="preserve"> This Power Purchase Agreement for Firm Capacity, Firm Energy, and Ancillary Services from a Combustion Turbine for 2026 All-Source Capacity Request for Proposals for Need Years 2032</w:t>
      </w:r>
      <w:r>
        <w:t>–</w:t>
      </w:r>
      <w:r>
        <w:rPr>
          <w:rStyle w:val="eop"/>
          <w:rFonts w:cs="Arial"/>
          <w:shd w:val="clear" w:color="auto" w:fill="FFFFFF"/>
        </w:rPr>
        <w:t xml:space="preserve">2033 at the Facility name specified </w:t>
      </w:r>
      <w:r>
        <w:t>in</w:t>
      </w:r>
      <w:r>
        <w:rPr>
          <w:rFonts w:cs="Arial"/>
        </w:rPr>
        <w:t xml:space="preserve"> </w:t>
      </w:r>
      <w:r>
        <w:rPr>
          <w:rFonts w:cs="Arial"/>
          <w:bCs/>
        </w:rPr>
        <w:t>Exhibit A (</w:t>
      </w:r>
      <w:r>
        <w:rPr>
          <w:rFonts w:cs="Arial"/>
          <w:bCs/>
          <w:i/>
          <w:iCs w:val="0"/>
        </w:rPr>
        <w:t>Facility Description and Additional Details</w:t>
      </w:r>
      <w:r>
        <w:rPr>
          <w:rFonts w:cs="Arial"/>
          <w:bCs/>
        </w:rPr>
        <w:t>)</w:t>
      </w:r>
      <w:r>
        <w:rPr>
          <w:rStyle w:val="eop"/>
          <w:rFonts w:cs="Arial"/>
          <w:shd w:val="clear" w:color="auto" w:fill="FFFFFF"/>
        </w:rPr>
        <w:t xml:space="preserve"> between GPC and Seller.</w:t>
      </w:r>
    </w:p>
    <w:p w:rsidRPr="00E36FEC" w:rsidR="00D96326" w:rsidP="004A5539" w:rsidRDefault="00D96326" w14:paraId="28DAF72A" w14:textId="77777777">
      <w:pPr>
        <w:pStyle w:val="Heading3"/>
        <w:keepNext w:val="0"/>
        <w:widowControl w:val="0"/>
        <w:spacing w:after="120"/>
        <w:rPr>
          <w:rFonts w:cs="Arial"/>
          <w:b/>
          <w:bCs/>
        </w:rPr>
      </w:pPr>
      <w:r>
        <w:rPr>
          <w:rFonts w:cs="Arial"/>
          <w:b/>
          <w:u w:val="single"/>
        </w:rPr>
        <w:t>Primary Beneficiary</w:t>
      </w:r>
      <w:r>
        <w:rPr>
          <w:rFonts w:cs="Arial"/>
          <w:b/>
        </w:rPr>
        <w:t>:</w:t>
      </w:r>
      <w:r>
        <w:rPr>
          <w:rFonts w:cs="Arial"/>
        </w:rPr>
        <w:t xml:space="preserve"> As defined in FASB ASC Topic 810 (</w:t>
      </w:r>
      <w:r>
        <w:rPr>
          <w:rFonts w:cs="Arial"/>
          <w:i/>
        </w:rPr>
        <w:t>Consolidation</w:t>
      </w:r>
      <w:r>
        <w:rPr>
          <w:rFonts w:cs="Arial"/>
        </w:rPr>
        <w:t xml:space="preserve">), as issued and modified from time to time by FASB.  </w:t>
      </w:r>
    </w:p>
    <w:p w:rsidRPr="00E36FEC" w:rsidR="00D96326" w:rsidP="004A5539" w:rsidRDefault="00D96326" w14:paraId="4DB5D1A9" w14:textId="62E9B4AA">
      <w:pPr>
        <w:pStyle w:val="Heading3"/>
        <w:keepNext w:val="0"/>
        <w:widowControl w:val="0"/>
        <w:spacing w:after="120"/>
        <w:rPr>
          <w:rFonts w:cs="Arial"/>
        </w:rPr>
      </w:pPr>
      <w:r>
        <w:rPr>
          <w:rFonts w:cs="Arial"/>
          <w:b/>
          <w:u w:val="single"/>
        </w:rPr>
        <w:lastRenderedPageBreak/>
        <w:t>Project</w:t>
      </w:r>
      <w:r>
        <w:rPr>
          <w:rFonts w:cs="Arial"/>
          <w:b/>
        </w:rPr>
        <w:t>:</w:t>
      </w:r>
      <w:r>
        <w:rPr>
          <w:rFonts w:cs="Arial"/>
        </w:rPr>
        <w:t xml:space="preserve"> The design, engineering, construction, testing, and commissioning of the </w:t>
      </w:r>
      <w:r w:rsidR="0055569B">
        <w:rPr>
          <w:rFonts w:cs="Arial"/>
        </w:rPr>
        <w:t xml:space="preserve">Facility, including any </w:t>
      </w:r>
      <w:r>
        <w:rPr>
          <w:rFonts w:cs="Arial"/>
        </w:rPr>
        <w:t>Unit</w:t>
      </w:r>
      <w:r w:rsidR="0055569B">
        <w:rPr>
          <w:rFonts w:cs="Arial"/>
        </w:rPr>
        <w:t>,</w:t>
      </w:r>
      <w:r>
        <w:rPr>
          <w:rFonts w:cs="Arial"/>
        </w:rPr>
        <w:t xml:space="preserve"> and, as applicable, the ownership, operation, management, and maintenance of the Facility</w:t>
      </w:r>
      <w:r w:rsidR="0055569B">
        <w:rPr>
          <w:rFonts w:cs="Arial"/>
        </w:rPr>
        <w:t xml:space="preserve"> or</w:t>
      </w:r>
      <w:r w:rsidR="0005035B">
        <w:rPr>
          <w:rFonts w:cs="Arial"/>
        </w:rPr>
        <w:t xml:space="preserve"> any</w:t>
      </w:r>
      <w:r w:rsidR="0055569B">
        <w:rPr>
          <w:rFonts w:cs="Arial"/>
        </w:rPr>
        <w:t xml:space="preserve"> Unit</w:t>
      </w:r>
      <w:r>
        <w:rPr>
          <w:rFonts w:cs="Arial"/>
        </w:rPr>
        <w:t>, all of which being reasonably expected to enable Seller to fulfill its obligations under this PPA.</w:t>
      </w:r>
    </w:p>
    <w:p w:rsidR="6A2C1559" w:rsidP="54C72364" w:rsidRDefault="6A2C1559" w14:paraId="49CAC624" w14:textId="17BEAA69">
      <w:pPr>
        <w:pStyle w:val="Heading3"/>
        <w:keepNext w:val="0"/>
        <w:widowControl w:val="0"/>
        <w:spacing w:after="120"/>
        <w:rPr>
          <w:rFonts w:cs="Arial"/>
        </w:rPr>
      </w:pPr>
      <w:r>
        <w:rPr>
          <w:rFonts w:cs="Arial"/>
          <w:b/>
          <w:bCs/>
          <w:u w:val="single"/>
        </w:rPr>
        <w:t>Proposed Resolutions</w:t>
      </w:r>
      <w:r>
        <w:rPr>
          <w:rFonts w:cs="Arial"/>
          <w:b/>
          <w:bCs/>
        </w:rPr>
        <w:t>:</w:t>
      </w:r>
      <w:r>
        <w:rPr>
          <w:rFonts w:cs="Arial"/>
        </w:rPr>
        <w:t xml:space="preserve"> Defined in Section 19.3.3 (</w:t>
      </w:r>
      <w:r>
        <w:rPr>
          <w:rFonts w:cs="Arial"/>
          <w:i/>
        </w:rPr>
        <w:t>Discovery; Hearing</w:t>
      </w:r>
      <w:r>
        <w:rPr>
          <w:rFonts w:cs="Arial"/>
        </w:rPr>
        <w:t>).</w:t>
      </w:r>
    </w:p>
    <w:p w:rsidRPr="00E36FEC" w:rsidR="00D96326" w:rsidP="004A5539" w:rsidRDefault="00D96326" w14:paraId="24D33ABC" w14:textId="2E490A2F">
      <w:pPr>
        <w:pStyle w:val="Heading3"/>
        <w:keepNext w:val="0"/>
        <w:widowControl w:val="0"/>
        <w:spacing w:after="120"/>
        <w:rPr>
          <w:rFonts w:cs="Arial"/>
        </w:rPr>
      </w:pPr>
      <w:r>
        <w:rPr>
          <w:rFonts w:cs="Arial"/>
          <w:b/>
          <w:u w:val="single"/>
        </w:rPr>
        <w:t>Prudent Industry Practices</w:t>
      </w:r>
      <w:r>
        <w:rPr>
          <w:rFonts w:cs="Arial"/>
          <w:b/>
        </w:rPr>
        <w:t>:</w:t>
      </w:r>
      <w:r>
        <w:rPr>
          <w:rFonts w:cs="Arial"/>
        </w:rPr>
        <w:t xml:space="preserve"> Any of the practices, methods, standards, or acts engaged in or approved by a significant portion of the electric power industry in the United States that, at a particular time, in the exercise of reasonable judgment in light of the facts known or that should reasonably have been known when a decision was made, could have been expected to accomplish the desired result, consistent with good business practices, reliability, economy, safety, and expedition. Prudent Industry Practices are not intended to be limited to the optimum practices, methods, or acts to the exclusion of all others, but rather to be acceptable practices, methods, or acts generally accepted in the United States electric power industry having due regard for, among other things, manufacturers’ warranties, applicable law, and, as applicable, requirements of this PPA.</w:t>
      </w:r>
    </w:p>
    <w:p w:rsidRPr="00F10071" w:rsidR="00D96326" w:rsidP="004A5539" w:rsidRDefault="00D96326" w14:paraId="387DD86B" w14:textId="4B5F5F2E">
      <w:pPr>
        <w:pStyle w:val="Heading3"/>
        <w:keepNext w:val="0"/>
        <w:widowControl w:val="0"/>
        <w:spacing w:after="120"/>
        <w:rPr>
          <w:rFonts w:cs="Arial"/>
        </w:rPr>
      </w:pPr>
      <w:r>
        <w:rPr>
          <w:rFonts w:cs="Arial"/>
          <w:b/>
          <w:u w:val="single"/>
        </w:rPr>
        <w:t>Rating Agency</w:t>
      </w:r>
      <w:r>
        <w:rPr>
          <w:rFonts w:cs="Arial"/>
          <w:b/>
        </w:rPr>
        <w:t>:</w:t>
      </w:r>
      <w:r>
        <w:rPr>
          <w:rFonts w:cs="Arial"/>
        </w:rPr>
        <w:t xml:space="preserve"> The rating entities of S&amp;P, Moody’s, or Fitch. If any Rating Agency ceases to exist or </w:t>
      </w:r>
      <w:proofErr w:type="gramStart"/>
      <w:r>
        <w:rPr>
          <w:rFonts w:cs="Arial"/>
        </w:rPr>
        <w:t>publish</w:t>
      </w:r>
      <w:proofErr w:type="gramEnd"/>
      <w:r>
        <w:rPr>
          <w:rFonts w:cs="Arial"/>
        </w:rPr>
        <w:t xml:space="preserve"> ratings, the Rating Agency will be replaced under this PPA with a nationally recognized rating agency mutually agreed upon by the Parties.</w:t>
      </w:r>
    </w:p>
    <w:p w:rsidRPr="00F10071" w:rsidR="00D96326" w:rsidP="004A5539" w:rsidRDefault="00D96326" w14:paraId="4EE44402" w14:textId="77777777">
      <w:pPr>
        <w:pStyle w:val="Heading3"/>
        <w:keepNext w:val="0"/>
        <w:widowControl w:val="0"/>
        <w:spacing w:after="120"/>
        <w:rPr>
          <w:rFonts w:cs="Arial"/>
        </w:rPr>
      </w:pPr>
      <w:r>
        <w:rPr>
          <w:rStyle w:val="normaltextrun"/>
          <w:rFonts w:cs="Arial"/>
          <w:b/>
          <w:u w:val="single"/>
          <w:shd w:val="clear" w:color="auto" w:fill="FFFFFF"/>
        </w:rPr>
        <w:t>RCOD</w:t>
      </w:r>
      <w:r>
        <w:rPr>
          <w:rStyle w:val="normaltextrun"/>
          <w:rFonts w:cs="Arial"/>
          <w:b/>
          <w:shd w:val="clear" w:color="auto" w:fill="FFFFFF"/>
        </w:rPr>
        <w:t>:</w:t>
      </w:r>
      <w:r>
        <w:rPr>
          <w:rStyle w:val="normaltextrun"/>
          <w:rFonts w:cs="Arial"/>
          <w:shd w:val="clear" w:color="auto" w:fill="FFFFFF"/>
        </w:rPr>
        <w:t xml:space="preserve"> See </w:t>
      </w:r>
      <w:r>
        <w:rPr>
          <w:rStyle w:val="normaltextrun"/>
          <w:rFonts w:cs="Arial"/>
          <w:i/>
          <w:shd w:val="clear" w:color="auto" w:fill="FFFFFF"/>
        </w:rPr>
        <w:t>Required Commercial Operation Date</w:t>
      </w:r>
      <w:r>
        <w:rPr>
          <w:rStyle w:val="normaltextrun"/>
          <w:rFonts w:cs="Arial"/>
          <w:shd w:val="clear" w:color="auto" w:fill="FFFFFF"/>
        </w:rPr>
        <w:t>.</w:t>
      </w:r>
      <w:r>
        <w:rPr>
          <w:rStyle w:val="eop"/>
          <w:rFonts w:cs="Arial"/>
          <w:shd w:val="clear" w:color="auto" w:fill="FFFFFF"/>
        </w:rPr>
        <w:t> </w:t>
      </w:r>
    </w:p>
    <w:p w:rsidRPr="00F10071" w:rsidR="00D96326" w:rsidP="004A5539" w:rsidRDefault="00D96326" w14:paraId="2611D0FA" w14:textId="6C765022">
      <w:pPr>
        <w:pStyle w:val="Heading3"/>
        <w:keepNext w:val="0"/>
        <w:widowControl w:val="0"/>
        <w:spacing w:after="120"/>
        <w:rPr>
          <w:rFonts w:cs="Arial"/>
        </w:rPr>
      </w:pPr>
      <w:r>
        <w:rPr>
          <w:rFonts w:cs="Arial"/>
          <w:b/>
          <w:u w:val="single"/>
        </w:rPr>
        <w:t>Reference Conditions</w:t>
      </w:r>
      <w:r>
        <w:rPr>
          <w:rFonts w:cs="Arial"/>
          <w:b/>
        </w:rPr>
        <w:t>:</w:t>
      </w:r>
      <w:r>
        <w:rPr>
          <w:rFonts w:cs="Arial"/>
        </w:rPr>
        <w:t xml:space="preserve"> Reference Conditions of: (</w:t>
      </w:r>
      <w:proofErr w:type="spellStart"/>
      <w:r>
        <w:rPr>
          <w:rFonts w:cs="Arial"/>
        </w:rPr>
        <w:t>i</w:t>
      </w:r>
      <w:proofErr w:type="spellEnd"/>
      <w:r>
        <w:rPr>
          <w:rFonts w:cs="Arial"/>
        </w:rPr>
        <w:t xml:space="preserve">) either: (a) 95°F, 45% relative humidity for the Standard Seasonal Performance Periods; or (b) 40°F, 75% relative humidity for the Winter Seasonal Performance Period; and (ii) average barometric pressure at the Site at the reference temperature and relative humidity, and the maximum reactive power obligation as specified in the </w:t>
      </w:r>
      <w:r>
        <w:t>IA</w:t>
      </w:r>
      <w:r>
        <w:rPr>
          <w:rFonts w:cs="Arial"/>
        </w:rPr>
        <w:t>.</w:t>
      </w:r>
    </w:p>
    <w:p w:rsidR="7D65EBC4" w:rsidP="54C72364" w:rsidRDefault="7D65EBC4" w14:paraId="65B55A46" w14:textId="071BF52C">
      <w:pPr>
        <w:pStyle w:val="Heading3"/>
        <w:keepNext w:val="0"/>
        <w:widowControl w:val="0"/>
        <w:spacing w:after="120"/>
      </w:pPr>
      <w:r>
        <w:rPr>
          <w:rFonts w:cs="Arial"/>
          <w:b/>
          <w:bCs/>
          <w:u w:val="single"/>
        </w:rPr>
        <w:t>Reorganization Transaction</w:t>
      </w:r>
      <w:r>
        <w:rPr>
          <w:rFonts w:cs="Arial"/>
          <w:b/>
          <w:bCs/>
        </w:rPr>
        <w:t>:</w:t>
      </w:r>
      <w:r>
        <w:rPr>
          <w:rFonts w:cs="Arial"/>
        </w:rPr>
        <w:t xml:space="preserve"> </w:t>
      </w:r>
      <w:r>
        <w:rPr>
          <w:rFonts w:eastAsia="Arial" w:cs="Arial"/>
        </w:rPr>
        <w:t>A transaction or series of transactions that, if consummated, would result in a change to the interest, or the addition, of a parent of Seller, but that does not change Seller nor its Ultimate Parent Entity.</w:t>
      </w:r>
    </w:p>
    <w:p w:rsidRPr="00F10071" w:rsidR="00D96326" w:rsidP="004A5539" w:rsidRDefault="00D96326" w14:paraId="148ACEE8" w14:textId="733D0BCE">
      <w:pPr>
        <w:pStyle w:val="Heading3"/>
        <w:keepNext w:val="0"/>
        <w:widowControl w:val="0"/>
        <w:spacing w:after="120"/>
        <w:rPr>
          <w:rFonts w:cs="Arial"/>
        </w:rPr>
      </w:pPr>
      <w:r>
        <w:rPr>
          <w:rFonts w:cs="Arial"/>
          <w:b/>
          <w:u w:val="single"/>
        </w:rPr>
        <w:t>Replacement Costs</w:t>
      </w:r>
      <w:r>
        <w:rPr>
          <w:rFonts w:cs="Arial"/>
          <w:b/>
        </w:rPr>
        <w:t>:</w:t>
      </w:r>
      <w:r>
        <w:rPr>
          <w:rFonts w:cs="Arial"/>
        </w:rPr>
        <w:t xml:space="preserve"> </w:t>
      </w:r>
      <w:r>
        <w:rPr>
          <w:rFonts w:eastAsia="Times New Roman" w:cs="Arial"/>
        </w:rPr>
        <w:t xml:space="preserve">Defined in, and determined in accordance with, </w:t>
      </w:r>
      <w:r>
        <w:rPr>
          <w:rFonts w:cs="Arial"/>
        </w:rPr>
        <w:t>Exhibit B (</w:t>
      </w:r>
      <w:r>
        <w:rPr>
          <w:rFonts w:cs="Arial"/>
          <w:i/>
        </w:rPr>
        <w:t>Capacity; Capacity Payment and Payment Reductions; Buydown</w:t>
      </w:r>
      <w:r>
        <w:rPr>
          <w:rFonts w:cs="Arial"/>
        </w:rPr>
        <w:t>), Part 4 (</w:t>
      </w:r>
      <w:r>
        <w:rPr>
          <w:rFonts w:cs="Arial"/>
          <w:i/>
        </w:rPr>
        <w:t>Calculation of Replacement Costs</w:t>
      </w:r>
      <w:r>
        <w:rPr>
          <w:rFonts w:cs="Arial"/>
        </w:rPr>
        <w:t>).</w:t>
      </w:r>
    </w:p>
    <w:p w:rsidRPr="00F10071" w:rsidR="00D96326" w:rsidP="004A5539" w:rsidRDefault="00D96326" w14:paraId="2C3043B8" w14:textId="663ACB27">
      <w:pPr>
        <w:pStyle w:val="Heading3"/>
        <w:keepNext w:val="0"/>
        <w:widowControl w:val="0"/>
        <w:spacing w:after="120"/>
        <w:rPr>
          <w:rFonts w:cs="Arial"/>
        </w:rPr>
      </w:pPr>
      <w:r>
        <w:rPr>
          <w:rFonts w:cs="Arial"/>
          <w:b/>
          <w:bCs/>
          <w:u w:val="single"/>
        </w:rPr>
        <w:t>Replacement Price</w:t>
      </w:r>
      <w:r>
        <w:rPr>
          <w:rFonts w:cs="Arial"/>
          <w:b/>
          <w:bCs/>
        </w:rPr>
        <w:t xml:space="preserve">: </w:t>
      </w:r>
      <w:r>
        <w:rPr>
          <w:rFonts w:cs="Arial"/>
        </w:rPr>
        <w:t>Defined in, and determined in accordance with, Exhibit B (</w:t>
      </w:r>
      <w:r>
        <w:rPr>
          <w:rFonts w:cs="Arial"/>
          <w:i/>
        </w:rPr>
        <w:t>Capacity; Capacity Payments and Payment Reductions; Buydown</w:t>
      </w:r>
      <w:r>
        <w:rPr>
          <w:rFonts w:cs="Arial"/>
        </w:rPr>
        <w:t>), Part 4 (</w:t>
      </w:r>
      <w:r>
        <w:rPr>
          <w:rFonts w:cs="Arial"/>
          <w:i/>
        </w:rPr>
        <w:t>Calculation of Replacement Costs</w:t>
      </w:r>
      <w:r>
        <w:rPr>
          <w:rFonts w:cs="Arial"/>
        </w:rPr>
        <w:t>).</w:t>
      </w:r>
    </w:p>
    <w:p w:rsidRPr="00F10071" w:rsidR="00D96326" w:rsidP="004A5539" w:rsidRDefault="00D96326" w14:paraId="52A2AE7A" w14:textId="22AD8263">
      <w:pPr>
        <w:pStyle w:val="Heading3"/>
        <w:keepNext w:val="0"/>
        <w:widowControl w:val="0"/>
        <w:spacing w:after="120"/>
        <w:rPr>
          <w:rFonts w:cs="Arial"/>
        </w:rPr>
      </w:pPr>
      <w:r>
        <w:rPr>
          <w:rFonts w:cs="Arial"/>
          <w:b/>
          <w:u w:val="single"/>
        </w:rPr>
        <w:t>Representative</w:t>
      </w:r>
      <w:r>
        <w:rPr>
          <w:rFonts w:cs="Arial"/>
          <w:b/>
        </w:rPr>
        <w:t>:</w:t>
      </w:r>
      <w:r>
        <w:rPr>
          <w:rFonts w:cs="Arial"/>
        </w:rPr>
        <w:t xml:space="preserve"> When used regarding a Person, collectively or individually (as the context indicates), the Person, its Affiliates, and any permitted successor or assign, and the directors, officers, employees, </w:t>
      </w:r>
      <w:proofErr w:type="gramStart"/>
      <w:r>
        <w:rPr>
          <w:rFonts w:cs="Arial"/>
        </w:rPr>
        <w:t>representatives</w:t>
      </w:r>
      <w:proofErr w:type="gramEnd"/>
      <w:r>
        <w:rPr>
          <w:rFonts w:cs="Arial"/>
        </w:rPr>
        <w:t xml:space="preserve">, consultants, attorneys, agents, bankers, insurers, financiers, accountants, contractors, or subcontractors of each of them. </w:t>
      </w:r>
    </w:p>
    <w:p w:rsidR="70461DCD" w:rsidP="54C72364" w:rsidRDefault="70461DCD" w14:paraId="607A9908" w14:textId="113D1BEB">
      <w:pPr>
        <w:pStyle w:val="Heading3"/>
        <w:keepNext w:val="0"/>
        <w:widowControl w:val="0"/>
        <w:spacing w:after="120"/>
        <w:rPr>
          <w:rFonts w:cs="Arial"/>
        </w:rPr>
      </w:pPr>
      <w:r>
        <w:rPr>
          <w:rFonts w:cs="Arial"/>
          <w:b/>
          <w:bCs/>
          <w:u w:val="single"/>
        </w:rPr>
        <w:t>Required BMPs</w:t>
      </w:r>
      <w:r>
        <w:rPr>
          <w:rFonts w:cs="Arial"/>
          <w:b/>
          <w:bCs/>
        </w:rPr>
        <w:t>:</w:t>
      </w:r>
      <w:r>
        <w:rPr>
          <w:rFonts w:cs="Arial"/>
        </w:rPr>
        <w:t xml:space="preserve"> Defined in Section 17.5</w:t>
      </w:r>
      <w:r w:rsidR="00F244DC">
        <w:rPr>
          <w:rFonts w:cs="Arial"/>
        </w:rPr>
        <w:t>.1</w:t>
      </w:r>
      <w:r>
        <w:rPr>
          <w:rFonts w:cs="Arial"/>
        </w:rPr>
        <w:t xml:space="preserve"> (</w:t>
      </w:r>
      <w:r w:rsidR="00F244DC">
        <w:rPr>
          <w:rFonts w:cs="Arial"/>
          <w:i/>
        </w:rPr>
        <w:t>Required BMPs</w:t>
      </w:r>
      <w:r>
        <w:rPr>
          <w:rFonts w:cs="Arial"/>
        </w:rPr>
        <w:t>).</w:t>
      </w:r>
    </w:p>
    <w:p w:rsidRPr="00F10071" w:rsidR="00D96326" w:rsidP="004A5539" w:rsidRDefault="00D96326" w14:paraId="64D25537" w14:textId="42341E40">
      <w:pPr>
        <w:pStyle w:val="Heading3"/>
        <w:keepNext w:val="0"/>
        <w:widowControl w:val="0"/>
        <w:spacing w:after="120"/>
        <w:rPr>
          <w:rFonts w:cs="Arial"/>
        </w:rPr>
      </w:pPr>
      <w:r>
        <w:rPr>
          <w:rFonts w:cs="Arial"/>
          <w:b/>
          <w:u w:val="single"/>
        </w:rPr>
        <w:t>Required Commercial Operation Date (RCOD)</w:t>
      </w:r>
      <w:r>
        <w:rPr>
          <w:rFonts w:cs="Arial"/>
          <w:b/>
        </w:rPr>
        <w:t>:</w:t>
      </w:r>
      <w:r>
        <w:rPr>
          <w:rFonts w:cs="Arial"/>
        </w:rPr>
        <w:t xml:space="preserve"> The date by which the Facility must obtain Commercial Operation, as </w:t>
      </w:r>
      <w:r w:rsidR="009A19A8">
        <w:rPr>
          <w:rFonts w:cs="Arial"/>
        </w:rPr>
        <w:t>stated in Table A-2 (</w:t>
      </w:r>
      <w:r w:rsidRPr="009A19A8" w:rsidR="009A19A8">
        <w:rPr>
          <w:rFonts w:cs="Arial"/>
          <w:i/>
          <w:iCs w:val="0"/>
        </w:rPr>
        <w:t>Term</w:t>
      </w:r>
      <w:r w:rsidR="009A19A8">
        <w:rPr>
          <w:rFonts w:cs="Arial"/>
          <w:i/>
          <w:iCs w:val="0"/>
        </w:rPr>
        <w:t>,</w:t>
      </w:r>
      <w:r w:rsidRPr="009A19A8" w:rsidR="009A19A8">
        <w:rPr>
          <w:rFonts w:cs="Arial"/>
          <w:i/>
          <w:iCs w:val="0"/>
        </w:rPr>
        <w:t xml:space="preserve"> RCOD</w:t>
      </w:r>
      <w:r w:rsidRPr="009A19A8" w:rsidR="009A19A8">
        <w:rPr>
          <w:i/>
          <w:iCs w:val="0"/>
        </w:rPr>
        <w:t>, and Earliest Delivery Commencement Date</w:t>
      </w:r>
      <w:r w:rsidR="009A19A8">
        <w:rPr>
          <w:rFonts w:cs="Arial"/>
        </w:rPr>
        <w:t>) of</w:t>
      </w:r>
      <w:r>
        <w:rPr>
          <w:rFonts w:cs="Arial"/>
        </w:rPr>
        <w:t xml:space="preserve"> Exhibit A (</w:t>
      </w:r>
      <w:r>
        <w:rPr>
          <w:rFonts w:cs="Arial"/>
          <w:i/>
        </w:rPr>
        <w:t>Facility Description and Additional Details</w:t>
      </w:r>
      <w:r>
        <w:rPr>
          <w:rFonts w:cs="Arial"/>
        </w:rPr>
        <w:t xml:space="preserve">), subject to any extension of </w:t>
      </w:r>
      <w:r w:rsidR="008B0517">
        <w:rPr>
          <w:rFonts w:cs="Arial"/>
        </w:rPr>
        <w:t>this</w:t>
      </w:r>
      <w:r>
        <w:rPr>
          <w:rFonts w:cs="Arial"/>
        </w:rPr>
        <w:t xml:space="preserve"> date in accordance with Section 7.4.6 (</w:t>
      </w:r>
      <w:r>
        <w:rPr>
          <w:rFonts w:cs="Arial"/>
          <w:i/>
        </w:rPr>
        <w:t>Commercial Operation Delay Caused by Southern Company Transmission System Capability or Natural Gas Supply Transportation Capability</w:t>
      </w:r>
      <w:r>
        <w:rPr>
          <w:rFonts w:cs="Arial"/>
        </w:rPr>
        <w:t>) or Section 15.3.2 (</w:t>
      </w:r>
      <w:r>
        <w:rPr>
          <w:rFonts w:cs="Arial"/>
          <w:i/>
        </w:rPr>
        <w:t>Extension of RCOD</w:t>
      </w:r>
      <w:r>
        <w:rPr>
          <w:rFonts w:cs="Arial"/>
        </w:rPr>
        <w:t>).</w:t>
      </w:r>
    </w:p>
    <w:p w:rsidR="6C920F14" w:rsidP="54C72364" w:rsidRDefault="6C920F14" w14:paraId="0D642214" w14:textId="771C0468">
      <w:pPr>
        <w:pStyle w:val="Heading3"/>
        <w:keepNext w:val="0"/>
        <w:widowControl w:val="0"/>
        <w:spacing w:after="120"/>
        <w:rPr>
          <w:rFonts w:cs="Arial"/>
        </w:rPr>
      </w:pPr>
      <w:r>
        <w:rPr>
          <w:rFonts w:cs="Arial"/>
          <w:b/>
          <w:bCs/>
          <w:u w:val="single"/>
        </w:rPr>
        <w:t>Rules</w:t>
      </w:r>
      <w:r>
        <w:rPr>
          <w:rFonts w:cs="Arial"/>
          <w:b/>
          <w:bCs/>
        </w:rPr>
        <w:t xml:space="preserve">: </w:t>
      </w:r>
      <w:r>
        <w:rPr>
          <w:rFonts w:cs="Arial"/>
        </w:rPr>
        <w:t>Defined in Section 19.3.1 (</w:t>
      </w:r>
      <w:r>
        <w:rPr>
          <w:rFonts w:cs="Arial"/>
          <w:i/>
        </w:rPr>
        <w:t>JAMS</w:t>
      </w:r>
      <w:r>
        <w:rPr>
          <w:rFonts w:cs="Arial"/>
        </w:rPr>
        <w:t>).</w:t>
      </w:r>
    </w:p>
    <w:p w:rsidR="00D96326" w:rsidP="004A5539" w:rsidRDefault="00D96326" w14:paraId="741C1CA2" w14:textId="72B1BECC">
      <w:pPr>
        <w:pStyle w:val="Heading3"/>
        <w:keepNext w:val="0"/>
        <w:widowControl w:val="0"/>
        <w:spacing w:after="120"/>
        <w:rPr>
          <w:rFonts w:cs="Arial"/>
        </w:rPr>
      </w:pPr>
      <w:r>
        <w:rPr>
          <w:rFonts w:cs="Arial"/>
          <w:b/>
          <w:u w:val="single"/>
        </w:rPr>
        <w:t>S&amp;P</w:t>
      </w:r>
      <w:r>
        <w:rPr>
          <w:rFonts w:cs="Arial"/>
          <w:b/>
        </w:rPr>
        <w:t>:</w:t>
      </w:r>
      <w:r>
        <w:rPr>
          <w:rFonts w:cs="Arial"/>
        </w:rPr>
        <w:t xml:space="preserve"> S&amp;P Global Ratings, a division of S&amp;P Global Inc., or its successor. If S&amp;P ceases to exist or publish ratings, S&amp;P will mean a nationally recognized rating agency mutually agreed upon by the Parties.</w:t>
      </w:r>
    </w:p>
    <w:p w:rsidRPr="008D6665" w:rsidR="00D96326" w:rsidP="004A5539" w:rsidRDefault="00D96326" w14:paraId="75836424" w14:textId="77777777">
      <w:pPr>
        <w:pStyle w:val="Heading3"/>
        <w:keepNext w:val="0"/>
        <w:widowControl w:val="0"/>
        <w:spacing w:after="120"/>
        <w:rPr>
          <w:rFonts w:cs="Arial"/>
        </w:rPr>
      </w:pPr>
      <w:r>
        <w:rPr>
          <w:rFonts w:cs="Arial"/>
          <w:b/>
          <w:bCs/>
          <w:u w:val="single"/>
        </w:rPr>
        <w:t>SBAA</w:t>
      </w:r>
      <w:r>
        <w:rPr>
          <w:rFonts w:cs="Arial"/>
          <w:b/>
          <w:bCs/>
        </w:rPr>
        <w:t>:</w:t>
      </w:r>
      <w:r>
        <w:rPr>
          <w:rFonts w:cs="Arial"/>
        </w:rPr>
        <w:t xml:space="preserve"> See </w:t>
      </w:r>
      <w:r>
        <w:rPr>
          <w:rFonts w:cs="Arial"/>
          <w:i/>
          <w:iCs w:val="0"/>
        </w:rPr>
        <w:t>Southern Balancing Authority Area</w:t>
      </w:r>
      <w:r>
        <w:rPr>
          <w:rFonts w:cs="Arial"/>
        </w:rPr>
        <w:t xml:space="preserve">. </w:t>
      </w:r>
    </w:p>
    <w:p w:rsidRPr="00F10071" w:rsidR="00D96326" w:rsidP="004A5539" w:rsidRDefault="00D96326" w14:paraId="4CA5AB7E" w14:textId="7064CFB9">
      <w:pPr>
        <w:pStyle w:val="Heading3"/>
        <w:keepNext w:val="0"/>
        <w:widowControl w:val="0"/>
        <w:spacing w:after="120"/>
        <w:rPr>
          <w:rFonts w:cs="Arial"/>
        </w:rPr>
      </w:pPr>
      <w:r>
        <w:rPr>
          <w:rFonts w:cs="Arial"/>
          <w:b/>
          <w:u w:val="single"/>
        </w:rPr>
        <w:t>Schedule</w:t>
      </w:r>
      <w:r>
        <w:rPr>
          <w:rFonts w:cs="Arial"/>
          <w:b/>
        </w:rPr>
        <w:t xml:space="preserve"> or </w:t>
      </w:r>
      <w:r>
        <w:rPr>
          <w:rFonts w:cs="Arial"/>
          <w:b/>
          <w:u w:val="single"/>
        </w:rPr>
        <w:t>Scheduling</w:t>
      </w:r>
      <w:r>
        <w:rPr>
          <w:rFonts w:cs="Arial"/>
          <w:b/>
        </w:rPr>
        <w:t xml:space="preserve"> or </w:t>
      </w:r>
      <w:r>
        <w:rPr>
          <w:rFonts w:cs="Arial"/>
          <w:b/>
          <w:u w:val="single"/>
        </w:rPr>
        <w:t>Scheduling Instructions</w:t>
      </w:r>
      <w:r>
        <w:rPr>
          <w:rFonts w:cs="Arial"/>
          <w:b/>
        </w:rPr>
        <w:t>:</w:t>
      </w:r>
      <w:r>
        <w:rPr>
          <w:rFonts w:cs="Arial"/>
        </w:rPr>
        <w:t xml:space="preserve"> Instructions issued by GPC from the Scheduling Center to Seller regarding the scheduling of the production of electricity by the </w:t>
      </w:r>
      <w:r w:rsidR="0005035B">
        <w:rPr>
          <w:rFonts w:cs="Arial"/>
        </w:rPr>
        <w:t>Facility</w:t>
      </w:r>
      <w:r>
        <w:rPr>
          <w:rFonts w:cs="Arial"/>
        </w:rPr>
        <w:t>, or the delivery of energy from an Alternate Resource if applicable under Section 4.1.4 (</w:t>
      </w:r>
      <w:r>
        <w:rPr>
          <w:rFonts w:cs="Arial"/>
          <w:i/>
        </w:rPr>
        <w:t>Unavailability</w:t>
      </w:r>
      <w:r>
        <w:rPr>
          <w:rFonts w:cs="Arial"/>
        </w:rPr>
        <w:t>), in accordance with Part 2 (</w:t>
      </w:r>
      <w:r>
        <w:rPr>
          <w:rFonts w:cs="Arial"/>
          <w:i/>
        </w:rPr>
        <w:t>Scheduling Procedures</w:t>
      </w:r>
      <w:r>
        <w:rPr>
          <w:rFonts w:cs="Arial"/>
        </w:rPr>
        <w:t>) of Exhibit D (</w:t>
      </w:r>
      <w:r>
        <w:rPr>
          <w:rFonts w:cs="Arial"/>
          <w:i/>
        </w:rPr>
        <w:t>Technical Limits and Schedule Procedures</w:t>
      </w:r>
      <w:r>
        <w:rPr>
          <w:rFonts w:cs="Arial"/>
        </w:rPr>
        <w:t xml:space="preserve">), </w:t>
      </w:r>
      <w:r>
        <w:t>including signals provided through AGC and including all instructions</w:t>
      </w:r>
      <w:r>
        <w:rPr>
          <w:rFonts w:cs="Arial"/>
        </w:rPr>
        <w:t>.</w:t>
      </w:r>
    </w:p>
    <w:p w:rsidRPr="00992EEF" w:rsidR="00D96326" w:rsidP="004A5539" w:rsidRDefault="00D96326" w14:paraId="0AB0E8B4" w14:textId="2057757A">
      <w:pPr>
        <w:pStyle w:val="Heading3"/>
        <w:keepNext w:val="0"/>
        <w:widowControl w:val="0"/>
        <w:spacing w:after="120"/>
        <w:rPr>
          <w:rFonts w:cs="Arial"/>
          <w:bCs/>
        </w:rPr>
      </w:pPr>
      <w:r>
        <w:rPr>
          <w:rFonts w:cs="Arial"/>
          <w:b/>
          <w:u w:val="single"/>
        </w:rPr>
        <w:t>Scheduled Energy</w:t>
      </w:r>
      <w:r>
        <w:rPr>
          <w:rFonts w:cs="Arial"/>
          <w:b/>
        </w:rPr>
        <w:t xml:space="preserve">: </w:t>
      </w:r>
      <w:r>
        <w:rPr>
          <w:rFonts w:cs="Arial"/>
          <w:bCs/>
        </w:rPr>
        <w:t xml:space="preserve">Either: </w:t>
      </w:r>
      <w:r>
        <w:rPr>
          <w:rFonts w:cs="Arial"/>
        </w:rPr>
        <w:t>(</w:t>
      </w:r>
      <w:proofErr w:type="spellStart"/>
      <w:r>
        <w:rPr>
          <w:rFonts w:cs="Arial"/>
        </w:rPr>
        <w:t>i</w:t>
      </w:r>
      <w:proofErr w:type="spellEnd"/>
      <w:r>
        <w:rPr>
          <w:rFonts w:cs="Arial"/>
        </w:rPr>
        <w:t xml:space="preserve">) the amount of energy Seller delivers from the </w:t>
      </w:r>
      <w:r w:rsidR="0005035B">
        <w:rPr>
          <w:rFonts w:cs="Arial"/>
        </w:rPr>
        <w:t xml:space="preserve">Facility </w:t>
      </w:r>
      <w:r>
        <w:rPr>
          <w:rFonts w:cs="Arial"/>
        </w:rPr>
        <w:t xml:space="preserve">each Hour from operation on Natural Gas or Fuel Oil (in accordance with GPC’s Schedules) including energy produced during Facility ramping; or (ii) energy delivered from an Alternate Resource when the </w:t>
      </w:r>
      <w:r w:rsidR="00A27B04">
        <w:rPr>
          <w:rFonts w:cs="Arial"/>
        </w:rPr>
        <w:t>Facility</w:t>
      </w:r>
      <w:r>
        <w:rPr>
          <w:rFonts w:cs="Arial"/>
        </w:rPr>
        <w:t xml:space="preserve"> would have been dispatched on Natural Gas or Fuel Oil in a Month.</w:t>
      </w:r>
    </w:p>
    <w:p w:rsidRPr="00F10071" w:rsidR="00D96326" w:rsidP="004A5539" w:rsidRDefault="00D96326" w14:paraId="3FDBF265" w14:textId="37FB7D3C">
      <w:pPr>
        <w:pStyle w:val="Heading3"/>
        <w:keepNext w:val="0"/>
        <w:widowControl w:val="0"/>
        <w:spacing w:after="120"/>
        <w:rPr>
          <w:rFonts w:cs="Arial"/>
        </w:rPr>
      </w:pPr>
      <w:r>
        <w:rPr>
          <w:rFonts w:cs="Arial"/>
          <w:b/>
          <w:u w:val="single"/>
        </w:rPr>
        <w:lastRenderedPageBreak/>
        <w:t>Scheduled Outage</w:t>
      </w:r>
      <w:r>
        <w:rPr>
          <w:rFonts w:cs="Arial"/>
          <w:b/>
        </w:rPr>
        <w:t>:</w:t>
      </w:r>
      <w:r>
        <w:rPr>
          <w:rFonts w:cs="Arial"/>
        </w:rPr>
        <w:t xml:space="preserve"> An</w:t>
      </w:r>
      <w:r w:rsidR="000B2175">
        <w:rPr>
          <w:rFonts w:cs="Arial"/>
        </w:rPr>
        <w:t>y Facility</w:t>
      </w:r>
      <w:r>
        <w:rPr>
          <w:rFonts w:cs="Arial"/>
        </w:rPr>
        <w:t xml:space="preserve"> outage (whole or partial) scheduled in the final, approved Maintenance Schedule.</w:t>
      </w:r>
    </w:p>
    <w:p w:rsidRPr="00F10071" w:rsidR="00D96326" w:rsidP="004A5539" w:rsidRDefault="00D96326" w14:paraId="73EEDE96" w14:textId="019E0CD9">
      <w:pPr>
        <w:pStyle w:val="Heading3"/>
        <w:keepNext w:val="0"/>
        <w:widowControl w:val="0"/>
        <w:spacing w:after="120"/>
        <w:rPr>
          <w:rFonts w:cs="Arial"/>
        </w:rPr>
      </w:pPr>
      <w:r>
        <w:rPr>
          <w:rFonts w:cs="Arial"/>
          <w:b/>
          <w:u w:val="single"/>
        </w:rPr>
        <w:t>Scheduling Center</w:t>
      </w:r>
      <w:r>
        <w:rPr>
          <w:rFonts w:cs="Arial"/>
          <w:b/>
        </w:rPr>
        <w:t>:</w:t>
      </w:r>
      <w:r>
        <w:rPr>
          <w:rFonts w:cs="Arial"/>
        </w:rPr>
        <w:t xml:space="preserve"> The scheduling center designated by GPC in writing as being the primary control point for Scheduling Instructions and other notifications provided in accordance with Part 12 (</w:t>
      </w:r>
      <w:r>
        <w:rPr>
          <w:rFonts w:cs="Arial"/>
          <w:i/>
        </w:rPr>
        <w:t>Energy Scheduling and Transmission</w:t>
      </w:r>
      <w:r>
        <w:rPr>
          <w:rFonts w:cs="Arial"/>
        </w:rPr>
        <w:t>) and Exhibit D (</w:t>
      </w:r>
      <w:r>
        <w:rPr>
          <w:rFonts w:cs="Arial"/>
          <w:i/>
        </w:rPr>
        <w:t>Technical Limits and Schedule Procedures</w:t>
      </w:r>
      <w:r>
        <w:rPr>
          <w:rFonts w:cs="Arial"/>
        </w:rPr>
        <w:t>), Part 2 (</w:t>
      </w:r>
      <w:r>
        <w:rPr>
          <w:rFonts w:cs="Arial"/>
          <w:i/>
        </w:rPr>
        <w:t>Schedule Procedures</w:t>
      </w:r>
      <w:r>
        <w:rPr>
          <w:rFonts w:cs="Arial"/>
        </w:rPr>
        <w:t>), as may be modified during the Term. There may only be one Scheduling Center designated at any one time.</w:t>
      </w:r>
    </w:p>
    <w:p w:rsidRPr="00F10071" w:rsidR="00D96326" w:rsidP="004A5539" w:rsidRDefault="00712D25" w14:paraId="2DDE0ECA" w14:textId="04DDFE5B">
      <w:pPr>
        <w:pStyle w:val="Heading3"/>
        <w:keepNext w:val="0"/>
        <w:widowControl w:val="0"/>
        <w:spacing w:after="120"/>
        <w:rPr>
          <w:rFonts w:cs="Arial"/>
        </w:rPr>
      </w:pPr>
      <w:r>
        <w:rPr>
          <w:rStyle w:val="normaltextrun"/>
          <w:b/>
          <w:bCs/>
          <w:u w:val="single"/>
        </w:rPr>
        <w:t>SCS</w:t>
      </w:r>
      <w:r>
        <w:rPr>
          <w:rStyle w:val="normaltextrun"/>
          <w:rFonts w:cs="Arial"/>
          <w:b/>
          <w:bCs/>
          <w:shd w:val="clear" w:color="auto" w:fill="FFFFFF"/>
        </w:rPr>
        <w:t>:</w:t>
      </w:r>
      <w:r>
        <w:rPr>
          <w:rStyle w:val="normaltextrun"/>
          <w:rFonts w:cs="Arial"/>
          <w:shd w:val="clear" w:color="auto" w:fill="FFFFFF"/>
        </w:rPr>
        <w:t xml:space="preserve"> </w:t>
      </w:r>
      <w:r>
        <w:t xml:space="preserve">See </w:t>
      </w:r>
      <w:r>
        <w:rPr>
          <w:i/>
        </w:rPr>
        <w:t>Southern Company Services</w:t>
      </w:r>
      <w:r>
        <w:rPr>
          <w:rStyle w:val="normaltextrun"/>
          <w:rFonts w:cs="Arial"/>
          <w:shd w:val="clear" w:color="auto" w:fill="FFFFFF"/>
        </w:rPr>
        <w:t>.</w:t>
      </w:r>
      <w:r>
        <w:rPr>
          <w:rStyle w:val="eop"/>
          <w:rFonts w:cs="Arial"/>
          <w:shd w:val="clear" w:color="auto" w:fill="FFFFFF"/>
        </w:rPr>
        <w:t> </w:t>
      </w:r>
    </w:p>
    <w:p w:rsidRPr="00F10071" w:rsidR="00D96326" w:rsidP="004A5539" w:rsidRDefault="00D96326" w14:paraId="3AEA1D3F" w14:textId="54F8D363">
      <w:pPr>
        <w:pStyle w:val="Heading3"/>
        <w:keepNext w:val="0"/>
        <w:widowControl w:val="0"/>
        <w:spacing w:after="120"/>
        <w:rPr>
          <w:rFonts w:cs="Arial"/>
        </w:rPr>
      </w:pPr>
      <w:r>
        <w:rPr>
          <w:rFonts w:cs="Arial"/>
          <w:b/>
          <w:u w:val="single"/>
        </w:rPr>
        <w:t>Seasonal Performance Period</w:t>
      </w:r>
      <w:r>
        <w:rPr>
          <w:rFonts w:cs="Arial"/>
          <w:b/>
        </w:rPr>
        <w:t>:</w:t>
      </w:r>
      <w:r>
        <w:rPr>
          <w:rFonts w:cs="Arial"/>
        </w:rPr>
        <w:t xml:space="preserve"> One of the following periods during each Annual Period</w:t>
      </w:r>
      <w:r w:rsidR="005573D4">
        <w:rPr>
          <w:rFonts w:cs="Arial"/>
        </w:rPr>
        <w:t xml:space="preserve"> (or, if applicable, </w:t>
      </w:r>
      <w:r w:rsidR="00D81D29">
        <w:rPr>
          <w:rFonts w:cs="Arial"/>
        </w:rPr>
        <w:t xml:space="preserve">the portion of </w:t>
      </w:r>
      <w:r w:rsidR="00BC3123">
        <w:rPr>
          <w:rFonts w:cs="Arial"/>
        </w:rPr>
        <w:t>the</w:t>
      </w:r>
      <w:r w:rsidR="00D81D29">
        <w:rPr>
          <w:rFonts w:cs="Arial"/>
        </w:rPr>
        <w:t xml:space="preserve"> period included in </w:t>
      </w:r>
      <w:r w:rsidR="00BC3123">
        <w:rPr>
          <w:rFonts w:cs="Arial"/>
        </w:rPr>
        <w:t>the applicable</w:t>
      </w:r>
      <w:r w:rsidR="00D81D29">
        <w:rPr>
          <w:rFonts w:cs="Arial"/>
        </w:rPr>
        <w:t xml:space="preserve"> Annual Period)</w:t>
      </w:r>
      <w:r>
        <w:rPr>
          <w:rFonts w:cs="Arial"/>
        </w:rPr>
        <w:t>: (</w:t>
      </w:r>
      <w:proofErr w:type="spellStart"/>
      <w:r>
        <w:rPr>
          <w:rFonts w:cs="Arial"/>
        </w:rPr>
        <w:t>i</w:t>
      </w:r>
      <w:proofErr w:type="spellEnd"/>
      <w:r>
        <w:rPr>
          <w:rFonts w:cs="Arial"/>
        </w:rPr>
        <w:t>) June through September (“</w:t>
      </w:r>
      <w:r>
        <w:rPr>
          <w:rFonts w:cs="Arial"/>
          <w:b/>
          <w:bCs/>
        </w:rPr>
        <w:t>Summer Seasonal Performance Period</w:t>
      </w:r>
      <w:r>
        <w:rPr>
          <w:rFonts w:cs="Arial"/>
        </w:rPr>
        <w:t>”); (ii) October and November (“</w:t>
      </w:r>
      <w:r>
        <w:rPr>
          <w:rFonts w:cs="Arial"/>
          <w:b/>
          <w:bCs/>
        </w:rPr>
        <w:t>Fall</w:t>
      </w:r>
      <w:r>
        <w:rPr>
          <w:rFonts w:cs="Arial"/>
        </w:rPr>
        <w:t>”); (iii) December through February (“</w:t>
      </w:r>
      <w:r>
        <w:rPr>
          <w:rFonts w:cs="Arial"/>
          <w:b/>
          <w:bCs/>
        </w:rPr>
        <w:t>Winter Seasonal Performance Period</w:t>
      </w:r>
      <w:r>
        <w:rPr>
          <w:rFonts w:cs="Arial"/>
        </w:rPr>
        <w:t>”); or (iv) March through May (“</w:t>
      </w:r>
      <w:r>
        <w:rPr>
          <w:rFonts w:cs="Arial"/>
          <w:b/>
          <w:bCs/>
        </w:rPr>
        <w:t>Spring</w:t>
      </w:r>
      <w:r>
        <w:rPr>
          <w:rFonts w:cs="Arial"/>
        </w:rPr>
        <w:t>”).</w:t>
      </w:r>
    </w:p>
    <w:p w:rsidRPr="003A5D86" w:rsidR="00D96326" w:rsidP="004A5539" w:rsidRDefault="00D96326" w14:paraId="4270C6C3" w14:textId="77777777">
      <w:pPr>
        <w:pStyle w:val="Heading3"/>
        <w:keepNext w:val="0"/>
        <w:widowControl w:val="0"/>
        <w:spacing w:after="120"/>
        <w:rPr>
          <w:rFonts w:cs="Arial"/>
        </w:rPr>
      </w:pPr>
      <w:r>
        <w:rPr>
          <w:rFonts w:cs="Arial"/>
          <w:b/>
          <w:u w:val="single"/>
        </w:rPr>
        <w:t>Seller</w:t>
      </w:r>
      <w:r>
        <w:rPr>
          <w:rFonts w:cs="Arial"/>
          <w:b/>
          <w:bCs/>
        </w:rPr>
        <w:t>:</w:t>
      </w:r>
      <w:r>
        <w:rPr>
          <w:rFonts w:cs="Arial"/>
        </w:rPr>
        <w:t xml:space="preserve"> The counterparty to GPC in this PPA, as specified in the preamble.  </w:t>
      </w:r>
    </w:p>
    <w:p w:rsidRPr="003A5D86" w:rsidR="00B35196" w:rsidP="004A5539" w:rsidRDefault="00B35196" w14:paraId="1E7292F8" w14:textId="77777777">
      <w:pPr>
        <w:pStyle w:val="Heading3"/>
        <w:spacing w:after="120"/>
        <w:rPr>
          <w:b/>
          <w:u w:val="single"/>
        </w:rPr>
      </w:pPr>
      <w:r>
        <w:rPr>
          <w:b/>
          <w:bCs/>
          <w:u w:val="single"/>
        </w:rPr>
        <w:t>Seller Entity</w:t>
      </w:r>
      <w:r>
        <w:rPr>
          <w:b/>
        </w:rPr>
        <w:t>:</w:t>
      </w:r>
      <w:r>
        <w:t xml:space="preserve"> Each of Seller or any Affiliate, contractor, supplier, contractual party, or customer, or an officer, director, employee, representative, or agent of one of them.</w:t>
      </w:r>
    </w:p>
    <w:p w:rsidRPr="003A5D86" w:rsidR="00D96326" w:rsidP="004A5539" w:rsidRDefault="006662C0" w14:paraId="7B860E9D" w14:textId="3455F080">
      <w:pPr>
        <w:pStyle w:val="Heading3"/>
        <w:keepNext w:val="0"/>
        <w:widowControl w:val="0"/>
        <w:spacing w:after="120"/>
        <w:rPr>
          <w:rFonts w:cs="Arial"/>
          <w:b/>
        </w:rPr>
      </w:pPr>
      <w:r>
        <w:rPr>
          <w:rFonts w:cs="Arial"/>
          <w:b/>
          <w:u w:val="single"/>
        </w:rPr>
        <w:t>Seller Guarantor</w:t>
      </w:r>
      <w:r>
        <w:rPr>
          <w:rFonts w:cs="Arial"/>
          <w:b/>
        </w:rPr>
        <w:t>:</w:t>
      </w:r>
      <w:r>
        <w:rPr>
          <w:rFonts w:cs="Arial"/>
        </w:rPr>
        <w:t xml:space="preserve"> A Person </w:t>
      </w:r>
      <w:r w:rsidR="0022668D">
        <w:rPr>
          <w:rFonts w:cs="Arial"/>
        </w:rPr>
        <w:t>who</w:t>
      </w:r>
      <w:r>
        <w:rPr>
          <w:rFonts w:cs="Arial"/>
        </w:rPr>
        <w:t xml:space="preserve">, at the time of execution and delivery of its </w:t>
      </w:r>
      <w:r w:rsidR="0022668D">
        <w:rPr>
          <w:rFonts w:cs="Arial"/>
        </w:rPr>
        <w:t xml:space="preserve">Seller </w:t>
      </w:r>
      <w:r>
        <w:rPr>
          <w:rFonts w:cs="Arial"/>
        </w:rPr>
        <w:t xml:space="preserve">Guaranty: </w:t>
      </w:r>
      <w:r>
        <w:t>(</w:t>
      </w:r>
      <w:proofErr w:type="spellStart"/>
      <w:r>
        <w:t>i</w:t>
      </w:r>
      <w:proofErr w:type="spellEnd"/>
      <w:r>
        <w:t>) is either: (a) an Affiliate of Seller; or (b) otherwise an entity acceptable to GPC; and (ii) is Creditworthy</w:t>
      </w:r>
      <w:r>
        <w:rPr>
          <w:rFonts w:cs="Arial"/>
        </w:rPr>
        <w:t>.</w:t>
      </w:r>
    </w:p>
    <w:p w:rsidR="00D96326" w:rsidP="004A5539" w:rsidRDefault="00D96326" w14:paraId="60EB8CD4" w14:textId="3689BA27">
      <w:pPr>
        <w:pStyle w:val="Heading3"/>
        <w:keepNext w:val="0"/>
        <w:widowControl w:val="0"/>
        <w:spacing w:after="120"/>
        <w:rPr>
          <w:rFonts w:cs="Arial"/>
        </w:rPr>
      </w:pPr>
      <w:r>
        <w:rPr>
          <w:rFonts w:cs="Arial"/>
          <w:b/>
          <w:u w:val="single"/>
        </w:rPr>
        <w:t>Seller Guaranty</w:t>
      </w:r>
      <w:r>
        <w:rPr>
          <w:rFonts w:cs="Arial"/>
          <w:b/>
        </w:rPr>
        <w:t>:</w:t>
      </w:r>
      <w:r>
        <w:rPr>
          <w:rFonts w:cs="Arial"/>
        </w:rPr>
        <w:t xml:space="preserve"> A guaranty provided by the Seller Guarantor that is substantially in the form of the guaranty attached as </w:t>
      </w:r>
      <w:r>
        <w:rPr>
          <w:rFonts w:cs="Arial"/>
          <w:bCs/>
        </w:rPr>
        <w:t>Exhibit G (</w:t>
      </w:r>
      <w:r>
        <w:rPr>
          <w:rFonts w:cs="Arial"/>
          <w:bCs/>
          <w:i/>
          <w:iCs w:val="0"/>
        </w:rPr>
        <w:t>Form of Guaranty</w:t>
      </w:r>
      <w:r>
        <w:rPr>
          <w:rFonts w:cs="Arial"/>
          <w:bCs/>
        </w:rPr>
        <w:t>)</w:t>
      </w:r>
      <w:r>
        <w:rPr>
          <w:rFonts w:cs="Arial"/>
        </w:rPr>
        <w:t>.</w:t>
      </w:r>
    </w:p>
    <w:p w:rsidR="0044194F" w:rsidP="0044194F" w:rsidRDefault="0044194F" w14:paraId="2AF00360" w14:textId="77777777">
      <w:pPr>
        <w:pStyle w:val="Heading3"/>
        <w:keepNext w:val="0"/>
        <w:widowControl w:val="0"/>
        <w:spacing w:after="120"/>
        <w:rPr>
          <w:rFonts w:cs="Arial"/>
          <w:bCs/>
          <w:kern w:val="2"/>
          <w14:ligatures w14:val="standardContextual"/>
        </w:rPr>
      </w:pPr>
      <w:r>
        <w:rPr>
          <w:rFonts w:cs="Arial"/>
          <w:b/>
          <w:kern w:val="2"/>
          <w:u w:val="single"/>
          <w14:ligatures w14:val="standardContextual"/>
        </w:rPr>
        <w:t>Seller Response Deadline</w:t>
      </w:r>
      <w:r>
        <w:rPr>
          <w:rFonts w:cs="Arial"/>
          <w:b/>
          <w:kern w:val="2"/>
          <w14:ligatures w14:val="standardContextual"/>
        </w:rPr>
        <w:t xml:space="preserve">: </w:t>
      </w:r>
      <w:r>
        <w:rPr>
          <w:rFonts w:cs="Arial"/>
          <w:bCs/>
          <w:kern w:val="2"/>
          <w14:ligatures w14:val="standardContextual"/>
        </w:rPr>
        <w:t>Defined in Section 17.2.4 (</w:t>
      </w:r>
      <w:r>
        <w:rPr>
          <w:rFonts w:cs="Arial"/>
          <w:bCs/>
          <w:i/>
          <w:iCs w:val="0"/>
          <w:kern w:val="2"/>
          <w14:ligatures w14:val="standardContextual"/>
        </w:rPr>
        <w:t>Seller Response Notice; GPC Response</w:t>
      </w:r>
      <w:r>
        <w:rPr>
          <w:rFonts w:cs="Arial"/>
          <w:bCs/>
          <w:kern w:val="2"/>
          <w14:ligatures w14:val="standardContextual"/>
        </w:rPr>
        <w:t>).</w:t>
      </w:r>
    </w:p>
    <w:p w:rsidRPr="003A5D86" w:rsidR="00423162" w:rsidP="0044194F" w:rsidRDefault="0044194F" w14:paraId="08E16329" w14:textId="54BE4DB8">
      <w:pPr>
        <w:pStyle w:val="Heading3"/>
        <w:keepNext w:val="0"/>
        <w:widowControl w:val="0"/>
        <w:spacing w:after="120"/>
        <w:rPr>
          <w:rFonts w:cs="Arial"/>
        </w:rPr>
      </w:pPr>
      <w:r>
        <w:rPr>
          <w:rFonts w:cs="Arial"/>
          <w:b/>
          <w:kern w:val="2"/>
          <w:u w:val="single"/>
          <w14:ligatures w14:val="standardContextual"/>
        </w:rPr>
        <w:t>Seller Response Notice:</w:t>
      </w:r>
      <w:r>
        <w:rPr>
          <w:rFonts w:cs="Arial"/>
          <w:bCs/>
          <w:kern w:val="2"/>
          <w14:ligatures w14:val="standardContextual"/>
        </w:rPr>
        <w:t xml:space="preserve"> Defined in Section 17.2.4 (</w:t>
      </w:r>
      <w:r>
        <w:rPr>
          <w:rFonts w:cs="Arial"/>
          <w:bCs/>
          <w:i/>
          <w:iCs w:val="0"/>
          <w:kern w:val="2"/>
          <w14:ligatures w14:val="standardContextual"/>
        </w:rPr>
        <w:t>Seller Response Notice; GPC Response</w:t>
      </w:r>
      <w:r>
        <w:rPr>
          <w:rFonts w:cs="Arial"/>
          <w:bCs/>
          <w:kern w:val="2"/>
          <w14:ligatures w14:val="standardContextual"/>
        </w:rPr>
        <w:t>).</w:t>
      </w:r>
    </w:p>
    <w:p w:rsidRPr="003A5D86" w:rsidR="00D96326" w:rsidP="004A5539" w:rsidRDefault="00D96326" w14:paraId="47867B27" w14:textId="77777777">
      <w:pPr>
        <w:pStyle w:val="Heading3"/>
        <w:keepNext w:val="0"/>
        <w:widowControl w:val="0"/>
        <w:spacing w:after="120"/>
        <w:rPr>
          <w:rFonts w:cs="Arial"/>
        </w:rPr>
      </w:pPr>
      <w:r>
        <w:rPr>
          <w:rFonts w:cs="Arial"/>
          <w:b/>
          <w:u w:val="single"/>
        </w:rPr>
        <w:t>SERC</w:t>
      </w:r>
      <w:r>
        <w:rPr>
          <w:rFonts w:cs="Arial"/>
          <w:b/>
        </w:rPr>
        <w:t>:</w:t>
      </w:r>
      <w:r>
        <w:rPr>
          <w:rFonts w:cs="Arial"/>
        </w:rPr>
        <w:t xml:space="preserve"> The Southeastern Electric Reliability Corporation, including any successor.</w:t>
      </w:r>
    </w:p>
    <w:p w:rsidRPr="003A5D86" w:rsidR="00D96326" w:rsidP="004A5539" w:rsidRDefault="00D96326" w14:paraId="0D2F74B7" w14:textId="7B1550C9">
      <w:pPr>
        <w:pStyle w:val="Heading3"/>
        <w:keepNext w:val="0"/>
        <w:widowControl w:val="0"/>
        <w:spacing w:after="120"/>
        <w:rPr>
          <w:rFonts w:cs="Arial"/>
        </w:rPr>
      </w:pPr>
      <w:r>
        <w:rPr>
          <w:rFonts w:cs="Arial"/>
          <w:b/>
          <w:u w:val="single"/>
        </w:rPr>
        <w:t>Site</w:t>
      </w:r>
      <w:r>
        <w:rPr>
          <w:rFonts w:cs="Arial"/>
          <w:b/>
        </w:rPr>
        <w:t>:</w:t>
      </w:r>
      <w:r>
        <w:rPr>
          <w:rFonts w:cs="Arial"/>
        </w:rPr>
        <w:t xml:space="preserve"> </w:t>
      </w:r>
      <w:r>
        <w:t>The physical location (i.e., real property) where the Facility is or will be located, as described in</w:t>
      </w:r>
      <w:r>
        <w:rPr>
          <w:rFonts w:cs="Arial"/>
        </w:rPr>
        <w:t xml:space="preserve"> </w:t>
      </w:r>
      <w:r>
        <w:rPr>
          <w:rFonts w:cs="Arial"/>
          <w:bCs/>
        </w:rPr>
        <w:t>Exhibit A (</w:t>
      </w:r>
      <w:r>
        <w:rPr>
          <w:rFonts w:cs="Arial"/>
          <w:bCs/>
          <w:i/>
          <w:iCs w:val="0"/>
        </w:rPr>
        <w:t>Facility Description and Additional Details</w:t>
      </w:r>
      <w:r>
        <w:rPr>
          <w:rFonts w:cs="Arial"/>
          <w:bCs/>
        </w:rPr>
        <w:t>)</w:t>
      </w:r>
      <w:r>
        <w:rPr>
          <w:rFonts w:cs="Arial"/>
        </w:rPr>
        <w:t>.</w:t>
      </w:r>
    </w:p>
    <w:p w:rsidR="00D56ABC" w:rsidP="004A5539" w:rsidRDefault="00812FE8" w14:paraId="7BF5CDC5" w14:textId="6ADEAE52">
      <w:pPr>
        <w:pStyle w:val="Heading3"/>
        <w:keepNext w:val="0"/>
        <w:widowControl w:val="0"/>
        <w:spacing w:after="120"/>
        <w:rPr>
          <w:rFonts w:cs="Arial"/>
          <w:b/>
          <w:u w:val="single"/>
        </w:rPr>
      </w:pPr>
      <w:r>
        <w:rPr>
          <w:rFonts w:cs="Arial"/>
          <w:b/>
          <w:u w:val="single"/>
        </w:rPr>
        <w:t>SO2</w:t>
      </w:r>
      <w:r>
        <w:rPr>
          <w:rFonts w:cs="Arial"/>
          <w:b/>
        </w:rPr>
        <w:t xml:space="preserve">: </w:t>
      </w:r>
      <w:r>
        <w:rPr>
          <w:rFonts w:cs="Arial"/>
        </w:rPr>
        <w:t>Sulfur dioxide.</w:t>
      </w:r>
    </w:p>
    <w:p w:rsidRPr="001B49F3" w:rsidR="00D96326" w:rsidP="004A5539" w:rsidRDefault="00D96326" w14:paraId="709D5962" w14:textId="58C66969">
      <w:pPr>
        <w:pStyle w:val="Heading3"/>
        <w:keepNext w:val="0"/>
        <w:widowControl w:val="0"/>
        <w:spacing w:after="120"/>
        <w:rPr>
          <w:rFonts w:cs="Arial"/>
        </w:rPr>
      </w:pPr>
      <w:r>
        <w:rPr>
          <w:rFonts w:cs="Arial"/>
          <w:b/>
          <w:u w:val="single"/>
        </w:rPr>
        <w:t>SO2 Allowances</w:t>
      </w:r>
      <w:r>
        <w:rPr>
          <w:rFonts w:cs="Arial"/>
          <w:b/>
        </w:rPr>
        <w:t>:</w:t>
      </w:r>
      <w:r>
        <w:rPr>
          <w:rFonts w:cs="Arial"/>
        </w:rPr>
        <w:t xml:space="preserve"> Allowances for SO2 Emissions that are allocated or otherwise granted by any Governmental Authority or in accordance with any applicable law or Consent, including through any type of state or federal set-aside program, for the calendar years covered, in whole or in part, by the Annual Periods.</w:t>
      </w:r>
    </w:p>
    <w:p w:rsidRPr="001B49F3" w:rsidR="00D96326" w:rsidP="004A5539" w:rsidRDefault="00D96326" w14:paraId="5F7AFAB0" w14:textId="4EC6CFAA">
      <w:pPr>
        <w:pStyle w:val="Heading3"/>
        <w:keepNext w:val="0"/>
        <w:widowControl w:val="0"/>
        <w:spacing w:after="120"/>
        <w:rPr>
          <w:rFonts w:cs="Arial"/>
        </w:rPr>
      </w:pPr>
      <w:r>
        <w:rPr>
          <w:rFonts w:cs="Arial"/>
          <w:b/>
          <w:u w:val="single"/>
        </w:rPr>
        <w:t>SO2 Emissions</w:t>
      </w:r>
      <w:r>
        <w:rPr>
          <w:rFonts w:cs="Arial"/>
          <w:b/>
        </w:rPr>
        <w:t>:</w:t>
      </w:r>
      <w:r>
        <w:rPr>
          <w:rFonts w:cs="Arial"/>
        </w:rPr>
        <w:t xml:space="preserve"> Emissions of SO2.</w:t>
      </w:r>
    </w:p>
    <w:p w:rsidRPr="003A5D86" w:rsidR="00D96326" w:rsidP="004A5539" w:rsidRDefault="00D96326" w14:paraId="0BF015F8" w14:textId="77777777">
      <w:pPr>
        <w:pStyle w:val="Heading3"/>
        <w:keepNext w:val="0"/>
        <w:widowControl w:val="0"/>
        <w:spacing w:after="120"/>
        <w:rPr>
          <w:rFonts w:cs="Arial"/>
        </w:rPr>
      </w:pPr>
      <w:r>
        <w:rPr>
          <w:rFonts w:cs="Arial"/>
          <w:b/>
          <w:u w:val="single"/>
        </w:rPr>
        <w:t>Southern Balancing Authority Area (SBAA)</w:t>
      </w:r>
      <w:r>
        <w:rPr>
          <w:rFonts w:cs="Arial"/>
          <w:b/>
        </w:rPr>
        <w:t>:</w:t>
      </w:r>
      <w:r>
        <w:rPr>
          <w:rFonts w:cs="Arial"/>
        </w:rPr>
        <w:t xml:space="preserve"> The NERC- and SERC- recognized balancing authority area that includes the Southern Company Transmission System.</w:t>
      </w:r>
    </w:p>
    <w:p w:rsidRPr="003A5D86" w:rsidR="00D96326" w:rsidP="00F46C76" w:rsidRDefault="00D96326" w14:paraId="14879161" w14:textId="77777777">
      <w:pPr>
        <w:pStyle w:val="Heading3"/>
      </w:pPr>
      <w:r>
        <w:rPr>
          <w:b/>
          <w:bCs/>
          <w:u w:val="single"/>
        </w:rPr>
        <w:t>Southern Companies</w:t>
      </w:r>
      <w:r>
        <w:rPr>
          <w:b/>
          <w:bCs/>
        </w:rPr>
        <w:t>:</w:t>
      </w:r>
      <w:r>
        <w:t xml:space="preserve"> Collectively, the regulated electric operating companies of The Southern Company (i.e., Alabama Power Company, GPC, and Mississippi Power Company).</w:t>
      </w:r>
    </w:p>
    <w:p w:rsidR="00D96326" w:rsidP="004A5539" w:rsidRDefault="00D96326" w14:paraId="2FE0F840" w14:textId="77777777">
      <w:pPr>
        <w:pStyle w:val="Heading3"/>
        <w:keepNext w:val="0"/>
        <w:widowControl w:val="0"/>
        <w:spacing w:after="120"/>
        <w:rPr>
          <w:rFonts w:cs="Arial"/>
        </w:rPr>
      </w:pPr>
      <w:r>
        <w:rPr>
          <w:b/>
          <w:bCs/>
          <w:u w:val="single"/>
        </w:rPr>
        <w:t>Southern Company</w:t>
      </w:r>
      <w:r>
        <w:rPr>
          <w:b/>
          <w:bCs/>
        </w:rPr>
        <w:t>:</w:t>
      </w:r>
      <w:r>
        <w:t xml:space="preserve"> The Southern Company, a Delaware corporation, the parent of GPC.</w:t>
      </w:r>
      <w:r>
        <w:rPr>
          <w:rFonts w:cs="Arial"/>
        </w:rPr>
        <w:t xml:space="preserve">  </w:t>
      </w:r>
    </w:p>
    <w:p w:rsidRPr="00F10071" w:rsidR="00DF3D93" w:rsidP="004A5539" w:rsidRDefault="00DF3D93" w14:paraId="666B5486" w14:textId="6E39D341">
      <w:pPr>
        <w:pStyle w:val="Heading3"/>
        <w:keepNext w:val="0"/>
        <w:widowControl w:val="0"/>
        <w:spacing w:after="120"/>
        <w:rPr>
          <w:rFonts w:cs="Arial"/>
        </w:rPr>
      </w:pPr>
      <w:r>
        <w:rPr>
          <w:rFonts w:eastAsia="Times New Roman" w:cs="Arial"/>
          <w:b/>
          <w:bCs/>
          <w:color w:val="000000" w:themeColor="text1"/>
          <w:u w:val="single"/>
        </w:rPr>
        <w:t>Southern Company Services (SCS)</w:t>
      </w:r>
      <w:r>
        <w:rPr>
          <w:rFonts w:eastAsia="Times New Roman" w:cs="Arial"/>
          <w:b/>
          <w:bCs/>
          <w:color w:val="000000" w:themeColor="text1"/>
        </w:rPr>
        <w:t>:</w:t>
      </w:r>
      <w:r>
        <w:rPr>
          <w:rFonts w:eastAsia="Times New Roman" w:cs="Arial"/>
          <w:color w:val="000000" w:themeColor="text1"/>
        </w:rPr>
        <w:t xml:space="preserve"> </w:t>
      </w:r>
      <w:r>
        <w:rPr>
          <w:rFonts w:cs="Arial"/>
        </w:rPr>
        <w:t>Southern Company Services, Inc., an Affiliate of GPC that performs services as agent for GPC.</w:t>
      </w:r>
    </w:p>
    <w:p w:rsidRPr="003A5D86" w:rsidR="00D96326" w:rsidP="004A5539" w:rsidRDefault="00D96326" w14:paraId="64A08A10" w14:textId="67535A46">
      <w:pPr>
        <w:pStyle w:val="Heading3"/>
        <w:keepNext w:val="0"/>
        <w:widowControl w:val="0"/>
        <w:spacing w:after="120"/>
      </w:pPr>
      <w:r>
        <w:rPr>
          <w:rFonts w:cs="Arial"/>
          <w:b/>
          <w:u w:val="single"/>
        </w:rPr>
        <w:t>Southern Company Transmission System</w:t>
      </w:r>
      <w:r>
        <w:rPr>
          <w:rFonts w:cs="Arial"/>
          <w:b/>
        </w:rPr>
        <w:t>:</w:t>
      </w:r>
      <w:r>
        <w:rPr>
          <w:rFonts w:cs="Arial"/>
        </w:rPr>
        <w:t xml:space="preserve"> The transmission system consisting of transmission facilities (&gt;40 kV) owned by the Southern Companies, as the system may be modified or expanded from time</w:t>
      </w:r>
      <w:r w:rsidR="001050B2">
        <w:rPr>
          <w:rFonts w:cs="Arial"/>
        </w:rPr>
        <w:t>-</w:t>
      </w:r>
      <w:r>
        <w:rPr>
          <w:rFonts w:cs="Arial"/>
        </w:rPr>
        <w:t>to</w:t>
      </w:r>
      <w:r w:rsidR="001050B2">
        <w:rPr>
          <w:rFonts w:cs="Arial"/>
        </w:rPr>
        <w:t>-</w:t>
      </w:r>
      <w:r>
        <w:rPr>
          <w:rFonts w:cs="Arial"/>
        </w:rPr>
        <w:t xml:space="preserve">time, as well as any successor transmission system. For the avoidance of doubt, </w:t>
      </w:r>
      <w:r>
        <w:t>the Southern Company Transmission System does not include the Georgia ITS facilities owned by the ITS Participants.</w:t>
      </w:r>
    </w:p>
    <w:p w:rsidRPr="003A5D86" w:rsidR="00D96326" w:rsidP="004A5539" w:rsidRDefault="00D96326" w14:paraId="7DDD6758" w14:textId="77777777">
      <w:pPr>
        <w:pStyle w:val="Heading3"/>
        <w:keepNext w:val="0"/>
        <w:widowControl w:val="0"/>
        <w:spacing w:after="120"/>
      </w:pPr>
      <w:r>
        <w:rPr>
          <w:b/>
          <w:bCs/>
          <w:u w:val="single"/>
        </w:rPr>
        <w:t>Southern OATT</w:t>
      </w:r>
      <w:r>
        <w:rPr>
          <w:b/>
          <w:bCs/>
        </w:rPr>
        <w:t>:</w:t>
      </w:r>
      <w:r>
        <w:t xml:space="preserve"> Southern Company’s Open Access Transmission Tariff.</w:t>
      </w:r>
    </w:p>
    <w:p w:rsidRPr="003A5D86" w:rsidR="00327A54" w:rsidP="00327A54" w:rsidRDefault="00327A54" w14:paraId="7C8A36AE" w14:textId="44DB2BB5">
      <w:pPr>
        <w:pStyle w:val="Heading3"/>
        <w:spacing w:after="120"/>
      </w:pPr>
      <w:bookmarkStart w:name="_Hlk142672366" w:id="27"/>
      <w:r>
        <w:rPr>
          <w:b/>
          <w:bCs/>
          <w:u w:val="single"/>
        </w:rPr>
        <w:t>Southern Transmission Interface</w:t>
      </w:r>
      <w:r>
        <w:rPr>
          <w:b/>
          <w:bCs/>
        </w:rPr>
        <w:t>:</w:t>
      </w:r>
      <w:r>
        <w:t xml:space="preserve"> A transmission interface between the Southern Company Transmission System and another Electric System outside the SBAA.</w:t>
      </w:r>
      <w:bookmarkEnd w:id="27"/>
    </w:p>
    <w:p w:rsidRPr="003A5D86" w:rsidR="00D96326" w:rsidP="004A5539" w:rsidRDefault="00D96326" w14:paraId="31D28B83" w14:textId="77777777">
      <w:pPr>
        <w:pStyle w:val="Heading3"/>
        <w:keepNext w:val="0"/>
        <w:widowControl w:val="0"/>
        <w:spacing w:after="120"/>
        <w:rPr>
          <w:rFonts w:cs="Arial"/>
        </w:rPr>
      </w:pPr>
      <w:r>
        <w:rPr>
          <w:b/>
          <w:bCs/>
          <w:u w:val="single"/>
        </w:rPr>
        <w:t>Southern Transmission Territory (STT)</w:t>
      </w:r>
      <w:r>
        <w:rPr>
          <w:b/>
          <w:bCs/>
        </w:rPr>
        <w:t>:</w:t>
      </w:r>
      <w:r>
        <w:t xml:space="preserve"> Depending on usage, either: (</w:t>
      </w:r>
      <w:proofErr w:type="spellStart"/>
      <w:r>
        <w:t>i</w:t>
      </w:r>
      <w:proofErr w:type="spellEnd"/>
      <w:r>
        <w:t xml:space="preserve">) the Southern Company Transmission System and the Georgia ITS; </w:t>
      </w:r>
      <w:r>
        <w:rPr>
          <w:rFonts w:eastAsia="Arial"/>
        </w:rPr>
        <w:t>or (ii) the geographic area that would allow interconnection to either the Southern Company Transmission System or the Georgia ITS</w:t>
      </w:r>
      <w:r>
        <w:t>.</w:t>
      </w:r>
    </w:p>
    <w:p w:rsidRPr="00ED004D" w:rsidR="00ED004D" w:rsidP="004A5539" w:rsidRDefault="00ED004D" w14:paraId="17063A5B" w14:textId="19F8C8B7">
      <w:pPr>
        <w:pStyle w:val="Heading3"/>
        <w:keepNext w:val="0"/>
        <w:widowControl w:val="0"/>
        <w:spacing w:after="120"/>
        <w:rPr>
          <w:rFonts w:cs="Arial"/>
        </w:rPr>
      </w:pPr>
      <w:r>
        <w:rPr>
          <w:rFonts w:cs="Arial"/>
          <w:b/>
          <w:bCs/>
          <w:u w:val="single"/>
        </w:rPr>
        <w:t>Standard Capacity Cap</w:t>
      </w:r>
      <w:r>
        <w:rPr>
          <w:rFonts w:cs="Arial"/>
          <w:b/>
          <w:bCs/>
        </w:rPr>
        <w:t>:</w:t>
      </w:r>
      <w:r>
        <w:rPr>
          <w:rFonts w:cs="Arial"/>
        </w:rPr>
        <w:t xml:space="preserve"> Defined in, and determined in accordance with, Exhibit B (</w:t>
      </w:r>
      <w:r>
        <w:rPr>
          <w:rFonts w:cs="Arial"/>
          <w:i/>
          <w:iCs w:val="0"/>
        </w:rPr>
        <w:t xml:space="preserve">Capacity; Capacity Payments </w:t>
      </w:r>
      <w:r>
        <w:rPr>
          <w:rFonts w:cs="Arial"/>
          <w:i/>
          <w:iCs w:val="0"/>
        </w:rPr>
        <w:lastRenderedPageBreak/>
        <w:t>and Payment Reductions; Buydown</w:t>
      </w:r>
      <w:r>
        <w:rPr>
          <w:rFonts w:cs="Arial"/>
        </w:rPr>
        <w:t>), Section 1.1.A (</w:t>
      </w:r>
      <w:r>
        <w:rPr>
          <w:rFonts w:cs="Arial"/>
          <w:i/>
          <w:iCs w:val="0"/>
        </w:rPr>
        <w:t>Contracted Capacity Cap</w:t>
      </w:r>
      <w:r>
        <w:rPr>
          <w:rFonts w:cs="Arial"/>
        </w:rPr>
        <w:t>).</w:t>
      </w:r>
    </w:p>
    <w:p w:rsidRPr="00ED004D" w:rsidR="00ED004D" w:rsidP="004A5539" w:rsidRDefault="00ED004D" w14:paraId="3DECB92A" w14:textId="38B46D23">
      <w:pPr>
        <w:pStyle w:val="Heading3"/>
        <w:keepNext w:val="0"/>
        <w:widowControl w:val="0"/>
        <w:spacing w:after="120"/>
        <w:rPr>
          <w:rFonts w:cs="Arial"/>
        </w:rPr>
      </w:pPr>
      <w:r>
        <w:rPr>
          <w:rFonts w:cs="Arial"/>
          <w:b/>
          <w:bCs/>
          <w:u w:val="single"/>
        </w:rPr>
        <w:t>Standard Capacity Range</w:t>
      </w:r>
      <w:r>
        <w:rPr>
          <w:rFonts w:cs="Arial"/>
          <w:b/>
          <w:bCs/>
        </w:rPr>
        <w:t>:</w:t>
      </w:r>
      <w:r>
        <w:rPr>
          <w:rFonts w:cs="Arial"/>
        </w:rPr>
        <w:t xml:space="preserve"> Defined in, and determined in accordance with, Exhibit B (Capacity; Capacity Payments and Payment Reductions; Buydown), Section 1.1.B (</w:t>
      </w:r>
      <w:r>
        <w:rPr>
          <w:rFonts w:cs="Arial"/>
          <w:i/>
          <w:iCs w:val="0"/>
        </w:rPr>
        <w:t>Contracted Capacity Range</w:t>
      </w:r>
      <w:r>
        <w:rPr>
          <w:rFonts w:cs="Arial"/>
        </w:rPr>
        <w:t>).</w:t>
      </w:r>
    </w:p>
    <w:p w:rsidRPr="00ED004D" w:rsidR="00ED004D" w:rsidP="004A5539" w:rsidRDefault="00ED004D" w14:paraId="339A3823" w14:textId="077A5513">
      <w:pPr>
        <w:pStyle w:val="Heading3"/>
        <w:keepNext w:val="0"/>
        <w:widowControl w:val="0"/>
        <w:spacing w:after="120"/>
        <w:rPr>
          <w:rFonts w:cs="Arial"/>
        </w:rPr>
      </w:pPr>
      <w:r>
        <w:rPr>
          <w:rFonts w:cs="Arial"/>
          <w:b/>
          <w:bCs/>
          <w:u w:val="single"/>
        </w:rPr>
        <w:t>Standard Seasonal Performance Periods</w:t>
      </w:r>
      <w:r>
        <w:rPr>
          <w:rFonts w:cs="Arial"/>
          <w:b/>
          <w:bCs/>
        </w:rPr>
        <w:t>:</w:t>
      </w:r>
      <w:r>
        <w:rPr>
          <w:rFonts w:cs="Arial"/>
        </w:rPr>
        <w:t xml:space="preserve"> Fall, Spring, and the Summer Seasonal Performance Period.</w:t>
      </w:r>
    </w:p>
    <w:p w:rsidRPr="003A5D86" w:rsidR="00D96326" w:rsidP="004A5539" w:rsidRDefault="00D96326" w14:paraId="0B1D2B04" w14:textId="77777777">
      <w:pPr>
        <w:pStyle w:val="Heading3"/>
        <w:keepNext w:val="0"/>
        <w:widowControl w:val="0"/>
        <w:spacing w:after="120"/>
        <w:rPr>
          <w:rFonts w:cs="Arial"/>
        </w:rPr>
      </w:pPr>
      <w:r>
        <w:rPr>
          <w:rFonts w:cs="Arial"/>
          <w:b/>
          <w:u w:val="single"/>
        </w:rPr>
        <w:t>Startup Energy</w:t>
      </w:r>
      <w:r>
        <w:rPr>
          <w:rFonts w:cs="Arial"/>
          <w:b/>
        </w:rPr>
        <w:t>:</w:t>
      </w:r>
      <w:r>
        <w:rPr>
          <w:rFonts w:cs="Arial"/>
          <w:w w:val="0"/>
        </w:rPr>
        <w:t xml:space="preserve"> Energy produced during startup when ramping from synchronization to the Minimum Capacity</w:t>
      </w:r>
      <w:r>
        <w:rPr>
          <w:rFonts w:cs="Arial"/>
        </w:rPr>
        <w:t>.</w:t>
      </w:r>
    </w:p>
    <w:p w:rsidRPr="003A5D86" w:rsidR="00D96326" w:rsidP="004A5539" w:rsidRDefault="00D96326" w14:paraId="7907FD02" w14:textId="7C73357B">
      <w:pPr>
        <w:pStyle w:val="Heading3"/>
        <w:keepNext w:val="0"/>
        <w:widowControl w:val="0"/>
        <w:spacing w:after="120"/>
        <w:rPr>
          <w:rFonts w:cs="Arial"/>
        </w:rPr>
      </w:pPr>
      <w:r>
        <w:rPr>
          <w:rFonts w:cs="Arial"/>
          <w:b/>
          <w:u w:val="single"/>
        </w:rPr>
        <w:t>Startup Event</w:t>
      </w:r>
      <w:r>
        <w:rPr>
          <w:rFonts w:cs="Arial"/>
          <w:b/>
        </w:rPr>
        <w:t xml:space="preserve">: </w:t>
      </w:r>
      <w:r>
        <w:rPr>
          <w:rFonts w:cs="Arial"/>
          <w:bCs/>
        </w:rPr>
        <w:t>Defined in Exhibit C (</w:t>
      </w:r>
      <w:r>
        <w:rPr>
          <w:rFonts w:cs="Arial"/>
          <w:bCs/>
          <w:i/>
          <w:iCs w:val="0"/>
        </w:rPr>
        <w:t>Energy Payment Calculation</w:t>
      </w:r>
      <w:r>
        <w:rPr>
          <w:rFonts w:cs="Arial"/>
          <w:bCs/>
        </w:rPr>
        <w:t>), Section 1.3 (</w:t>
      </w:r>
      <w:r>
        <w:rPr>
          <w:i/>
        </w:rPr>
        <w:t>Monthly Startup Charges</w:t>
      </w:r>
      <w:r>
        <w:rPr>
          <w:i/>
          <w:iCs w:val="0"/>
        </w:rPr>
        <w:t xml:space="preserve"> (MSC)</w:t>
      </w:r>
      <w:r>
        <w:t>).</w:t>
      </w:r>
    </w:p>
    <w:p w:rsidRPr="003A5D86" w:rsidR="00D96326" w:rsidP="004A5539" w:rsidRDefault="00D96326" w14:paraId="42823DA6" w14:textId="77777777">
      <w:pPr>
        <w:pStyle w:val="Heading3"/>
        <w:keepNext w:val="0"/>
        <w:widowControl w:val="0"/>
        <w:spacing w:after="120"/>
        <w:rPr>
          <w:rFonts w:cs="Arial"/>
        </w:rPr>
      </w:pPr>
      <w:r>
        <w:rPr>
          <w:rFonts w:cs="Arial"/>
          <w:b/>
          <w:u w:val="single"/>
        </w:rPr>
        <w:t>Station Service</w:t>
      </w:r>
      <w:r>
        <w:rPr>
          <w:rFonts w:cs="Arial"/>
          <w:b/>
        </w:rPr>
        <w:t>:</w:t>
      </w:r>
      <w:r>
        <w:rPr>
          <w:rFonts w:cs="Arial"/>
        </w:rPr>
        <w:t xml:space="preserve"> E</w:t>
      </w:r>
      <w:bookmarkStart w:name="_Hlk37504832" w:id="28"/>
      <w:r>
        <w:rPr>
          <w:rFonts w:cs="Arial"/>
        </w:rPr>
        <w:t xml:space="preserve">nergy that is used to serve the electrical requirements of the Facility and includes the transformer losses and line losses between the Facility and the </w:t>
      </w:r>
      <w:bookmarkEnd w:id="28"/>
      <w:r>
        <w:rPr>
          <w:rFonts w:cs="Arial"/>
        </w:rPr>
        <w:t>Electric System.</w:t>
      </w:r>
    </w:p>
    <w:p w:rsidRPr="003A5D86" w:rsidR="00D96326" w:rsidP="004A5539" w:rsidRDefault="00D96326" w14:paraId="1983CFF7" w14:textId="77777777">
      <w:pPr>
        <w:pStyle w:val="Heading3"/>
        <w:keepNext w:val="0"/>
        <w:widowControl w:val="0"/>
        <w:spacing w:after="120"/>
        <w:rPr>
          <w:rFonts w:cs="Arial"/>
        </w:rPr>
      </w:pPr>
      <w:r>
        <w:rPr>
          <w:rFonts w:cs="Arial"/>
          <w:b/>
          <w:bCs/>
          <w:u w:val="single"/>
        </w:rPr>
        <w:t>STT</w:t>
      </w:r>
      <w:r>
        <w:rPr>
          <w:rFonts w:cs="Arial"/>
          <w:b/>
          <w:bCs/>
        </w:rPr>
        <w:t xml:space="preserve">: </w:t>
      </w:r>
      <w:r>
        <w:rPr>
          <w:rFonts w:cs="Arial"/>
        </w:rPr>
        <w:t>See</w:t>
      </w:r>
      <w:r>
        <w:rPr>
          <w:rFonts w:cs="Arial"/>
          <w:i/>
          <w:iCs w:val="0"/>
        </w:rPr>
        <w:t xml:space="preserve"> Southern Transmission Territory</w:t>
      </w:r>
      <w:r>
        <w:rPr>
          <w:rFonts w:cs="Arial"/>
        </w:rPr>
        <w:t>.</w:t>
      </w:r>
    </w:p>
    <w:p w:rsidRPr="003A5D86" w:rsidR="00D96326" w:rsidP="004A5539" w:rsidRDefault="00D96326" w14:paraId="70CDF538" w14:textId="03BB2692">
      <w:pPr>
        <w:pStyle w:val="Heading3"/>
        <w:keepNext w:val="0"/>
        <w:widowControl w:val="0"/>
        <w:spacing w:after="120"/>
        <w:rPr>
          <w:rFonts w:cs="Arial"/>
        </w:rPr>
      </w:pPr>
      <w:r>
        <w:rPr>
          <w:rFonts w:cs="Arial"/>
          <w:b/>
          <w:w w:val="0"/>
          <w:u w:val="single"/>
        </w:rPr>
        <w:t>Substitute Unit</w:t>
      </w:r>
      <w:r>
        <w:rPr>
          <w:rFonts w:cs="Arial"/>
          <w:b/>
          <w:w w:val="0"/>
        </w:rPr>
        <w:t>:</w:t>
      </w:r>
      <w:r>
        <w:rPr>
          <w:rFonts w:cs="Arial"/>
          <w:w w:val="0"/>
        </w:rPr>
        <w:t xml:space="preserve"> </w:t>
      </w:r>
      <w:r w:rsidR="00123054">
        <w:rPr>
          <w:rFonts w:cs="Arial"/>
        </w:rPr>
        <w:t>Defined in Section 4.4.1 (</w:t>
      </w:r>
      <w:r w:rsidR="00123054">
        <w:rPr>
          <w:rFonts w:cs="Arial"/>
          <w:i/>
        </w:rPr>
        <w:t>Current Unit Replacement with Substitute Unit</w:t>
      </w:r>
      <w:r w:rsidR="00123054">
        <w:rPr>
          <w:rFonts w:cs="Arial"/>
        </w:rPr>
        <w:t>).</w:t>
      </w:r>
    </w:p>
    <w:p w:rsidRPr="003A5D86" w:rsidR="00D96326" w:rsidP="004A5539" w:rsidRDefault="00D96326" w14:paraId="284551EB" w14:textId="350C8E2A">
      <w:pPr>
        <w:pStyle w:val="Heading3"/>
        <w:keepNext w:val="0"/>
        <w:widowControl w:val="0"/>
        <w:spacing w:after="120"/>
        <w:rPr>
          <w:rFonts w:cs="Arial"/>
        </w:rPr>
      </w:pPr>
      <w:r>
        <w:rPr>
          <w:rFonts w:cs="Arial"/>
          <w:b/>
          <w:u w:val="single"/>
        </w:rPr>
        <w:t>Substitution Eligibility Criteria</w:t>
      </w:r>
      <w:r>
        <w:rPr>
          <w:rFonts w:cs="Arial"/>
          <w:b/>
        </w:rPr>
        <w:t>:</w:t>
      </w:r>
      <w:r>
        <w:rPr>
          <w:rFonts w:cs="Arial"/>
          <w:w w:val="0"/>
        </w:rPr>
        <w:t xml:space="preserve"> Defined in Section 4.4.2 (</w:t>
      </w:r>
      <w:r>
        <w:rPr>
          <w:rFonts w:cs="Arial"/>
          <w:i/>
          <w:iCs w:val="0"/>
          <w:w w:val="0"/>
        </w:rPr>
        <w:t>Substitution Eligibility</w:t>
      </w:r>
      <w:r>
        <w:rPr>
          <w:rFonts w:cs="Arial"/>
          <w:w w:val="0"/>
        </w:rPr>
        <w:t>).</w:t>
      </w:r>
    </w:p>
    <w:p w:rsidR="00D96326" w:rsidP="004A5539" w:rsidRDefault="00D96326" w14:paraId="06645F7E" w14:textId="77777777">
      <w:pPr>
        <w:pStyle w:val="Heading3"/>
        <w:keepNext w:val="0"/>
        <w:widowControl w:val="0"/>
        <w:spacing w:after="120"/>
        <w:rPr>
          <w:rFonts w:cs="Arial"/>
          <w:w w:val="0"/>
        </w:rPr>
      </w:pPr>
      <w:r>
        <w:rPr>
          <w:rFonts w:cs="Arial"/>
          <w:b/>
          <w:w w:val="0"/>
          <w:u w:val="single"/>
        </w:rPr>
        <w:t>System Emergency</w:t>
      </w:r>
      <w:r>
        <w:rPr>
          <w:rFonts w:cs="Arial"/>
          <w:b/>
          <w:w w:val="0"/>
        </w:rPr>
        <w:t>:</w:t>
      </w:r>
      <w:r>
        <w:rPr>
          <w:rFonts w:cs="Arial"/>
          <w:w w:val="0"/>
        </w:rPr>
        <w:t xml:space="preserve"> When the Scheduling Center has determined </w:t>
      </w:r>
      <w:r>
        <w:rPr>
          <w:rFonts w:cs="Arial"/>
        </w:rPr>
        <w:t>in accordance with</w:t>
      </w:r>
      <w:r>
        <w:rPr>
          <w:rFonts w:cs="Arial"/>
          <w:w w:val="0"/>
        </w:rPr>
        <w:t xml:space="preserve"> its prevailing practices that conditions are expected to occur or have occurred that could jeopardize the ability to meet projected loads in the SBAA.</w:t>
      </w:r>
    </w:p>
    <w:p w:rsidRPr="003A5D86" w:rsidR="00C334A1" w:rsidP="004A5539" w:rsidRDefault="00C334A1" w14:paraId="62B47E6B" w14:textId="76B2A590">
      <w:pPr>
        <w:pStyle w:val="Heading3"/>
        <w:keepNext w:val="0"/>
        <w:widowControl w:val="0"/>
        <w:spacing w:after="120"/>
        <w:rPr>
          <w:rFonts w:cs="Arial"/>
        </w:rPr>
      </w:pPr>
      <w:r>
        <w:rPr>
          <w:rFonts w:cs="Arial"/>
          <w:b/>
          <w:bCs/>
          <w:u w:val="single"/>
        </w:rPr>
        <w:t xml:space="preserve">Tariff: </w:t>
      </w:r>
      <w:r w:rsidRPr="007B6DCB">
        <w:rPr>
          <w:rFonts w:cs="Arial"/>
        </w:rPr>
        <w:t>Any import tariff, customs duty, trade measure, surcharge, or similar governmental charge imposed on the importation of equipment, components, materials, or supplies used for the construction, repair, operation, or maintenance of the Facility.</w:t>
      </w:r>
    </w:p>
    <w:p w:rsidRPr="003A5D86" w:rsidR="00D96326" w:rsidP="004A5539" w:rsidRDefault="00A04B2C" w14:paraId="53B02450" w14:textId="7C543008">
      <w:pPr>
        <w:pStyle w:val="Heading3"/>
        <w:keepNext w:val="0"/>
        <w:widowControl w:val="0"/>
        <w:spacing w:after="120"/>
        <w:rPr>
          <w:rFonts w:cs="Arial"/>
        </w:rPr>
      </w:pPr>
      <w:r>
        <w:rPr>
          <w:rFonts w:cs="Arial"/>
          <w:b/>
          <w:u w:val="single"/>
        </w:rPr>
        <w:t xml:space="preserve">Tax or </w:t>
      </w:r>
      <w:r w:rsidR="00651B4E">
        <w:rPr>
          <w:rFonts w:cs="Arial"/>
          <w:b/>
          <w:u w:val="single"/>
        </w:rPr>
        <w:t>Taxes</w:t>
      </w:r>
      <w:r w:rsidR="00651B4E">
        <w:rPr>
          <w:rFonts w:cs="Arial"/>
          <w:b/>
        </w:rPr>
        <w:t>:</w:t>
      </w:r>
      <w:r w:rsidR="00651B4E">
        <w:rPr>
          <w:rFonts w:cs="Arial"/>
        </w:rPr>
        <w:t xml:space="preserve"> </w:t>
      </w:r>
      <w:r w:rsidR="00651B4E">
        <w:t>Any income, gross receipts, license, employment, excise, recording, stamp, customs, capital stock, franchise, profits, withholding, social security, unemployment, disability, property (real or personal), sales, use, transfer, value added, net worth, capital gains, payroll, alternative minimum or other tax, or any other charge, fee, levy, tariff, duty, liability, imposition, or other assessment in the nature of a tax, imposed by any Governmental Authority, including any interest, penalties, and additions to tax imposed with respect thereto, and any liability for any of the foregoing of any Person under any applicable law, including as a transferee or successor, by contract or otherwise</w:t>
      </w:r>
      <w:r w:rsidR="00651B4E">
        <w:rPr>
          <w:rFonts w:cs="Arial"/>
        </w:rPr>
        <w:t>.</w:t>
      </w:r>
    </w:p>
    <w:p w:rsidRPr="003A5D86" w:rsidR="00D96326" w:rsidP="004A5539" w:rsidRDefault="00D96326" w14:paraId="276DEC1A" w14:textId="777D2F8E">
      <w:pPr>
        <w:pStyle w:val="Heading3"/>
        <w:keepNext w:val="0"/>
        <w:widowControl w:val="0"/>
        <w:spacing w:after="120"/>
        <w:rPr>
          <w:rFonts w:cs="Arial"/>
        </w:rPr>
      </w:pPr>
      <w:r>
        <w:rPr>
          <w:rFonts w:cs="Arial"/>
          <w:b/>
          <w:u w:val="single"/>
        </w:rPr>
        <w:t>Technical Limits</w:t>
      </w:r>
      <w:r>
        <w:rPr>
          <w:rFonts w:cs="Arial"/>
          <w:b/>
        </w:rPr>
        <w:t>:</w:t>
      </w:r>
      <w:r>
        <w:rPr>
          <w:rFonts w:cs="Arial"/>
        </w:rPr>
        <w:t xml:space="preserve"> The operational limits and constraints described in Exhibit D</w:t>
      </w:r>
      <w:r>
        <w:rPr>
          <w:rFonts w:cs="Arial"/>
          <w:bCs/>
        </w:rPr>
        <w:t xml:space="preserve"> (</w:t>
      </w:r>
      <w:r>
        <w:rPr>
          <w:rFonts w:cs="Arial"/>
          <w:bCs/>
          <w:i/>
          <w:iCs w:val="0"/>
        </w:rPr>
        <w:t>Technical Limits and Schedule Procedures</w:t>
      </w:r>
      <w:r>
        <w:rPr>
          <w:rFonts w:cs="Arial"/>
          <w:bCs/>
        </w:rPr>
        <w:t>)</w:t>
      </w:r>
      <w:r>
        <w:rPr>
          <w:rFonts w:cs="Arial"/>
        </w:rPr>
        <w:t>, Part 1 (</w:t>
      </w:r>
      <w:r>
        <w:rPr>
          <w:rFonts w:cs="Arial"/>
          <w:i/>
          <w:iCs w:val="0"/>
        </w:rPr>
        <w:t>Technical Limits</w:t>
      </w:r>
      <w:r>
        <w:rPr>
          <w:rFonts w:cs="Arial"/>
        </w:rPr>
        <w:t>).</w:t>
      </w:r>
    </w:p>
    <w:p w:rsidRPr="003A5D86" w:rsidR="00D96326" w:rsidP="004A5539" w:rsidRDefault="00D96326" w14:paraId="3F076F85" w14:textId="0139A80C">
      <w:pPr>
        <w:pStyle w:val="Heading3"/>
        <w:keepNext w:val="0"/>
        <w:widowControl w:val="0"/>
        <w:spacing w:after="120"/>
        <w:rPr>
          <w:rFonts w:cs="Arial"/>
        </w:rPr>
      </w:pPr>
      <w:r>
        <w:rPr>
          <w:rFonts w:cs="Arial"/>
          <w:b/>
          <w:u w:val="single"/>
        </w:rPr>
        <w:t>Term</w:t>
      </w:r>
      <w:r>
        <w:rPr>
          <w:rFonts w:cs="Arial"/>
          <w:b/>
        </w:rPr>
        <w:t>:</w:t>
      </w:r>
      <w:r>
        <w:rPr>
          <w:rFonts w:cs="Arial"/>
        </w:rPr>
        <w:t xml:space="preserve"> The term of this PPA,</w:t>
      </w:r>
      <w:r>
        <w:t xml:space="preserve"> which becomes effective on the Effective Date and continues for the number of Annual Periods (5, 10, 15, 20, 25, or 30) </w:t>
      </w:r>
      <w:r>
        <w:rPr>
          <w:rFonts w:cs="Arial"/>
        </w:rPr>
        <w:t>specified in Table A-2 (</w:t>
      </w:r>
      <w:r>
        <w:rPr>
          <w:rFonts w:cs="Arial"/>
          <w:i/>
        </w:rPr>
        <w:t>Term, RCOD</w:t>
      </w:r>
      <w:r>
        <w:rPr>
          <w:i/>
        </w:rPr>
        <w:t>, and Earliest Delivery Commencement Date</w:t>
      </w:r>
      <w:r>
        <w:rPr>
          <w:rFonts w:cs="Arial"/>
        </w:rPr>
        <w:t>) of Exhibit A (</w:t>
      </w:r>
      <w:r>
        <w:rPr>
          <w:rFonts w:cs="Arial"/>
          <w:i/>
        </w:rPr>
        <w:t>Facility Description and Additional Details</w:t>
      </w:r>
      <w:r>
        <w:rPr>
          <w:rFonts w:cs="Arial"/>
        </w:rPr>
        <w:t>), unless terminated earlier as provided in this PPA.</w:t>
      </w:r>
    </w:p>
    <w:p w:rsidRPr="003A5D86" w:rsidR="00D96326" w:rsidP="004A5539" w:rsidRDefault="00D96326" w14:paraId="1B4E2580" w14:textId="1A37868D">
      <w:pPr>
        <w:pStyle w:val="Heading3"/>
        <w:keepNext w:val="0"/>
        <w:widowControl w:val="0"/>
        <w:spacing w:after="120"/>
        <w:rPr>
          <w:rFonts w:cs="Arial"/>
        </w:rPr>
      </w:pPr>
      <w:r>
        <w:rPr>
          <w:rFonts w:cs="Arial"/>
          <w:b/>
          <w:u w:val="single"/>
        </w:rPr>
        <w:t>Termination Payment</w:t>
      </w:r>
      <w:r>
        <w:rPr>
          <w:rFonts w:cs="Arial"/>
          <w:b/>
        </w:rPr>
        <w:t>:</w:t>
      </w:r>
      <w:r>
        <w:rPr>
          <w:rFonts w:cs="Arial"/>
        </w:rPr>
        <w:t xml:space="preserve"> Defined in Section 16.3.2 (</w:t>
      </w:r>
      <w:r>
        <w:rPr>
          <w:rFonts w:cs="Arial"/>
          <w:i/>
        </w:rPr>
        <w:t>Termination Payment</w:t>
      </w:r>
      <w:r>
        <w:rPr>
          <w:rFonts w:cs="Arial"/>
        </w:rPr>
        <w:t>).</w:t>
      </w:r>
    </w:p>
    <w:p w:rsidRPr="003A5D86" w:rsidR="00D96326" w:rsidP="004A5539" w:rsidRDefault="00D96326" w14:paraId="6DEE0EE3" w14:textId="76C99FDB">
      <w:pPr>
        <w:pStyle w:val="Heading3"/>
        <w:keepNext w:val="0"/>
        <w:widowControl w:val="0"/>
        <w:spacing w:after="120"/>
        <w:rPr>
          <w:rFonts w:cs="Arial"/>
        </w:rPr>
      </w:pPr>
      <w:r>
        <w:rPr>
          <w:rFonts w:cs="Arial"/>
          <w:b/>
          <w:u w:val="single"/>
        </w:rPr>
        <w:t>Test Energy Price</w:t>
      </w:r>
      <w:r>
        <w:rPr>
          <w:rFonts w:cs="Arial"/>
          <w:b/>
        </w:rPr>
        <w:t xml:space="preserve">: </w:t>
      </w:r>
      <w:r>
        <w:rPr>
          <w:rFonts w:cs="Arial"/>
        </w:rPr>
        <w:t xml:space="preserve">Defined in, and determined in accordance with, </w:t>
      </w:r>
      <w:r>
        <w:rPr>
          <w:rFonts w:cs="Arial"/>
          <w:bCs/>
        </w:rPr>
        <w:t>Exhibit B (</w:t>
      </w:r>
      <w:r>
        <w:rPr>
          <w:rFonts w:cs="Arial"/>
          <w:bCs/>
          <w:i/>
          <w:iCs w:val="0"/>
        </w:rPr>
        <w:t>Capacity; Capacity Payments</w:t>
      </w:r>
      <w:r>
        <w:rPr>
          <w:rFonts w:cs="Arial"/>
          <w:i/>
        </w:rPr>
        <w:t xml:space="preserve"> and Payment Reductions; Buydown</w:t>
      </w:r>
      <w:r>
        <w:rPr>
          <w:rFonts w:cs="Arial"/>
          <w:bCs/>
        </w:rPr>
        <w:t>), Section 1.2 (</w:t>
      </w:r>
      <w:r>
        <w:rPr>
          <w:i/>
          <w:iCs w:val="0"/>
        </w:rPr>
        <w:t>Tested Reliable Capacity; Performance Tests</w:t>
      </w:r>
      <w:r>
        <w:t>).</w:t>
      </w:r>
    </w:p>
    <w:p w:rsidRPr="003A5D86" w:rsidR="00D96326" w:rsidP="004A5539" w:rsidRDefault="00D96326" w14:paraId="6D017C30" w14:textId="4570995F">
      <w:pPr>
        <w:pStyle w:val="Heading3"/>
        <w:keepNext w:val="0"/>
        <w:widowControl w:val="0"/>
        <w:spacing w:after="120"/>
        <w:rPr>
          <w:rFonts w:cs="Arial"/>
        </w:rPr>
      </w:pPr>
      <w:r>
        <w:rPr>
          <w:rFonts w:cs="Arial"/>
          <w:b/>
          <w:u w:val="single"/>
        </w:rPr>
        <w:t>Tested Reliable Capacity</w:t>
      </w:r>
      <w:r>
        <w:rPr>
          <w:rFonts w:cs="Arial"/>
          <w:b/>
        </w:rPr>
        <w:t>:</w:t>
      </w:r>
      <w:r>
        <w:rPr>
          <w:rFonts w:cs="Arial"/>
        </w:rPr>
        <w:t xml:space="preserve"> (</w:t>
      </w:r>
      <w:proofErr w:type="spellStart"/>
      <w:r>
        <w:rPr>
          <w:rFonts w:cs="Arial"/>
        </w:rPr>
        <w:t>i</w:t>
      </w:r>
      <w:proofErr w:type="spellEnd"/>
      <w:r>
        <w:rPr>
          <w:rFonts w:cs="Arial"/>
        </w:rPr>
        <w:t>) With respect to the Standard Seasonal Performance Periods, the Tested Standard Reliable Capacity; and (ii) with respect to the Winter Seasonal Performance Period, the Tested Winter Reliable Capacity.</w:t>
      </w:r>
    </w:p>
    <w:p w:rsidR="00DD61CC" w:rsidP="004A5539" w:rsidRDefault="00283813" w14:paraId="436EB1E5" w14:textId="0D219428">
      <w:pPr>
        <w:pStyle w:val="Heading3"/>
        <w:keepNext w:val="0"/>
        <w:widowControl w:val="0"/>
        <w:spacing w:after="120"/>
        <w:rPr>
          <w:rFonts w:cs="Arial"/>
        </w:rPr>
      </w:pPr>
      <w:r>
        <w:rPr>
          <w:rFonts w:cs="Arial"/>
          <w:b/>
          <w:bCs/>
          <w:u w:val="single"/>
        </w:rPr>
        <w:t>Tested Standard Reliable Capacity</w:t>
      </w:r>
      <w:r>
        <w:rPr>
          <w:rFonts w:cs="Arial"/>
          <w:b/>
          <w:bCs/>
        </w:rPr>
        <w:t>:</w:t>
      </w:r>
      <w:r>
        <w:rPr>
          <w:rFonts w:cs="Arial"/>
        </w:rPr>
        <w:t xml:space="preserve"> The capability of the Facility at Reference Conditions for the Standard Seasonal Performance Periods to produce Base Operating Mode Energy as demonstrated by a Performance Test.</w:t>
      </w:r>
    </w:p>
    <w:p w:rsidRPr="003A5D86" w:rsidR="00283813" w:rsidP="004A5539" w:rsidRDefault="00DD61CC" w14:paraId="79C23126" w14:textId="5C3D6872">
      <w:pPr>
        <w:pStyle w:val="Heading3"/>
        <w:keepNext w:val="0"/>
        <w:widowControl w:val="0"/>
        <w:spacing w:after="120"/>
        <w:rPr>
          <w:rFonts w:cs="Arial"/>
        </w:rPr>
      </w:pPr>
      <w:r>
        <w:rPr>
          <w:rFonts w:cs="Arial"/>
          <w:b/>
          <w:bCs/>
          <w:u w:val="single"/>
        </w:rPr>
        <w:t>Tested Winter Reliable Capacity</w:t>
      </w:r>
      <w:r>
        <w:rPr>
          <w:rFonts w:cs="Arial"/>
          <w:b/>
          <w:bCs/>
        </w:rPr>
        <w:t>:</w:t>
      </w:r>
      <w:r>
        <w:rPr>
          <w:rFonts w:cs="Arial"/>
        </w:rPr>
        <w:t xml:space="preserve"> The capability of the Facility at Reference Conditions for the Winter Seasonal Performance Period to produce Base Operating Mode Energy as demonstrated by a Performance Test.</w:t>
      </w:r>
    </w:p>
    <w:p w:rsidR="2334531A" w:rsidP="54C72364" w:rsidRDefault="2334531A" w14:paraId="7EE01F0F" w14:textId="6EE91B3C">
      <w:pPr>
        <w:pStyle w:val="Heading3"/>
        <w:keepNext w:val="0"/>
        <w:widowControl w:val="0"/>
        <w:spacing w:after="120"/>
        <w:rPr>
          <w:rFonts w:cs="Arial"/>
        </w:rPr>
      </w:pPr>
      <w:r>
        <w:rPr>
          <w:rFonts w:cs="Arial"/>
          <w:b/>
          <w:bCs/>
          <w:u w:val="single"/>
        </w:rPr>
        <w:t>Third Arbitrator</w:t>
      </w:r>
      <w:r>
        <w:rPr>
          <w:rFonts w:cs="Arial"/>
          <w:b/>
          <w:bCs/>
        </w:rPr>
        <w:t xml:space="preserve">: </w:t>
      </w:r>
      <w:r>
        <w:rPr>
          <w:rFonts w:cs="Arial"/>
        </w:rPr>
        <w:t>Defined in Section 19.3.2(</w:t>
      </w:r>
      <w:proofErr w:type="spellStart"/>
      <w:r>
        <w:rPr>
          <w:rFonts w:cs="Arial"/>
        </w:rPr>
        <w:t>i</w:t>
      </w:r>
      <w:proofErr w:type="spellEnd"/>
      <w:r>
        <w:rPr>
          <w:rFonts w:cs="Arial"/>
        </w:rPr>
        <w:t>) (</w:t>
      </w:r>
      <w:r>
        <w:rPr>
          <w:rFonts w:cs="Arial"/>
          <w:i/>
        </w:rPr>
        <w:t>Initiation of Arbitration; Selection of Party-Appointed Arbitrators</w:t>
      </w:r>
      <w:r>
        <w:rPr>
          <w:rFonts w:cs="Arial"/>
        </w:rPr>
        <w:t>).</w:t>
      </w:r>
    </w:p>
    <w:p w:rsidRPr="003A5D86" w:rsidR="00D96326" w:rsidP="004A5539" w:rsidRDefault="00D96326" w14:paraId="6D063F5C" w14:textId="717FD13A">
      <w:pPr>
        <w:pStyle w:val="Heading3"/>
        <w:keepNext w:val="0"/>
        <w:widowControl w:val="0"/>
        <w:spacing w:after="120"/>
        <w:rPr>
          <w:rFonts w:cs="Arial"/>
        </w:rPr>
      </w:pPr>
      <w:r>
        <w:rPr>
          <w:rFonts w:cs="Arial"/>
          <w:b/>
          <w:u w:val="single"/>
        </w:rPr>
        <w:t>Threshold Amount</w:t>
      </w:r>
      <w:r>
        <w:rPr>
          <w:rFonts w:cs="Arial"/>
          <w:b/>
        </w:rPr>
        <w:t>:</w:t>
      </w:r>
      <w:r>
        <w:rPr>
          <w:rFonts w:cs="Arial"/>
        </w:rPr>
        <w:t xml:space="preserve"> </w:t>
      </w:r>
      <w:r w:rsidRPr="005D759D" w:rsidR="005D759D">
        <w:rPr>
          <w:rFonts w:cs="Arial"/>
        </w:rPr>
        <w:t>$8.00/kW of Contracted Capacity, expressed in dollars by multiplying $8.00 by the Contracted Capacity (kW)</w:t>
      </w:r>
      <w:r>
        <w:rPr>
          <w:rFonts w:cs="Arial"/>
        </w:rPr>
        <w:t>.</w:t>
      </w:r>
    </w:p>
    <w:p w:rsidRPr="003A5D86" w:rsidR="00D96326" w:rsidP="004A5539" w:rsidRDefault="00D96326" w14:paraId="23B9AB6D" w14:textId="7BA7D2E7">
      <w:pPr>
        <w:pStyle w:val="Heading3"/>
        <w:keepNext w:val="0"/>
        <w:widowControl w:val="0"/>
        <w:spacing w:after="120"/>
        <w:rPr>
          <w:rFonts w:cs="Arial"/>
        </w:rPr>
      </w:pPr>
      <w:r>
        <w:rPr>
          <w:rFonts w:cs="Arial"/>
          <w:b/>
          <w:u w:val="single"/>
        </w:rPr>
        <w:t>Transmission Service Provider</w:t>
      </w:r>
      <w:r>
        <w:rPr>
          <w:rFonts w:cs="Arial"/>
          <w:b/>
        </w:rPr>
        <w:t>:</w:t>
      </w:r>
      <w:r>
        <w:rPr>
          <w:rFonts w:cs="Arial"/>
        </w:rPr>
        <w:t xml:space="preserve"> Any electric utility (or its designated agent) that owns, controls, or operates transmission or distribution facilities used for the transmission of energy in interstate commerce and that provides transmission service under a tariff.</w:t>
      </w:r>
    </w:p>
    <w:p w:rsidR="791E1161" w:rsidP="54C72364" w:rsidRDefault="791E1161" w14:paraId="059E8949" w14:textId="20BA8977">
      <w:pPr>
        <w:pStyle w:val="Heading3"/>
        <w:keepNext w:val="0"/>
        <w:widowControl w:val="0"/>
        <w:spacing w:after="120"/>
      </w:pPr>
      <w:r>
        <w:rPr>
          <w:rFonts w:cs="Arial"/>
          <w:b/>
          <w:bCs/>
          <w:u w:val="single"/>
        </w:rPr>
        <w:lastRenderedPageBreak/>
        <w:t>Ultimate Parent Entity</w:t>
      </w:r>
      <w:r>
        <w:rPr>
          <w:rFonts w:cs="Arial"/>
          <w:b/>
          <w:bCs/>
        </w:rPr>
        <w:t>:</w:t>
      </w:r>
      <w:r>
        <w:rPr>
          <w:rFonts w:cs="Arial"/>
        </w:rPr>
        <w:t xml:space="preserve"> </w:t>
      </w:r>
      <w:r>
        <w:rPr>
          <w:rFonts w:eastAsia="Arial" w:cs="Arial"/>
        </w:rPr>
        <w:t>With respect to a Party, the Person who (</w:t>
      </w:r>
      <w:proofErr w:type="spellStart"/>
      <w:r>
        <w:rPr>
          <w:rFonts w:eastAsia="Arial" w:cs="Arial"/>
        </w:rPr>
        <w:t>i</w:t>
      </w:r>
      <w:proofErr w:type="spellEnd"/>
      <w:r>
        <w:rPr>
          <w:rFonts w:eastAsia="Arial" w:cs="Arial"/>
        </w:rPr>
        <w:t>) directly or indirectly controls 50% or more of the outstanding capital stock or other equity interests in such Party; (ii) has ordinary voting power; and (iii) does not itself have an Ultimate Parent Entity.</w:t>
      </w:r>
    </w:p>
    <w:p w:rsidRPr="003A5D86" w:rsidR="00D96326" w:rsidP="004A5539" w:rsidRDefault="00D96326" w14:paraId="7E0B781E" w14:textId="4F8A944E">
      <w:pPr>
        <w:pStyle w:val="Heading3"/>
        <w:keepNext w:val="0"/>
        <w:widowControl w:val="0"/>
        <w:spacing w:after="120"/>
        <w:rPr>
          <w:rFonts w:cs="Arial"/>
        </w:rPr>
      </w:pPr>
      <w:r>
        <w:rPr>
          <w:rFonts w:cs="Arial"/>
          <w:b/>
          <w:u w:val="single"/>
        </w:rPr>
        <w:t>Unavailability Event</w:t>
      </w:r>
      <w:r>
        <w:rPr>
          <w:rFonts w:cs="Arial"/>
          <w:b/>
        </w:rPr>
        <w:t>:</w:t>
      </w:r>
      <w:r>
        <w:rPr>
          <w:rFonts w:cs="Arial"/>
        </w:rPr>
        <w:t xml:space="preserve"> Any single, continuous period during which the </w:t>
      </w:r>
      <w:r w:rsidR="00A27B04">
        <w:rPr>
          <w:rFonts w:cs="Arial"/>
        </w:rPr>
        <w:t xml:space="preserve">Facility, including any </w:t>
      </w:r>
      <w:r>
        <w:rPr>
          <w:rFonts w:cs="Arial"/>
        </w:rPr>
        <w:t>Unit</w:t>
      </w:r>
      <w:r w:rsidR="00A27B04">
        <w:rPr>
          <w:rFonts w:cs="Arial"/>
        </w:rPr>
        <w:t>,</w:t>
      </w:r>
      <w:r>
        <w:rPr>
          <w:rFonts w:cs="Arial"/>
        </w:rPr>
        <w:t xml:space="preserve"> or an Alternate Resource (designated in accordance with Section 4.1.4 (</w:t>
      </w:r>
      <w:r>
        <w:rPr>
          <w:rFonts w:cs="Arial"/>
          <w:i/>
          <w:iCs w:val="0"/>
        </w:rPr>
        <w:t>Unavailability</w:t>
      </w:r>
      <w:r>
        <w:rPr>
          <w:rFonts w:cs="Arial"/>
        </w:rPr>
        <w:t>)) is Unavailable, in whole or in part.</w:t>
      </w:r>
    </w:p>
    <w:p w:rsidRPr="003A5D86" w:rsidR="00D96326" w:rsidP="004A5539" w:rsidRDefault="00D96326" w14:paraId="190C0160" w14:textId="7CE166D4">
      <w:pPr>
        <w:pStyle w:val="Heading3"/>
        <w:keepNext w:val="0"/>
        <w:widowControl w:val="0"/>
        <w:spacing w:after="120"/>
        <w:rPr>
          <w:rFonts w:cs="Arial"/>
        </w:rPr>
      </w:pPr>
      <w:r>
        <w:rPr>
          <w:rFonts w:cs="Arial"/>
          <w:b/>
          <w:u w:val="single"/>
        </w:rPr>
        <w:t>Unavailable</w:t>
      </w:r>
      <w:r>
        <w:rPr>
          <w:rFonts w:cs="Arial"/>
          <w:b/>
        </w:rPr>
        <w:t xml:space="preserve"> or </w:t>
      </w:r>
      <w:r>
        <w:rPr>
          <w:rFonts w:cs="Arial"/>
          <w:b/>
          <w:u w:val="single"/>
        </w:rPr>
        <w:t>Unavailability</w:t>
      </w:r>
      <w:r>
        <w:rPr>
          <w:rFonts w:cs="Arial"/>
          <w:b/>
        </w:rPr>
        <w:t>:</w:t>
      </w:r>
      <w:r>
        <w:rPr>
          <w:rFonts w:cs="Arial"/>
        </w:rPr>
        <w:t xml:space="preserve"> The extent to which, after the Delivery Commencement Date, the </w:t>
      </w:r>
      <w:r w:rsidR="00A27B04">
        <w:rPr>
          <w:rFonts w:cs="Arial"/>
        </w:rPr>
        <w:t xml:space="preserve">Facility, including any </w:t>
      </w:r>
      <w:r>
        <w:rPr>
          <w:rFonts w:cs="Arial"/>
        </w:rPr>
        <w:t>Unit</w:t>
      </w:r>
      <w:r w:rsidR="00A27B04">
        <w:rPr>
          <w:rFonts w:cs="Arial"/>
        </w:rPr>
        <w:t>,</w:t>
      </w:r>
      <w:r>
        <w:rPr>
          <w:rFonts w:cs="Arial"/>
        </w:rPr>
        <w:t xml:space="preserve"> or an Alternate Resource (designated in accordance with Section 4.1.4 (</w:t>
      </w:r>
      <w:r>
        <w:rPr>
          <w:rFonts w:cs="Arial"/>
          <w:i/>
          <w:iCs w:val="0"/>
        </w:rPr>
        <w:t>Unavailability</w:t>
      </w:r>
      <w:r>
        <w:rPr>
          <w:rFonts w:cs="Arial"/>
        </w:rPr>
        <w:t>)), as the case may be, is unable (in whole or in part) to deliver energy in accordance with a Schedule due to a Scheduled Outage, Maintenance Outage, Forced Outage, Forced Derate or a Force Majeure Event.</w:t>
      </w:r>
    </w:p>
    <w:p w:rsidRPr="003A5D86" w:rsidR="00D96326" w:rsidP="004A5539" w:rsidRDefault="00D96326" w14:paraId="7C9D77B1" w14:textId="48F34B69">
      <w:pPr>
        <w:pStyle w:val="Heading3"/>
        <w:keepNext w:val="0"/>
        <w:widowControl w:val="0"/>
        <w:tabs>
          <w:tab w:val="left" w:pos="900"/>
          <w:tab w:val="left" w:pos="1440"/>
        </w:tabs>
        <w:spacing w:after="120"/>
        <w:rPr>
          <w:rFonts w:cs="Arial"/>
          <w:bCs/>
        </w:rPr>
      </w:pPr>
      <w:r>
        <w:rPr>
          <w:rFonts w:cs="Arial"/>
          <w:b/>
          <w:u w:val="single"/>
        </w:rPr>
        <w:t>Undelivered Energy</w:t>
      </w:r>
      <w:r>
        <w:rPr>
          <w:rFonts w:cs="Arial"/>
          <w:b/>
        </w:rPr>
        <w:t>:</w:t>
      </w:r>
      <w:r>
        <w:rPr>
          <w:rFonts w:cs="Arial"/>
        </w:rPr>
        <w:t xml:space="preserve"> </w:t>
      </w:r>
      <w:r>
        <w:rPr>
          <w:rFonts w:eastAsia="Times New Roman" w:cs="Arial"/>
        </w:rPr>
        <w:t>Defined</w:t>
      </w:r>
      <w:r>
        <w:rPr>
          <w:rFonts w:cs="Arial"/>
        </w:rPr>
        <w:t xml:space="preserve"> in, and determined in accordance with, </w:t>
      </w:r>
      <w:r>
        <w:rPr>
          <w:rFonts w:cs="Arial"/>
          <w:bCs/>
        </w:rPr>
        <w:t>Exhibit B (</w:t>
      </w:r>
      <w:r>
        <w:rPr>
          <w:rFonts w:cs="Arial"/>
          <w:bCs/>
          <w:i/>
          <w:iCs w:val="0"/>
        </w:rPr>
        <w:t>Capacity; Capacity Payments</w:t>
      </w:r>
      <w:r>
        <w:rPr>
          <w:rFonts w:cs="Arial"/>
          <w:i/>
        </w:rPr>
        <w:t xml:space="preserve"> and Payment Reductions; Buydown</w:t>
      </w:r>
      <w:r>
        <w:rPr>
          <w:rFonts w:cs="Arial"/>
          <w:bCs/>
          <w:i/>
          <w:iCs w:val="0"/>
        </w:rPr>
        <w:t xml:space="preserve">), </w:t>
      </w:r>
      <w:r>
        <w:rPr>
          <w:rFonts w:cs="Arial"/>
          <w:bCs/>
        </w:rPr>
        <w:t>Section 4.1 (</w:t>
      </w:r>
      <w:r>
        <w:rPr>
          <w:rFonts w:cs="Arial"/>
          <w:bCs/>
          <w:i/>
          <w:iCs w:val="0"/>
        </w:rPr>
        <w:t>Calculation of Replacement Costs</w:t>
      </w:r>
      <w:r>
        <w:rPr>
          <w:rFonts w:cs="Arial"/>
          <w:bCs/>
        </w:rPr>
        <w:t>).</w:t>
      </w:r>
    </w:p>
    <w:p w:rsidRPr="003A5D86" w:rsidR="00D96326" w:rsidP="004A5539" w:rsidRDefault="00D96326" w14:paraId="4005CDDE" w14:textId="6B4790E5">
      <w:pPr>
        <w:pStyle w:val="Heading3"/>
        <w:keepNext w:val="0"/>
        <w:widowControl w:val="0"/>
        <w:tabs>
          <w:tab w:val="left" w:pos="900"/>
          <w:tab w:val="left" w:pos="1440"/>
        </w:tabs>
        <w:spacing w:after="120"/>
        <w:rPr>
          <w:rFonts w:cs="Arial"/>
        </w:rPr>
      </w:pPr>
      <w:r>
        <w:rPr>
          <w:rFonts w:cs="Arial"/>
          <w:b/>
          <w:bCs/>
          <w:u w:val="single"/>
        </w:rPr>
        <w:t>Unit</w:t>
      </w:r>
      <w:r>
        <w:rPr>
          <w:rFonts w:cs="Arial"/>
          <w:b/>
        </w:rPr>
        <w:t>:</w:t>
      </w:r>
      <w:r>
        <w:rPr>
          <w:rFonts w:cs="Arial"/>
        </w:rPr>
        <w:t xml:space="preserve"> </w:t>
      </w:r>
      <w:r w:rsidR="00290EE7">
        <w:rPr>
          <w:rFonts w:cs="Arial"/>
        </w:rPr>
        <w:t>Each</w:t>
      </w:r>
      <w:r>
        <w:rPr>
          <w:rFonts w:cs="Arial"/>
        </w:rPr>
        <w:t xml:space="preserve"> CT at the Facility, as further described in Exhibit A (</w:t>
      </w:r>
      <w:r>
        <w:rPr>
          <w:rFonts w:cs="Arial"/>
          <w:i/>
          <w:iCs w:val="0"/>
        </w:rPr>
        <w:t>Facility Description and Additional Details</w:t>
      </w:r>
      <w:r>
        <w:rPr>
          <w:rFonts w:cs="Arial"/>
        </w:rPr>
        <w:t xml:space="preserve">), that </w:t>
      </w:r>
      <w:r w:rsidR="00EC3C24">
        <w:rPr>
          <w:rFonts w:cs="Arial"/>
        </w:rPr>
        <w:t>is</w:t>
      </w:r>
      <w:r>
        <w:rPr>
          <w:rFonts w:cs="Arial"/>
        </w:rPr>
        <w:t xml:space="preserve"> designated to meet Seller’s power supply obligations in accordance with this PPA</w:t>
      </w:r>
      <w:r w:rsidR="00E6192D">
        <w:rPr>
          <w:rFonts w:cs="Arial"/>
        </w:rPr>
        <w:t xml:space="preserve">, including </w:t>
      </w:r>
      <w:r w:rsidR="00E4324A">
        <w:rPr>
          <w:rFonts w:cs="Arial"/>
        </w:rPr>
        <w:t>a</w:t>
      </w:r>
      <w:r w:rsidR="007831B8">
        <w:rPr>
          <w:rFonts w:cs="Arial"/>
        </w:rPr>
        <w:t>ny</w:t>
      </w:r>
      <w:r w:rsidR="00E4324A">
        <w:rPr>
          <w:rFonts w:cs="Arial"/>
        </w:rPr>
        <w:t xml:space="preserve"> Substitute Unit </w:t>
      </w:r>
      <w:r w:rsidR="004B3955">
        <w:rPr>
          <w:rFonts w:cs="Arial"/>
        </w:rPr>
        <w:t>that replaces a Current Unit</w:t>
      </w:r>
      <w:r w:rsidR="00E4324A">
        <w:rPr>
          <w:rFonts w:cs="Arial"/>
        </w:rPr>
        <w:t xml:space="preserve"> </w:t>
      </w:r>
      <w:r w:rsidR="00E86346">
        <w:rPr>
          <w:rFonts w:cs="Arial"/>
        </w:rPr>
        <w:t>in accordance with Section 4.4.6 (</w:t>
      </w:r>
      <w:r w:rsidRPr="00E86346" w:rsidR="00E86346">
        <w:rPr>
          <w:rFonts w:cs="Arial"/>
          <w:i/>
          <w:iCs w:val="0"/>
        </w:rPr>
        <w:t>Replacement with Substitute Unit After Acceptance</w:t>
      </w:r>
      <w:r w:rsidR="00E86346">
        <w:rPr>
          <w:rFonts w:cs="Arial"/>
        </w:rPr>
        <w:t>)</w:t>
      </w:r>
      <w:r>
        <w:rPr>
          <w:rFonts w:cs="Arial"/>
        </w:rPr>
        <w:t xml:space="preserve">. </w:t>
      </w:r>
    </w:p>
    <w:p w:rsidR="00D96326" w:rsidP="004A5539" w:rsidRDefault="00D96326" w14:paraId="39B78E32" w14:textId="6A842E8A">
      <w:pPr>
        <w:pStyle w:val="Heading3"/>
        <w:keepNext w:val="0"/>
        <w:widowControl w:val="0"/>
        <w:tabs>
          <w:tab w:val="left" w:pos="900"/>
          <w:tab w:val="left" w:pos="1440"/>
        </w:tabs>
        <w:spacing w:after="120"/>
        <w:rPr>
          <w:rFonts w:cs="Arial"/>
          <w:iCs w:val="0"/>
        </w:rPr>
      </w:pPr>
      <w:r>
        <w:rPr>
          <w:rFonts w:cs="Arial"/>
          <w:b/>
          <w:bCs/>
          <w:u w:val="single"/>
        </w:rPr>
        <w:t>Unit Hour</w:t>
      </w:r>
      <w:r>
        <w:rPr>
          <w:rFonts w:cs="Arial"/>
          <w:b/>
        </w:rPr>
        <w:t>:</w:t>
      </w:r>
      <w:r>
        <w:rPr>
          <w:rFonts w:cs="Arial"/>
        </w:rPr>
        <w:t xml:space="preserve"> For each Unit, </w:t>
      </w:r>
      <w:proofErr w:type="gramStart"/>
      <w:r>
        <w:rPr>
          <w:rFonts w:cs="Arial"/>
        </w:rPr>
        <w:t>an</w:t>
      </w:r>
      <w:proofErr w:type="gramEnd"/>
      <w:r>
        <w:rPr>
          <w:rFonts w:cs="Arial"/>
        </w:rPr>
        <w:t xml:space="preserve"> Hour in which the Unit is dispatched </w:t>
      </w:r>
      <w:proofErr w:type="gramStart"/>
      <w:r>
        <w:rPr>
          <w:rFonts w:cs="Arial"/>
        </w:rPr>
        <w:t>in order to</w:t>
      </w:r>
      <w:proofErr w:type="gramEnd"/>
      <w:r>
        <w:rPr>
          <w:rFonts w:cs="Arial"/>
        </w:rPr>
        <w:t xml:space="preserve"> meet a Schedule by GPC in accordance with Exhibit B (</w:t>
      </w:r>
      <w:r>
        <w:rPr>
          <w:rFonts w:cs="Arial"/>
          <w:i/>
          <w:iCs w:val="0"/>
        </w:rPr>
        <w:t>Capacity; Capacity Payments and Payment Reductions; Buydown</w:t>
      </w:r>
      <w:r>
        <w:rPr>
          <w:rFonts w:cs="Arial"/>
        </w:rPr>
        <w:t xml:space="preserve">). For example, in one Hour where GPC Schedules two Units, two Unit Hours will accumulate. </w:t>
      </w:r>
      <w:r>
        <w:rPr>
          <w:rFonts w:cs="Arial"/>
          <w:highlight w:val="cyan"/>
        </w:rPr>
        <w:t>[</w:t>
      </w:r>
      <w:r>
        <w:rPr>
          <w:b/>
          <w:bCs/>
          <w:i/>
          <w:iCs w:val="0"/>
          <w:highlight w:val="cyan"/>
          <w:u w:val="single"/>
        </w:rPr>
        <w:t>Note to Bidders</w:t>
      </w:r>
      <w:r>
        <w:rPr>
          <w:rFonts w:cs="Arial"/>
          <w:b/>
          <w:i/>
          <w:iCs w:val="0"/>
          <w:highlight w:val="cyan"/>
        </w:rPr>
        <w:t xml:space="preserve">: If the </w:t>
      </w:r>
      <w:r>
        <w:rPr>
          <w:rFonts w:cs="Arial"/>
          <w:b/>
          <w:bCs/>
          <w:i/>
          <w:iCs w:val="0"/>
          <w:highlight w:val="cyan"/>
        </w:rPr>
        <w:t>PPA</w:t>
      </w:r>
      <w:r>
        <w:rPr>
          <w:rFonts w:cs="Arial"/>
          <w:b/>
          <w:i/>
          <w:iCs w:val="0"/>
          <w:highlight w:val="cyan"/>
        </w:rPr>
        <w:t xml:space="preserve"> applies to one Unit, this definition will be revised accordingly.</w:t>
      </w:r>
      <w:r>
        <w:rPr>
          <w:rFonts w:cs="Arial"/>
          <w:iCs w:val="0"/>
          <w:highlight w:val="cyan"/>
        </w:rPr>
        <w:t>]</w:t>
      </w:r>
    </w:p>
    <w:p w:rsidR="00B744C6" w:rsidP="00B744C6" w:rsidRDefault="00B744C6" w14:paraId="6A05DEBC" w14:textId="77439A51">
      <w:pPr>
        <w:pStyle w:val="Heading3"/>
        <w:keepNext w:val="0"/>
        <w:widowControl w:val="0"/>
        <w:tabs>
          <w:tab w:val="left" w:pos="900"/>
          <w:tab w:val="left" w:pos="1440"/>
        </w:tabs>
        <w:spacing w:after="120"/>
        <w:rPr>
          <w:rFonts w:cs="Arial"/>
        </w:rPr>
      </w:pPr>
      <w:r>
        <w:rPr>
          <w:rFonts w:cs="Arial"/>
          <w:b/>
          <w:u w:val="single"/>
        </w:rPr>
        <w:t>Unit NOx Allowances</w:t>
      </w:r>
      <w:r>
        <w:rPr>
          <w:rFonts w:cs="Arial"/>
          <w:b/>
        </w:rPr>
        <w:t>:</w:t>
      </w:r>
      <w:r>
        <w:rPr>
          <w:rFonts w:cs="Arial"/>
        </w:rPr>
        <w:t xml:space="preserve"> </w:t>
      </w:r>
      <w:r w:rsidR="007E5FE9">
        <w:rPr>
          <w:rFonts w:cs="Arial"/>
        </w:rPr>
        <w:t xml:space="preserve">For each Unit, </w:t>
      </w:r>
      <w:r>
        <w:rPr>
          <w:rFonts w:cs="Arial"/>
        </w:rPr>
        <w:t xml:space="preserve">NOx Allowances </w:t>
      </w:r>
      <w:proofErr w:type="gramStart"/>
      <w:r>
        <w:rPr>
          <w:rFonts w:cs="Arial"/>
        </w:rPr>
        <w:t>allocated</w:t>
      </w:r>
      <w:proofErr w:type="gramEnd"/>
      <w:r>
        <w:rPr>
          <w:rFonts w:cs="Arial"/>
        </w:rPr>
        <w:t xml:space="preserve"> to or for the Unit or otherwise granted to Seller for the Unit.</w:t>
      </w:r>
    </w:p>
    <w:p w:rsidR="00B744C6" w:rsidP="00B744C6" w:rsidRDefault="00B744C6" w14:paraId="7E3ECADA" w14:textId="51010370">
      <w:pPr>
        <w:pStyle w:val="Heading3"/>
        <w:keepNext w:val="0"/>
        <w:widowControl w:val="0"/>
        <w:tabs>
          <w:tab w:val="left" w:pos="900"/>
          <w:tab w:val="left" w:pos="1440"/>
        </w:tabs>
        <w:spacing w:after="120"/>
        <w:rPr>
          <w:rFonts w:cs="Arial"/>
        </w:rPr>
      </w:pPr>
      <w:r>
        <w:rPr>
          <w:rFonts w:cs="Arial"/>
          <w:b/>
          <w:u w:val="single"/>
        </w:rPr>
        <w:t>Unit SO2 Allowances</w:t>
      </w:r>
      <w:r>
        <w:rPr>
          <w:rFonts w:cs="Arial"/>
          <w:b/>
        </w:rPr>
        <w:t>:</w:t>
      </w:r>
      <w:r>
        <w:rPr>
          <w:rFonts w:cs="Arial"/>
        </w:rPr>
        <w:t xml:space="preserve"> </w:t>
      </w:r>
      <w:r w:rsidR="007E5FE9">
        <w:rPr>
          <w:rFonts w:cs="Arial"/>
        </w:rPr>
        <w:t xml:space="preserve">For each Unit, </w:t>
      </w:r>
      <w:r>
        <w:rPr>
          <w:rFonts w:cs="Arial"/>
        </w:rPr>
        <w:t>SO2 Allowances allocated to or for the Unit or otherwise granted to Seller for the Unit.</w:t>
      </w:r>
    </w:p>
    <w:p w:rsidRPr="00F10071" w:rsidR="00D96326" w:rsidP="004A5539" w:rsidRDefault="00D96326" w14:paraId="51D6F81E" w14:textId="12686674">
      <w:pPr>
        <w:pStyle w:val="Heading3"/>
        <w:keepNext w:val="0"/>
        <w:widowControl w:val="0"/>
        <w:tabs>
          <w:tab w:val="left" w:pos="900"/>
          <w:tab w:val="left" w:pos="1440"/>
        </w:tabs>
        <w:spacing w:after="120"/>
        <w:rPr>
          <w:rFonts w:cs="Arial"/>
        </w:rPr>
      </w:pPr>
      <w:r>
        <w:rPr>
          <w:rFonts w:cs="Arial"/>
          <w:b/>
          <w:u w:val="single"/>
        </w:rPr>
        <w:t>Unplanned (Forced) Outage Hours (FOH)</w:t>
      </w:r>
      <w:r>
        <w:rPr>
          <w:rFonts w:cs="Arial"/>
          <w:b/>
        </w:rPr>
        <w:t>:</w:t>
      </w:r>
      <w:r>
        <w:rPr>
          <w:rFonts w:cs="Arial"/>
        </w:rPr>
        <w:t xml:space="preserve"> The Hours during which the </w:t>
      </w:r>
      <w:r w:rsidR="00A27B04">
        <w:rPr>
          <w:rFonts w:cs="Arial"/>
        </w:rPr>
        <w:t>Facility</w:t>
      </w:r>
      <w:r>
        <w:rPr>
          <w:rFonts w:cs="Arial"/>
        </w:rPr>
        <w:t xml:space="preserve"> experiences a Forced Outage, as further described in and determined in accordance with Exhibit B</w:t>
      </w:r>
      <w:r>
        <w:rPr>
          <w:rFonts w:cs="Arial"/>
          <w:b/>
        </w:rPr>
        <w:t xml:space="preserve"> </w:t>
      </w:r>
      <w:r>
        <w:rPr>
          <w:rFonts w:cs="Arial"/>
        </w:rPr>
        <w:t>(</w:t>
      </w:r>
      <w:r>
        <w:rPr>
          <w:rFonts w:cs="Arial"/>
          <w:i/>
        </w:rPr>
        <w:t>Capacity; Capacity Payments and Payment Reductions; Buydown</w:t>
      </w:r>
      <w:r>
        <w:rPr>
          <w:rFonts w:cs="Arial"/>
        </w:rPr>
        <w:t>), Section 3.2 (</w:t>
      </w:r>
      <w:r>
        <w:rPr>
          <w:rFonts w:cs="Arial"/>
          <w:i/>
        </w:rPr>
        <w:t>Calculation of Monthly Availability Percentage</w:t>
      </w:r>
      <w:r>
        <w:rPr>
          <w:rFonts w:cs="Arial"/>
        </w:rPr>
        <w:t>).</w:t>
      </w:r>
    </w:p>
    <w:p w:rsidRPr="00F10071" w:rsidR="00D96326" w:rsidP="004A5539" w:rsidRDefault="00D96326" w14:paraId="042CFFE7" w14:textId="77777777">
      <w:pPr>
        <w:pStyle w:val="Heading3"/>
        <w:keepNext w:val="0"/>
        <w:widowControl w:val="0"/>
        <w:tabs>
          <w:tab w:val="left" w:pos="900"/>
          <w:tab w:val="left" w:pos="1440"/>
        </w:tabs>
        <w:spacing w:after="120"/>
        <w:rPr>
          <w:rFonts w:cs="Arial"/>
        </w:rPr>
      </w:pPr>
      <w:r>
        <w:rPr>
          <w:rFonts w:cs="Arial"/>
          <w:b/>
          <w:u w:val="single"/>
        </w:rPr>
        <w:t>Variable Interest (VI)</w:t>
      </w:r>
      <w:r>
        <w:rPr>
          <w:rFonts w:cs="Arial"/>
          <w:b/>
        </w:rPr>
        <w:t>:</w:t>
      </w:r>
      <w:r>
        <w:rPr>
          <w:rFonts w:cs="Arial"/>
        </w:rPr>
        <w:t xml:space="preserve"> Defined in ASC Topic 810 (</w:t>
      </w:r>
      <w:r>
        <w:rPr>
          <w:rFonts w:cs="Arial"/>
          <w:i/>
        </w:rPr>
        <w:t>Consolidation</w:t>
      </w:r>
      <w:r>
        <w:rPr>
          <w:rFonts w:cs="Arial"/>
        </w:rPr>
        <w:t>), as issued and modified from time to time by FASB.</w:t>
      </w:r>
    </w:p>
    <w:p w:rsidR="00D96326" w:rsidP="00F46C76" w:rsidRDefault="00D96326" w14:paraId="4D61F4FE" w14:textId="77777777">
      <w:pPr>
        <w:pStyle w:val="Heading3"/>
      </w:pPr>
      <w:r>
        <w:rPr>
          <w:b/>
          <w:u w:val="single"/>
        </w:rPr>
        <w:t>Variable Interest Entity (VIE)</w:t>
      </w:r>
      <w:r>
        <w:rPr>
          <w:b/>
        </w:rPr>
        <w:t>:</w:t>
      </w:r>
      <w:r>
        <w:t xml:space="preserve"> Defined in ASC Topic 810 (</w:t>
      </w:r>
      <w:r>
        <w:rPr>
          <w:i/>
        </w:rPr>
        <w:t>Consolidation</w:t>
      </w:r>
      <w:r>
        <w:t>), as issued and modified from time to time by FASB.</w:t>
      </w:r>
    </w:p>
    <w:p w:rsidR="000308D9" w:rsidP="00F46C76" w:rsidRDefault="00D96326" w14:paraId="55BC4A77" w14:textId="77777777">
      <w:pPr>
        <w:pStyle w:val="Heading3"/>
        <w:rPr>
          <w:rStyle w:val="normaltextrun"/>
          <w:shd w:val="clear" w:color="auto" w:fill="FFFFFF"/>
        </w:rPr>
      </w:pPr>
      <w:r>
        <w:rPr>
          <w:rStyle w:val="normaltextrun"/>
          <w:b/>
          <w:u w:val="single"/>
          <w:shd w:val="clear" w:color="auto" w:fill="FFFFFF"/>
        </w:rPr>
        <w:t>Variable O&amp;M (VOM)</w:t>
      </w:r>
      <w:r>
        <w:rPr>
          <w:rStyle w:val="normaltextrun"/>
          <w:b/>
          <w:shd w:val="clear" w:color="auto" w:fill="FFFFFF"/>
        </w:rPr>
        <w:t xml:space="preserve">: </w:t>
      </w:r>
      <w:r>
        <w:rPr>
          <w:rStyle w:val="normaltextrun"/>
          <w:shd w:val="clear" w:color="auto" w:fill="FFFFFF"/>
        </w:rPr>
        <w:t>Variable operation and maintenance costs.</w:t>
      </w:r>
    </w:p>
    <w:p w:rsidR="000308D9" w:rsidP="00F46C76" w:rsidRDefault="000308D9" w14:paraId="526623BA" w14:textId="0421B5A6">
      <w:pPr>
        <w:pStyle w:val="Heading3"/>
        <w:rPr>
          <w:rStyle w:val="normaltextrun"/>
          <w:shd w:val="clear" w:color="auto" w:fill="FFFFFF"/>
        </w:rPr>
      </w:pPr>
      <w:r>
        <w:rPr>
          <w:rStyle w:val="normaltextrun"/>
          <w:b/>
          <w:bCs/>
          <w:u w:val="single"/>
          <w:shd w:val="clear" w:color="auto" w:fill="FFFFFF"/>
        </w:rPr>
        <w:t>Winter Capacity Cap</w:t>
      </w:r>
      <w:r>
        <w:rPr>
          <w:rStyle w:val="normaltextrun"/>
          <w:b/>
          <w:bCs/>
          <w:shd w:val="clear" w:color="auto" w:fill="FFFFFF"/>
        </w:rPr>
        <w:t>:</w:t>
      </w:r>
      <w:r>
        <w:rPr>
          <w:rStyle w:val="normaltextrun"/>
          <w:shd w:val="clear" w:color="auto" w:fill="FFFFFF"/>
        </w:rPr>
        <w:t xml:space="preserve"> Defined in, and determined in accordance with, Exhibit B (</w:t>
      </w:r>
      <w:r>
        <w:rPr>
          <w:rStyle w:val="normaltextrun"/>
          <w:i/>
          <w:shd w:val="clear" w:color="auto" w:fill="FFFFFF"/>
        </w:rPr>
        <w:t>Capacity; Capacity Payments and Payment Reductions; Buydown</w:t>
      </w:r>
      <w:r>
        <w:rPr>
          <w:rStyle w:val="normaltextrun"/>
          <w:shd w:val="clear" w:color="auto" w:fill="FFFFFF"/>
        </w:rPr>
        <w:t>), Section 1.1.A (</w:t>
      </w:r>
      <w:r>
        <w:rPr>
          <w:rStyle w:val="normaltextrun"/>
          <w:i/>
          <w:shd w:val="clear" w:color="auto" w:fill="FFFFFF"/>
        </w:rPr>
        <w:t>Contracted Capacity Cap</w:t>
      </w:r>
      <w:r>
        <w:rPr>
          <w:rStyle w:val="normaltextrun"/>
          <w:shd w:val="clear" w:color="auto" w:fill="FFFFFF"/>
        </w:rPr>
        <w:t>).</w:t>
      </w:r>
    </w:p>
    <w:p w:rsidR="000308D9" w:rsidP="00F46C76" w:rsidRDefault="000308D9" w14:paraId="2AEC7017" w14:textId="1D5E0DDA">
      <w:pPr>
        <w:pStyle w:val="Heading3"/>
        <w:rPr>
          <w:rStyle w:val="eop"/>
          <w:shd w:val="clear" w:color="auto" w:fill="FFFFFF"/>
        </w:rPr>
      </w:pPr>
      <w:r>
        <w:rPr>
          <w:rStyle w:val="normaltextrun"/>
          <w:b/>
          <w:bCs/>
          <w:u w:val="single"/>
          <w:shd w:val="clear" w:color="auto" w:fill="FFFFFF"/>
        </w:rPr>
        <w:t>Winter Capacity Range</w:t>
      </w:r>
      <w:r>
        <w:rPr>
          <w:rStyle w:val="normaltextrun"/>
          <w:b/>
          <w:bCs/>
          <w:shd w:val="clear" w:color="auto" w:fill="FFFFFF"/>
        </w:rPr>
        <w:t>:</w:t>
      </w:r>
      <w:r>
        <w:rPr>
          <w:rStyle w:val="eop"/>
          <w:shd w:val="clear" w:color="auto" w:fill="FFFFFF"/>
        </w:rPr>
        <w:t> </w:t>
      </w:r>
      <w:r>
        <w:rPr>
          <w:rStyle w:val="normaltextrun"/>
          <w:shd w:val="clear" w:color="auto" w:fill="FFFFFF"/>
        </w:rPr>
        <w:t>Defined in, and determined in accordance with, Exhibit B (</w:t>
      </w:r>
      <w:r>
        <w:rPr>
          <w:rStyle w:val="normaltextrun"/>
          <w:i/>
          <w:shd w:val="clear" w:color="auto" w:fill="FFFFFF"/>
        </w:rPr>
        <w:t>Capacity; Capacity Payments and Payment Reductions; Buydown</w:t>
      </w:r>
      <w:r>
        <w:rPr>
          <w:rStyle w:val="normaltextrun"/>
          <w:shd w:val="clear" w:color="auto" w:fill="FFFFFF"/>
        </w:rPr>
        <w:t>), Section 1.1.B (</w:t>
      </w:r>
      <w:r>
        <w:rPr>
          <w:rStyle w:val="normaltextrun"/>
          <w:i/>
          <w:shd w:val="clear" w:color="auto" w:fill="FFFFFF"/>
        </w:rPr>
        <w:t>Contracted Capacity Range</w:t>
      </w:r>
      <w:r>
        <w:rPr>
          <w:rStyle w:val="normaltextrun"/>
          <w:shd w:val="clear" w:color="auto" w:fill="FFFFFF"/>
        </w:rPr>
        <w:t>).</w:t>
      </w:r>
    </w:p>
    <w:p w:rsidRPr="0034257B" w:rsidR="00D96326" w:rsidP="004A5539" w:rsidRDefault="00D96326" w14:paraId="42009754" w14:textId="4BD56F63">
      <w:pPr>
        <w:pStyle w:val="zGNormal"/>
        <w:spacing w:after="120"/>
        <w:sectPr w:rsidRPr="0034257B" w:rsidR="00D96326" w:rsidSect="006B1C54">
          <w:headerReference w:type="default" r:id="rId19"/>
          <w:footerReference w:type="default" r:id="rId20"/>
          <w:pgSz w:w="12240" w:h="15840" w:code="1"/>
          <w:pgMar w:top="1080" w:right="1080" w:bottom="936" w:left="1224" w:header="432" w:footer="576" w:gutter="0"/>
          <w:cols w:space="720"/>
          <w:docGrid w:linePitch="360"/>
        </w:sectPr>
      </w:pPr>
    </w:p>
    <w:p w:rsidR="00291D4C" w:rsidP="00D96326" w:rsidRDefault="00D96326" w14:paraId="7DDA0A50" w14:textId="77777777">
      <w:pPr>
        <w:pStyle w:val="zGTitle14"/>
        <w:rPr>
          <w:color w:val="000000" w:themeColor="text1"/>
          <w:szCs w:val="28"/>
        </w:rPr>
      </w:pPr>
      <w:r>
        <w:rPr>
          <w:color w:val="000000" w:themeColor="text1"/>
          <w:szCs w:val="28"/>
        </w:rPr>
        <w:lastRenderedPageBreak/>
        <w:t xml:space="preserve">Power Purchase Agreement for </w:t>
      </w:r>
    </w:p>
    <w:p w:rsidR="00D96326" w:rsidP="00D96326" w:rsidRDefault="00D96326" w14:paraId="25A76B32" w14:textId="67DDD3E2">
      <w:pPr>
        <w:pStyle w:val="zGTitle14"/>
        <w:rPr>
          <w:color w:val="000000" w:themeColor="text1"/>
          <w:szCs w:val="28"/>
        </w:rPr>
      </w:pPr>
      <w:r>
        <w:rPr>
          <w:color w:val="000000" w:themeColor="text1"/>
          <w:szCs w:val="28"/>
        </w:rPr>
        <w:t xml:space="preserve">Firm Capacity, Firm Energy, and Ancillary Services </w:t>
      </w:r>
    </w:p>
    <w:p w:rsidR="00D96326" w:rsidP="00D96326" w:rsidRDefault="00D96326" w14:paraId="22C8331C" w14:textId="77777777">
      <w:pPr>
        <w:pStyle w:val="zGTitle14"/>
        <w:rPr>
          <w:color w:val="000000" w:themeColor="text1"/>
        </w:rPr>
      </w:pPr>
      <w:r>
        <w:rPr>
          <w:color w:val="000000" w:themeColor="text1"/>
        </w:rPr>
        <w:t xml:space="preserve">from a Combustion Turbine Facility </w:t>
      </w:r>
    </w:p>
    <w:p w:rsidR="00590FA3" w:rsidP="4ED06594" w:rsidRDefault="1D35BA75" w14:paraId="20EFF0BA" w14:textId="77777777">
      <w:pPr>
        <w:pStyle w:val="zGTitle14"/>
        <w:rPr>
          <w:color w:val="000000" w:themeColor="text1"/>
        </w:rPr>
      </w:pPr>
      <w:r>
        <w:rPr>
          <w:color w:val="000000" w:themeColor="text1"/>
        </w:rPr>
        <w:t xml:space="preserve">For 2026 All-Source Capacity Request for Proposals </w:t>
      </w:r>
    </w:p>
    <w:p w:rsidR="1D35BA75" w:rsidP="4ED06594" w:rsidRDefault="1D35BA75" w14:paraId="19016D81" w14:textId="3BF1EF25">
      <w:pPr>
        <w:pStyle w:val="zGTitle14"/>
        <w:rPr>
          <w:color w:val="000000" w:themeColor="text1"/>
        </w:rPr>
      </w:pPr>
      <w:r>
        <w:rPr>
          <w:color w:val="000000" w:themeColor="text1"/>
        </w:rPr>
        <w:t>for Need Years 2032</w:t>
      </w:r>
      <w:r>
        <w:rPr>
          <w:rFonts w:cs="Arial"/>
          <w:bCs/>
        </w:rPr>
        <w:t>–</w:t>
      </w:r>
      <w:r>
        <w:rPr>
          <w:color w:val="000000" w:themeColor="text1"/>
        </w:rPr>
        <w:t>2033</w:t>
      </w:r>
    </w:p>
    <w:p w:rsidR="00D96326" w:rsidP="00D96326" w:rsidRDefault="00D96326" w14:paraId="755D79C2" w14:textId="7EEEFC95">
      <w:pPr>
        <w:pStyle w:val="zGTitle14"/>
        <w:rPr>
          <w:color w:val="000000" w:themeColor="text1"/>
          <w:highlight w:val="yellow"/>
        </w:rPr>
      </w:pPr>
      <w:proofErr w:type="gramStart"/>
      <w:r>
        <w:t xml:space="preserve">at </w:t>
      </w:r>
      <w:r>
        <w:rPr>
          <w:color w:val="000000" w:themeColor="text1"/>
          <w:highlight w:val="yellow"/>
        </w:rPr>
        <w:t>(#FacilityName#)</w:t>
      </w:r>
      <w:proofErr w:type="gramEnd"/>
    </w:p>
    <w:p w:rsidR="00D96326" w:rsidP="00D96326" w:rsidRDefault="00D96326" w14:paraId="1E14F759" w14:textId="77777777">
      <w:pPr>
        <w:pStyle w:val="zGTitle14"/>
        <w:rPr>
          <w:color w:val="000000" w:themeColor="text1"/>
          <w:szCs w:val="28"/>
        </w:rPr>
      </w:pPr>
      <w:r>
        <w:rPr>
          <w:color w:val="000000" w:themeColor="text1"/>
          <w:szCs w:val="28"/>
        </w:rPr>
        <w:t xml:space="preserve">between Georgia Power </w:t>
      </w:r>
      <w:proofErr w:type="gramStart"/>
      <w:r>
        <w:rPr>
          <w:color w:val="000000" w:themeColor="text1"/>
          <w:szCs w:val="28"/>
        </w:rPr>
        <w:t>Company</w:t>
      </w:r>
      <w:proofErr w:type="gramEnd"/>
    </w:p>
    <w:p w:rsidR="00D96326" w:rsidP="00D96326" w:rsidRDefault="00D96326" w14:paraId="2561CC27" w14:textId="77777777">
      <w:pPr>
        <w:pStyle w:val="zGTitle14"/>
        <w:rPr>
          <w:color w:val="000000" w:themeColor="text1"/>
          <w:szCs w:val="28"/>
        </w:rPr>
      </w:pPr>
      <w:r>
        <w:rPr>
          <w:color w:val="000000" w:themeColor="text1"/>
          <w:szCs w:val="28"/>
        </w:rPr>
        <w:t xml:space="preserve">and </w:t>
      </w:r>
      <w:r>
        <w:rPr>
          <w:color w:val="000000" w:themeColor="text1"/>
          <w:szCs w:val="28"/>
          <w:highlight w:val="yellow"/>
        </w:rPr>
        <w:t>#SellerLegalName#</w:t>
      </w:r>
    </w:p>
    <w:p w:rsidR="00D96326" w:rsidP="00D96326" w:rsidRDefault="00D96326" w14:paraId="33E1BE33" w14:textId="77777777">
      <w:pPr>
        <w:pStyle w:val="zGTitle14"/>
        <w:spacing w:after="0"/>
        <w:rPr>
          <w:color w:val="000000" w:themeColor="text1"/>
          <w:sz w:val="20"/>
        </w:rPr>
      </w:pPr>
    </w:p>
    <w:p w:rsidRPr="006E0A0D" w:rsidR="00D96326" w:rsidP="00D96326" w:rsidRDefault="00FE0FD8" w14:paraId="764A6FAF" w14:textId="66C93A82">
      <w:pPr>
        <w:pStyle w:val="zGNormal6"/>
        <w:rPr>
          <w:rStyle w:val="eop"/>
          <w:shd w:val="clear" w:color="auto" w:fill="FFFFFF"/>
        </w:rPr>
      </w:pPr>
      <w:r>
        <w:rPr>
          <w:rStyle w:val="normaltextrun"/>
          <w:b/>
        </w:rPr>
        <w:t>Georgia Power Company</w:t>
      </w:r>
      <w:r>
        <w:rPr>
          <w:rStyle w:val="normaltextrun"/>
        </w:rPr>
        <w:t xml:space="preserve"> (“</w:t>
      </w:r>
      <w:r>
        <w:rPr>
          <w:rStyle w:val="normaltextrun"/>
          <w:b/>
        </w:rPr>
        <w:t>GPC</w:t>
      </w:r>
      <w:r>
        <w:rPr>
          <w:rStyle w:val="normaltextrun"/>
        </w:rPr>
        <w:t xml:space="preserve">”), a Georgia corporation, and </w:t>
      </w:r>
      <w:r>
        <w:rPr>
          <w:rStyle w:val="normaltextrun"/>
          <w:b/>
          <w:highlight w:val="yellow"/>
        </w:rPr>
        <w:t>#SellerLegalName#</w:t>
      </w:r>
      <w:r>
        <w:rPr>
          <w:rStyle w:val="normaltextrun"/>
          <w:b/>
        </w:rPr>
        <w:t xml:space="preserve"> </w:t>
      </w:r>
      <w:r>
        <w:rPr>
          <w:rStyle w:val="normaltextrun"/>
        </w:rPr>
        <w:t>(</w:t>
      </w:r>
      <w:r>
        <w:rPr>
          <w:rStyle w:val="normaltextrun"/>
          <w:b/>
        </w:rPr>
        <w:t>“Seller</w:t>
      </w:r>
      <w:r>
        <w:rPr>
          <w:rStyle w:val="normaltextrun"/>
          <w:bCs/>
        </w:rPr>
        <w:t>”)</w:t>
      </w:r>
      <w:r>
        <w:rPr>
          <w:rStyle w:val="normaltextrun"/>
        </w:rPr>
        <w:t xml:space="preserve"> enter into this </w:t>
      </w:r>
      <w:r>
        <w:rPr>
          <w:rStyle w:val="normaltextrun"/>
          <w:b/>
          <w:shd w:val="clear" w:color="auto" w:fill="FFFFFF"/>
        </w:rPr>
        <w:t>Power Purchase Agreement for Firm Capacity</w:t>
      </w:r>
      <w:r>
        <w:rPr>
          <w:rStyle w:val="normaltextrun"/>
          <w:b/>
          <w:bCs/>
          <w:shd w:val="clear" w:color="auto" w:fill="FFFFFF"/>
        </w:rPr>
        <w:t>, Firm Energy, and Ancillary Services from a Combustion Turbine Facility for 2026 All-Source Capacity Request for Proposals for Need Years 2032</w:t>
      </w:r>
      <w:r>
        <w:rPr>
          <w:b/>
        </w:rPr>
        <w:t>–</w:t>
      </w:r>
      <w:r>
        <w:rPr>
          <w:rStyle w:val="normaltextrun"/>
          <w:b/>
          <w:bCs/>
          <w:shd w:val="clear" w:color="auto" w:fill="FFFFFF"/>
        </w:rPr>
        <w:t>2033 at #</w:t>
      </w:r>
      <w:r>
        <w:rPr>
          <w:rStyle w:val="normaltextrun"/>
          <w:b/>
          <w:bCs/>
          <w:highlight w:val="yellow"/>
          <w:shd w:val="clear" w:color="auto" w:fill="FFFFFF"/>
        </w:rPr>
        <w:t>FacilityName</w:t>
      </w:r>
      <w:r>
        <w:rPr>
          <w:rStyle w:val="normaltextrun"/>
          <w:b/>
          <w:bCs/>
          <w:shd w:val="clear" w:color="auto" w:fill="FFFFFF"/>
        </w:rPr>
        <w:t xml:space="preserve"># </w:t>
      </w:r>
      <w:r>
        <w:rPr>
          <w:rStyle w:val="normaltextrun"/>
          <w:shd w:val="clear" w:color="auto" w:fill="FFFFFF"/>
        </w:rPr>
        <w:t>as of the Effective Date. GPC and Seller acknowledge:</w:t>
      </w:r>
      <w:r>
        <w:rPr>
          <w:rStyle w:val="eop"/>
          <w:shd w:val="clear" w:color="auto" w:fill="FFFFFF"/>
        </w:rPr>
        <w:t> </w:t>
      </w:r>
    </w:p>
    <w:p w:rsidRPr="006E0A0D" w:rsidR="00D96326" w:rsidP="00E62CF6" w:rsidRDefault="00D96326" w14:paraId="20AB7F84" w14:textId="4A2F3C1E">
      <w:pPr>
        <w:pStyle w:val="zGNormal6"/>
        <w:numPr>
          <w:ilvl w:val="0"/>
          <w:numId w:val="15"/>
        </w:numPr>
      </w:pPr>
      <w:r>
        <w:rPr>
          <w:rStyle w:val="normaltextrun"/>
        </w:rPr>
        <w:t xml:space="preserve">Seller desires to sell, and GPC desires to </w:t>
      </w:r>
      <w:proofErr w:type="gramStart"/>
      <w:r>
        <w:rPr>
          <w:rStyle w:val="normaltextrun"/>
        </w:rPr>
        <w:t>purchase,</w:t>
      </w:r>
      <w:proofErr w:type="gramEnd"/>
      <w:r>
        <w:rPr>
          <w:rStyle w:val="normaltextrun"/>
        </w:rPr>
        <w:t xml:space="preserve"> capacity and associated energy and Ancillary Services from the </w:t>
      </w:r>
      <w:r w:rsidR="00A27B04">
        <w:rPr>
          <w:rStyle w:val="normaltextrun"/>
        </w:rPr>
        <w:t>Facility</w:t>
      </w:r>
      <w:r>
        <w:rPr>
          <w:rStyle w:val="normaltextrun"/>
        </w:rPr>
        <w:t xml:space="preserve"> consistent with the Commission’s Orders in Docket Nos. 56002 and 56368; and</w:t>
      </w:r>
    </w:p>
    <w:p w:rsidRPr="006E0A0D" w:rsidR="00D96326" w:rsidP="00E62CF6" w:rsidRDefault="00D96326" w14:paraId="6E47B701" w14:textId="7B6A5966">
      <w:pPr>
        <w:pStyle w:val="zGNormal6"/>
        <w:numPr>
          <w:ilvl w:val="0"/>
          <w:numId w:val="15"/>
        </w:numPr>
        <w:rPr>
          <w:rStyle w:val="normaltextrun"/>
        </w:rPr>
      </w:pPr>
      <w:r>
        <w:rPr>
          <w:rStyle w:val="normaltextrun"/>
        </w:rPr>
        <w:t xml:space="preserve">The Parties desire to set forth the terms and conditions upon which the sale and purchase of capacity and associated energy and Ancillary Services may be conducted between the Parties. </w:t>
      </w:r>
    </w:p>
    <w:p w:rsidRPr="006E0A0D" w:rsidR="00D96326" w:rsidP="00D96326" w:rsidRDefault="00D96326" w14:paraId="50448937" w14:textId="77777777">
      <w:pPr>
        <w:pStyle w:val="zGNormal6"/>
      </w:pPr>
      <w:r>
        <w:rPr>
          <w:rStyle w:val="normaltextrun"/>
        </w:rPr>
        <w:t xml:space="preserve">In consideration of the mutual promises described in this PPA, and other good and valuable </w:t>
      </w:r>
      <w:proofErr w:type="gramStart"/>
      <w:r>
        <w:rPr>
          <w:rStyle w:val="normaltextrun"/>
        </w:rPr>
        <w:t>consideration</w:t>
      </w:r>
      <w:proofErr w:type="gramEnd"/>
      <w:r>
        <w:rPr>
          <w:rStyle w:val="normaltextrun"/>
        </w:rPr>
        <w:t>, the receipt, adequacy, and sufficiency of which each Party acknowledges, and intending to be legally bound, the Parties agree: </w:t>
      </w:r>
      <w:r>
        <w:rPr>
          <w:rStyle w:val="eop"/>
        </w:rPr>
        <w:t> </w:t>
      </w:r>
    </w:p>
    <w:p w:rsidRPr="006E0A0D" w:rsidR="00D96326" w:rsidP="00D96326" w:rsidRDefault="00D96326" w14:paraId="7050D387" w14:textId="77777777">
      <w:pPr>
        <w:pStyle w:val="zGTC01"/>
        <w:rPr>
          <w:rFonts w:ascii="Arial" w:hAnsi="Arial"/>
          <w:szCs w:val="20"/>
        </w:rPr>
      </w:pPr>
      <w:bookmarkStart w:name="_Toc212475635" w:id="29"/>
      <w:bookmarkStart w:name="_Toc227838333" w:id="30"/>
      <w:r>
        <w:rPr>
          <w:rFonts w:ascii="Arial" w:hAnsi="Arial"/>
          <w:szCs w:val="20"/>
        </w:rPr>
        <w:t>Term of Agreement</w:t>
      </w:r>
      <w:bookmarkEnd w:id="29"/>
      <w:bookmarkEnd w:id="30"/>
    </w:p>
    <w:p w:rsidRPr="006E0A0D" w:rsidR="00D96326" w:rsidP="00D96326" w:rsidRDefault="00D96326" w14:paraId="67CFC5FF" w14:textId="77777777">
      <w:pPr>
        <w:pStyle w:val="zGTC02"/>
        <w:rPr>
          <w:rFonts w:ascii="Arial" w:hAnsi="Arial" w:eastAsia="PMingLiU" w:cs="Arial"/>
          <w:vanish/>
          <w:szCs w:val="20"/>
          <w:specVanish/>
        </w:rPr>
      </w:pPr>
      <w:bookmarkStart w:name="_Toc212475636" w:id="31"/>
      <w:bookmarkStart w:name="_Toc227838334" w:id="32"/>
      <w:r>
        <w:rPr>
          <w:rFonts w:ascii="Arial" w:hAnsi="Arial" w:cs="Arial"/>
          <w:szCs w:val="20"/>
        </w:rPr>
        <w:t>Term.</w:t>
      </w:r>
      <w:bookmarkEnd w:id="31"/>
      <w:bookmarkEnd w:id="32"/>
    </w:p>
    <w:p w:rsidRPr="006E0A0D" w:rsidR="00D96326" w:rsidP="00D96326" w:rsidRDefault="00D96326" w14:paraId="28EBAD77" w14:textId="2BEDFBA1">
      <w:pPr>
        <w:pStyle w:val="zGNormal"/>
      </w:pPr>
      <w:r>
        <w:t xml:space="preserve"> Subject to applicable law and any earlier termination as permitted in this PPA, this PPA becomes effective on the Effective Date and continues for </w:t>
      </w:r>
      <w:bookmarkStart w:name="_Hlk19710508" w:id="33"/>
      <w:r>
        <w:t>the Term.</w:t>
      </w:r>
      <w:bookmarkEnd w:id="33"/>
    </w:p>
    <w:p w:rsidRPr="006E0A0D" w:rsidR="00D96326" w:rsidP="00D96326" w:rsidRDefault="00D96326" w14:paraId="746A824C" w14:textId="77777777">
      <w:pPr>
        <w:pStyle w:val="zGTC02"/>
        <w:rPr>
          <w:rFonts w:ascii="Arial" w:hAnsi="Arial" w:eastAsia="PMingLiU" w:cs="Arial"/>
          <w:vanish/>
          <w:szCs w:val="20"/>
          <w:specVanish/>
        </w:rPr>
      </w:pPr>
      <w:bookmarkStart w:name="_Toc212475637" w:id="34"/>
      <w:bookmarkStart w:name="_Toc227838335" w:id="35"/>
      <w:r>
        <w:rPr>
          <w:rFonts w:ascii="Arial" w:hAnsi="Arial" w:cs="Arial"/>
          <w:szCs w:val="20"/>
        </w:rPr>
        <w:t>Survival.</w:t>
      </w:r>
      <w:bookmarkEnd w:id="34"/>
      <w:bookmarkEnd w:id="35"/>
    </w:p>
    <w:p w:rsidRPr="006E0A0D" w:rsidR="00D96326" w:rsidP="00D96326" w:rsidRDefault="00D96326" w14:paraId="3515962C" w14:textId="77777777">
      <w:pPr>
        <w:pStyle w:val="zGNormal"/>
      </w:pPr>
      <w:r>
        <w:t xml:space="preserve"> PPA provisions that </w:t>
      </w:r>
      <w:r>
        <w:rPr>
          <w:rFonts w:eastAsia="Times New Roman"/>
        </w:rPr>
        <w:t xml:space="preserve">by their nature or context should apply beyond PPA expiration, suspension, cancelation, completion, or termination, </w:t>
      </w:r>
      <w:r>
        <w:t>or after transfer, assignment, novation, merger, or other entity change,</w:t>
      </w:r>
      <w:r>
        <w:rPr>
          <w:rFonts w:eastAsia="Times New Roman"/>
        </w:rPr>
        <w:t xml:space="preserve"> will survive per applicable law or PPA terms, including all provisions of this PPA that must survive to give effect to the rights and obligations of the Parties. Expiration</w:t>
      </w:r>
      <w:r>
        <w:t xml:space="preserve"> or termination of this PPA will</w:t>
      </w:r>
      <w:r>
        <w:rPr>
          <w:rFonts w:eastAsia="Times New Roman"/>
        </w:rPr>
        <w:t xml:space="preserve"> not relieve either Party of its liabilities or obligations that accrue before or at termination, and those liabilities and obligations will survive PPA termination</w:t>
      </w:r>
      <w:r>
        <w:t>.</w:t>
      </w:r>
    </w:p>
    <w:p w:rsidRPr="006E0A0D" w:rsidR="00D96326" w:rsidP="00D96326" w:rsidRDefault="00D96326" w14:paraId="182ED381" w14:textId="07B41028">
      <w:pPr>
        <w:pStyle w:val="zGTC02"/>
        <w:rPr>
          <w:rFonts w:ascii="Arial" w:hAnsi="Arial" w:eastAsia="PMingLiU" w:cs="Arial"/>
          <w:specVanish/>
        </w:rPr>
      </w:pPr>
      <w:bookmarkStart w:name="_Toc212475638" w:id="36"/>
      <w:bookmarkStart w:name="_Toc227838336" w:id="37"/>
      <w:r>
        <w:rPr>
          <w:rFonts w:ascii="Arial" w:hAnsi="Arial" w:cs="Arial"/>
        </w:rPr>
        <w:t>Conditions Subsequent.</w:t>
      </w:r>
      <w:bookmarkEnd w:id="36"/>
      <w:bookmarkEnd w:id="37"/>
    </w:p>
    <w:p w:rsidRPr="006E0A0D" w:rsidR="00D96326" w:rsidP="00D96326" w:rsidRDefault="6FE6065A" w14:paraId="5774B435" w14:textId="2E570955">
      <w:pPr>
        <w:pStyle w:val="zGNormal"/>
        <w:rPr>
          <w:b/>
          <w:caps/>
        </w:rPr>
      </w:pPr>
      <w:r>
        <w:t>This PPA is subject to termination for failure of any of the following conditions:</w:t>
      </w:r>
    </w:p>
    <w:p w:rsidRPr="006E0A0D" w:rsidR="00D96326" w:rsidP="00E1478F" w:rsidRDefault="00D96326" w14:paraId="333245DF" w14:textId="43E80E84">
      <w:pPr>
        <w:pStyle w:val="zGTC03"/>
      </w:pPr>
      <w:r>
        <w:rPr>
          <w:b/>
          <w:bCs/>
        </w:rPr>
        <w:t>FERC Delay or Rejection.</w:t>
      </w:r>
      <w:r>
        <w:t xml:space="preserve"> If FERC acceptance of this PPA is required by applicable law, and if: (a) FERC issues a valid order rejecting this PPA; or (b) FERC fails to take action or takes action that, in either case, has the effect of delaying the date when FERC will issue an order accepting this PPA to a date beyond 285 Days after the Commission Certificate, then in the case of (a) or (b) the Parties will meet no later than 10 Business Days </w:t>
      </w:r>
      <w:r w:rsidR="0082168F">
        <w:t xml:space="preserve">after </w:t>
      </w:r>
      <w:r>
        <w:t>the date of the order or the date that is 285 Days after the Commission Certificate, as applicable, to negotiate amendments to this PPA, an extension of time for FERC to accept this PPA beyond 285 Days from the granting of a Commission Certificate, or other appropriate measure, so that this PPA, as amended or taking into account the appropriate measure, is legal and fully enforceable without materially increasing the risks for either Party or adversely affecting the value of the economic bargain to either Party contemplated by this PPA in its original form.</w:t>
      </w:r>
    </w:p>
    <w:p w:rsidRPr="006E0A0D" w:rsidR="00D96326" w:rsidP="00D96326" w:rsidRDefault="00D96326" w14:paraId="2AAF5614" w14:textId="11222BC9">
      <w:pPr>
        <w:pStyle w:val="zGTC04"/>
        <w:rPr>
          <w:rFonts w:cs="Arial"/>
          <w:szCs w:val="20"/>
        </w:rPr>
      </w:pPr>
      <w:r>
        <w:rPr>
          <w:rFonts w:cs="Arial"/>
          <w:szCs w:val="20"/>
        </w:rPr>
        <w:t xml:space="preserve">If the Parties are unable to negotiate any acceptable amendment, or other appropriate measure, then either Party may terminate this PPA upon notice to the other Party, so long as such </w:t>
      </w:r>
      <w:r>
        <w:rPr>
          <w:rFonts w:cs="Arial"/>
          <w:szCs w:val="20"/>
        </w:rPr>
        <w:lastRenderedPageBreak/>
        <w:t>notice is delivered to the non-terminating Party no later than 30 Days after 285 Days from the granting of a Commission Certificate. In no event will this termination right be available to the Parties, and a Party will be deemed to have waived its termination right, absent receipt of notice by the non-terminating Party before the expiration of the 30-Day period.</w:t>
      </w:r>
      <w:r w:rsidR="00C5765D">
        <w:rPr>
          <w:rFonts w:cs="Arial"/>
          <w:szCs w:val="20"/>
        </w:rPr>
        <w:t xml:space="preserve"> </w:t>
      </w:r>
      <w:r w:rsidR="00C5765D">
        <w:rPr>
          <w:rFonts w:cs="Arial"/>
        </w:rPr>
        <w:t>Upon termination in accordance with this Section 1.3.1</w:t>
      </w:r>
      <w:r w:rsidR="00E04E72">
        <w:rPr>
          <w:rFonts w:cs="Arial"/>
        </w:rPr>
        <w:t xml:space="preserve"> (</w:t>
      </w:r>
      <w:r w:rsidRPr="00E04E72" w:rsidR="00E04E72">
        <w:rPr>
          <w:rFonts w:cs="Arial"/>
          <w:i/>
          <w:iCs/>
        </w:rPr>
        <w:t>FERC Delay or Rejection</w:t>
      </w:r>
      <w:r w:rsidR="00E04E72">
        <w:rPr>
          <w:rFonts w:cs="Arial"/>
        </w:rPr>
        <w:t>)</w:t>
      </w:r>
      <w:r w:rsidR="00C5765D">
        <w:rPr>
          <w:rFonts w:cs="Arial"/>
        </w:rPr>
        <w:t>, neither Party will have any liability to the other Party under this PPA, and GPC will return to Seller the Eligible Collateral then held by GPC.</w:t>
      </w:r>
    </w:p>
    <w:p w:rsidRPr="006E0A0D" w:rsidR="00D96326" w:rsidP="0082266A" w:rsidRDefault="7D59EF01" w14:paraId="72C5670A" w14:textId="16A0CFFE">
      <w:pPr>
        <w:pStyle w:val="zGTC03"/>
        <w:spacing w:after="0"/>
        <w:ind w:left="648"/>
      </w:pPr>
      <w:r>
        <w:rPr>
          <w:b/>
          <w:bCs/>
        </w:rPr>
        <w:t xml:space="preserve"> FERC Acceptance with Modification.</w:t>
      </w:r>
      <w:r>
        <w:t xml:space="preserve"> Despite the preceding provisions, if, before 285 Days after the granting of a Commission Certificate, FERC issues a valid order accepting this PPA subject to material modification or condition(s), including acceptance subject to refund following an administrative proceeding, then the adversely affected Party or Parties (as applicable) will have the right to terminate this PPA if the material modification or condition(s) are not acceptable. By no later than 15 Days after the issuance date of a FERC order, Seller must provide GPC with a copy of the FERC order, along with notice of whether the FERC order is subject to material modification or condition(s) that adversely affect Seller and, if so, whether the material modification or condition(s) are acceptable to Seller. If Seller fails to provide the notice before the</w:t>
      </w:r>
      <w:r>
        <w:rPr>
          <w:vertAlign w:val="superscript"/>
        </w:rPr>
        <w:t xml:space="preserve"> </w:t>
      </w:r>
      <w:r>
        <w:t>15</w:t>
      </w:r>
      <w:r>
        <w:rPr>
          <w:vertAlign w:val="superscript"/>
        </w:rPr>
        <w:t>th</w:t>
      </w:r>
      <w:r>
        <w:t xml:space="preserve"> Day, then Seller will be deemed to have accepted any FERC order accepting this PPA subject to material modification or </w:t>
      </w:r>
      <w:proofErr w:type="gramStart"/>
      <w:r>
        <w:t>condition</w:t>
      </w:r>
      <w:proofErr w:type="gramEnd"/>
      <w:r>
        <w:t xml:space="preserve">(s). </w:t>
      </w:r>
    </w:p>
    <w:p w:rsidRPr="006E0A0D" w:rsidR="00D96326" w:rsidP="0082266A" w:rsidRDefault="00D96326" w14:paraId="1A0EE3F2" w14:textId="32580E5A">
      <w:pPr>
        <w:pStyle w:val="zGTC04"/>
        <w:spacing w:after="0"/>
      </w:pPr>
      <w:r>
        <w:t xml:space="preserve">By no later than 15 Days </w:t>
      </w:r>
      <w:r w:rsidR="007F4E9A">
        <w:t>after</w:t>
      </w:r>
      <w:r>
        <w:t xml:space="preserve"> the receipt date of a copy of the FERC order from Seller, GPC will provide Seller with notice of whether the FERC order is subject to material modification or condition(s) that adversely affect GPC and, if so, whether such material modification or condition(s) are acceptable to GPC. If GPC does not provide the notice before the 15</w:t>
      </w:r>
      <w:r>
        <w:rPr>
          <w:vertAlign w:val="superscript"/>
        </w:rPr>
        <w:t>th</w:t>
      </w:r>
      <w:r>
        <w:t xml:space="preserve"> Day, then GPC will be deemed to have accepted the FERC order accepting this PPA subject to material modification or </w:t>
      </w:r>
      <w:proofErr w:type="gramStart"/>
      <w:r>
        <w:t>condition</w:t>
      </w:r>
      <w:proofErr w:type="gramEnd"/>
      <w:r>
        <w:t xml:space="preserve">(s). </w:t>
      </w:r>
    </w:p>
    <w:p w:rsidRPr="006E0A0D" w:rsidR="0082266A" w:rsidP="0082266A" w:rsidRDefault="004A0345" w14:paraId="484B7163" w14:textId="79D1BD38">
      <w:pPr>
        <w:pStyle w:val="zGTC04"/>
        <w:spacing w:after="0"/>
      </w:pPr>
      <w:r>
        <w:t xml:space="preserve">If either Party provides notice that such material modification or condition(s) are not acceptable, then the Parties will meet no later than 10 Business Days following the date of the notice to negotiate an amendment to this PPA, or other appropriate measure, so that this PPA, as amended or taking into account </w:t>
      </w:r>
      <w:r w:rsidR="00534031">
        <w:t>any</w:t>
      </w:r>
      <w:r>
        <w:t xml:space="preserve"> other appropriate measure, is legal and fully enforceable without materially increasing the risks for either Party or adversely affecting the value of the economic bargain to either Party contemplated by this PPA in its original form. If the Parties are unable to negotiate any acceptable amendment, or other appropriate measure, then the Party who delivers the notice will have the right to terminate this PPA upon notice to the other Party, so long as the notice is delivered no later than 30 Days after the 285 Days from the granting of a Commission Certificate. Upon termination in accordance with this Section 1.3.2 (</w:t>
      </w:r>
      <w:r>
        <w:rPr>
          <w:i/>
          <w:iCs/>
        </w:rPr>
        <w:t>FERC Acceptance with Modification</w:t>
      </w:r>
      <w:r>
        <w:t>), neither Party will have any liability to the other Party under this PPA, and GPC will return to Seller the Eligible Collateral then held by GPC.</w:t>
      </w:r>
    </w:p>
    <w:p w:rsidRPr="006E0A0D" w:rsidR="00D96326" w:rsidP="001D7EA6" w:rsidRDefault="28B4AB41" w14:paraId="5453E596" w14:textId="4ECCAE1A">
      <w:pPr>
        <w:pStyle w:val="zGTC03"/>
        <w:spacing w:after="0"/>
        <w:ind w:left="648"/>
        <w:rPr>
          <w:rFonts w:cs="Arial"/>
        </w:rPr>
      </w:pPr>
      <w:r>
        <w:rPr>
          <w:rFonts w:cs="Arial"/>
          <w:b/>
          <w:bCs/>
        </w:rPr>
        <w:t xml:space="preserve"> </w:t>
      </w:r>
      <w:r>
        <w:rPr>
          <w:rFonts w:cs="Arial"/>
          <w:b/>
        </w:rPr>
        <w:t xml:space="preserve">Commission Certificate Target Date Conditions. </w:t>
      </w:r>
    </w:p>
    <w:p w:rsidRPr="006E0A0D" w:rsidR="00D96326" w:rsidP="000A2525" w:rsidRDefault="00D96326" w14:paraId="319B9C7C" w14:textId="1E54B870">
      <w:pPr>
        <w:pStyle w:val="zGTC04"/>
        <w:spacing w:after="0" w:line="259" w:lineRule="auto"/>
      </w:pPr>
      <w:r>
        <w:rPr>
          <w:b/>
          <w:bCs/>
        </w:rPr>
        <w:t xml:space="preserve">Initial Termination Rights for Commission Certificate Target Conditions. </w:t>
      </w:r>
      <w:r>
        <w:t>If: (a) after the Commission Certificate Target Date the Commission has not approved this PPA through a Commission Certificate; or (b) the Commission has issued a Commission Certificate that is subject to material qualification or condition(s) that adversely affect GPC or Seller, then (x) in the case of clause (a), either Party</w:t>
      </w:r>
      <w:r>
        <w:rPr>
          <w:b/>
          <w:bCs/>
        </w:rPr>
        <w:t xml:space="preserve"> </w:t>
      </w:r>
      <w:r>
        <w:t>may terminate this PPA upon notice to the other Party, so long as the notice is delivered to the other Party</w:t>
      </w:r>
      <w:r>
        <w:rPr>
          <w:b/>
          <w:bCs/>
        </w:rPr>
        <w:t xml:space="preserve"> </w:t>
      </w:r>
      <w:r>
        <w:t xml:space="preserve">by no later than 30 Days after the Commission Certificate Target Date; or (y) in the case of clause (b), the Party or Parties (as applicable) that is or are adversely affected by the Commission Certificate may terminate this PPA upon notice to the other Party, so long as the notice is delivered by no later than 30 Days after the date the Commission issued the Commission Certificate that is subject to material qualification or condition(s) that adversely affects such Party or Parties (as applicable). </w:t>
      </w:r>
      <w:r>
        <w:rPr>
          <w:rFonts w:cs="Arial"/>
        </w:rPr>
        <w:t>If Commission certification is delayed for reasons not attributable to Seller and GPC does not elect to terminate this PPA, Seller will be entitled to an RCOD extension.</w:t>
      </w:r>
    </w:p>
    <w:p w:rsidRPr="006E0A0D" w:rsidR="00D96326" w:rsidP="001D7EA6" w:rsidRDefault="00D96326" w14:paraId="39CF1797" w14:textId="510DB925">
      <w:pPr>
        <w:pStyle w:val="zGTC04"/>
        <w:spacing w:after="0"/>
      </w:pPr>
      <w:r>
        <w:rPr>
          <w:b/>
          <w:bCs/>
        </w:rPr>
        <w:t xml:space="preserve">Motion to Reconsider or Appeal; Extended PPA Termination Rights for Commission Certificate Target Conditions. </w:t>
      </w:r>
      <w:r>
        <w:t xml:space="preserve">If, within 30 Days after the issuance of the Commission Certificate or an order denying a Commission Certificate, </w:t>
      </w:r>
      <w:r w:rsidR="00217986">
        <w:t>any Person</w:t>
      </w:r>
      <w:r w:rsidR="00051ACF">
        <w:t xml:space="preserve"> </w:t>
      </w:r>
      <w:r>
        <w:t xml:space="preserve">files a motion to reconsider with the Commission or an appeal with Fulton County Superior Court regarding the issuance or denial of the Commission Certificate, then either Party may terminate this PPA upon notice to the other </w:t>
      </w:r>
      <w:r>
        <w:lastRenderedPageBreak/>
        <w:t xml:space="preserve">Party, so long as the notice is delivered to the other Party no later than 80 Days after the Commission Certificate Target Date; </w:t>
      </w:r>
      <w:r w:rsidR="008B636F">
        <w:t>however, Seller will not have a termination right under this Section 1.3.3(ii) (</w:t>
      </w:r>
      <w:r w:rsidRPr="00A61C3A" w:rsidR="008B636F">
        <w:rPr>
          <w:i/>
          <w:iCs/>
        </w:rPr>
        <w:t>Motion to Reconsider or Appeal; Extended PPA Termination Rights for Commission Certificate Target Conditions</w:t>
      </w:r>
      <w:r w:rsidR="008B636F">
        <w:t>) so long as the Commission Certificate remains in effect with respect to this PPA or this PPA otherwise remains certified.</w:t>
      </w:r>
      <w:r w:rsidDel="00F152A2" w:rsidR="008B636F">
        <w:t xml:space="preserve"> </w:t>
      </w:r>
    </w:p>
    <w:p w:rsidRPr="006E0A0D" w:rsidR="00D96326" w:rsidP="001D7EA6" w:rsidRDefault="00D96326" w14:paraId="58C8CDD3" w14:textId="55B6F081">
      <w:pPr>
        <w:pStyle w:val="zGTC04"/>
        <w:spacing w:after="0"/>
      </w:pPr>
      <w:r>
        <w:rPr>
          <w:b/>
        </w:rPr>
        <w:t xml:space="preserve">Waiver of PPA Termination Right. </w:t>
      </w:r>
      <w:r>
        <w:t>If, within the applicable notice period, a Party does not exercise its termination right in accordance with this Section 1.3.3 (</w:t>
      </w:r>
      <w:r>
        <w:rPr>
          <w:i/>
        </w:rPr>
        <w:t>Commission Certificate Target Date Conditions</w:t>
      </w:r>
      <w:r>
        <w:t>), then the Party will be deemed to have waived the termination right.</w:t>
      </w:r>
    </w:p>
    <w:p w:rsidRPr="006E0A0D" w:rsidR="001D7EA6" w:rsidP="001D7EA6" w:rsidRDefault="001D7EA6" w14:paraId="2A8D0CEB" w14:textId="21CB6BD5">
      <w:pPr>
        <w:pStyle w:val="zGTC04"/>
        <w:spacing w:after="0"/>
      </w:pPr>
      <w:r>
        <w:rPr>
          <w:b/>
          <w:bCs/>
        </w:rPr>
        <w:t xml:space="preserve">Obligations following PPA Termination. </w:t>
      </w:r>
      <w:r>
        <w:t>Upon PPA termination in accordance with this Section 1.3.3: (</w:t>
      </w:r>
      <w:r>
        <w:rPr>
          <w:i/>
        </w:rPr>
        <w:t>Commission Certificate Target Date Conditions</w:t>
      </w:r>
      <w:r>
        <w:t>) (a) neither Party will have any further liability to the other Party under this PPA; and (b) GPC will promptly return to Seller any unused portion of Performance Security</w:t>
      </w:r>
      <w:r w:rsidR="00F87C2F">
        <w:t>, if applicable</w:t>
      </w:r>
      <w:r>
        <w:t>.</w:t>
      </w:r>
    </w:p>
    <w:p w:rsidRPr="006E0A0D" w:rsidR="00D96326" w:rsidP="00E1478F" w:rsidRDefault="00D96326" w14:paraId="0035511E" w14:textId="1684AAFE">
      <w:pPr>
        <w:pStyle w:val="zGTC03"/>
      </w:pPr>
      <w:r>
        <w:rPr>
          <w:b/>
          <w:bCs/>
        </w:rPr>
        <w:t>Revocation, Qualifications, or Conditions.</w:t>
      </w:r>
      <w:r>
        <w:t xml:space="preserve"> Despite Section 1.3.3 (</w:t>
      </w:r>
      <w:r>
        <w:rPr>
          <w:i/>
          <w:iCs/>
        </w:rPr>
        <w:t>Commission Certificate Target Date Conditions</w:t>
      </w:r>
      <w:r>
        <w:t>), if, at any time during the Term, the Commission issues an amendment to the Commission Certificate regarding this PPA (“</w:t>
      </w:r>
      <w:r>
        <w:rPr>
          <w:b/>
        </w:rPr>
        <w:t>Amended Commission Certificate</w:t>
      </w:r>
      <w:r>
        <w:t xml:space="preserve">”) that </w:t>
      </w:r>
      <w:r w:rsidR="005D77EC">
        <w:t xml:space="preserve">revokes the Commission Certificate or </w:t>
      </w:r>
      <w:r>
        <w:t xml:space="preserve">imposes a material qualification or condition that adversely affects either Party and that is not acceptable to the affected Party, </w:t>
      </w:r>
      <w:r w:rsidR="00DA0C22">
        <w:t>the affected</w:t>
      </w:r>
      <w:r>
        <w:t xml:space="preserve"> Party will have the right to terminate this PPA, unless GPC and Seller agree to amend </w:t>
      </w:r>
      <w:r w:rsidR="005D207B">
        <w:t xml:space="preserve">this PPA </w:t>
      </w:r>
      <w:r>
        <w:t>in accordance with Section 1.3.6 (</w:t>
      </w:r>
      <w:r>
        <w:rPr>
          <w:i/>
          <w:iCs/>
        </w:rPr>
        <w:t>PPA Amendment</w:t>
      </w:r>
      <w:r>
        <w:t xml:space="preserve">). Within 15 Days after the issuance of the Amended Commission Certificate, </w:t>
      </w:r>
      <w:r w:rsidR="005A54AE">
        <w:t>each Party</w:t>
      </w:r>
      <w:r w:rsidR="00C91278">
        <w:t xml:space="preserve"> must</w:t>
      </w:r>
      <w:r>
        <w:t xml:space="preserve"> provide </w:t>
      </w:r>
      <w:r w:rsidR="00C91278">
        <w:t xml:space="preserve">the other Party </w:t>
      </w:r>
      <w:r>
        <w:t xml:space="preserve">with notice of whether the Amended Commission Certificate is subject to material qualification or condition and, if so, whether the material qualification or condition is acceptable. If </w:t>
      </w:r>
      <w:r w:rsidR="00476DDF">
        <w:t xml:space="preserve">a Party </w:t>
      </w:r>
      <w:r>
        <w:t xml:space="preserve">does not provide notice within the 15-Day period, the Amended Commission Certificate will be deemed to be acceptable to </w:t>
      </w:r>
      <w:r w:rsidR="00476DDF">
        <w:t>that Party</w:t>
      </w:r>
      <w:r>
        <w:t>. Upon a termination in accordance with this Section 1.3.4 (</w:t>
      </w:r>
      <w:r>
        <w:rPr>
          <w:i/>
          <w:iCs/>
        </w:rPr>
        <w:t>Revocation, Qualifications, or Conditions</w:t>
      </w:r>
      <w:r>
        <w:t>): (</w:t>
      </w:r>
      <w:proofErr w:type="spellStart"/>
      <w:r>
        <w:t>i</w:t>
      </w:r>
      <w:proofErr w:type="spellEnd"/>
      <w:r>
        <w:t>) neither Party will have any further liability to the other Party under this PPA; and (ii) GPC will promptly return to Seller any unused portion of Performance Security</w:t>
      </w:r>
      <w:r w:rsidR="005D207B">
        <w:t>, if applicable</w:t>
      </w:r>
      <w:r>
        <w:t xml:space="preserve">. </w:t>
      </w:r>
    </w:p>
    <w:p w:rsidRPr="006E0A0D" w:rsidR="00D96326" w:rsidP="00E1478F" w:rsidRDefault="00D96326" w14:paraId="187592CA" w14:textId="77777777">
      <w:pPr>
        <w:pStyle w:val="zGTC03"/>
      </w:pPr>
      <w:r>
        <w:rPr>
          <w:b/>
          <w:bCs/>
        </w:rPr>
        <w:t xml:space="preserve">Change in Economic Circumstances or Market Conditions. </w:t>
      </w:r>
      <w:r>
        <w:t>Despite any other provision in this PPA, and so long as it is not required by Commission Rule 515-3-4.08, neither Party will seek to have the Commission revoke the Commission Certificate of its own initiative for reasons solely related to changed economic circumstances or market conditions affecting this PPA.</w:t>
      </w:r>
    </w:p>
    <w:p w:rsidRPr="006E0A0D" w:rsidR="00D96326" w:rsidP="00E1478F" w:rsidRDefault="00D96326" w14:paraId="5D007DCF" w14:textId="0A710522">
      <w:pPr>
        <w:pStyle w:val="zGTC03"/>
      </w:pPr>
      <w:r>
        <w:rPr>
          <w:b/>
          <w:bCs/>
        </w:rPr>
        <w:t>PPA Amendment.</w:t>
      </w:r>
      <w:r>
        <w:t xml:space="preserve"> If the Commission issues an Order approving this PPA with any modification or condition, or issues an Amended Commission Certificate, as applicable, this PPA will not be amended to include the modification or condition unless the Parties execute a written amendment agreeing to the modification or condition. If GPC requests, within 30 Days after issuance of the Order, that Seller execute a written amendment agreeing to the modification or condition, and Seller does not execute the written amendment by no later than 30 Days after the date of GPC</w:t>
      </w:r>
      <w:r w:rsidR="00D70CAF">
        <w:t>’s</w:t>
      </w:r>
      <w:r>
        <w:t xml:space="preserve"> request, GPC may terminate this PPA. Upon termination of this PPA in accordance with this Section 1.3.6 (</w:t>
      </w:r>
      <w:r>
        <w:rPr>
          <w:i/>
          <w:iCs/>
        </w:rPr>
        <w:t>PPA Amendment</w:t>
      </w:r>
      <w:r>
        <w:t>): (</w:t>
      </w:r>
      <w:proofErr w:type="spellStart"/>
      <w:r>
        <w:t>i</w:t>
      </w:r>
      <w:proofErr w:type="spellEnd"/>
      <w:r>
        <w:t>) GPC will promptly return to Seller any unused portion of the Performance Security</w:t>
      </w:r>
      <w:r w:rsidR="00D70CAF">
        <w:t>, if applicable</w:t>
      </w:r>
      <w:r>
        <w:t>; and (ii) neither Party will have any further obligation to the other Party under this PPA.</w:t>
      </w:r>
    </w:p>
    <w:p w:rsidRPr="00FB6026" w:rsidR="001F6006" w:rsidP="00E62CF6" w:rsidRDefault="008F24EA" w14:paraId="17A65AB6" w14:textId="4172ECA8">
      <w:pPr>
        <w:pStyle w:val="zGTC03"/>
      </w:pPr>
      <w:r w:rsidRPr="001F6006">
        <w:rPr>
          <w:b/>
          <w:bCs/>
        </w:rPr>
        <w:t>Payment of Winner’s Fee.</w:t>
      </w:r>
      <w:r>
        <w:t xml:space="preserve"> Af</w:t>
      </w:r>
      <w:r w:rsidR="001F6006">
        <w:t>ter</w:t>
      </w:r>
      <w:r w:rsidRPr="001F6006" w:rsidR="001F6006">
        <w:t xml:space="preserve"> </w:t>
      </w:r>
      <w:r w:rsidRPr="00FB6026" w:rsidR="001F6006">
        <w:t xml:space="preserve">the Commission approves this PPA through a Commission Certificate, </w:t>
      </w:r>
      <w:r w:rsidR="001F6006">
        <w:t>GPC will calculate the winner’s fee owed by Seller per the terms of GPC’s 2026 All-Source Capacity Request for Proposals for Need Years 2032 - 2033 and notify Seller of the amount. Seller must pay the winner’s fee to GPC: (</w:t>
      </w:r>
      <w:proofErr w:type="spellStart"/>
      <w:r w:rsidR="001F6006">
        <w:t>i</w:t>
      </w:r>
      <w:proofErr w:type="spellEnd"/>
      <w:r w:rsidR="001F6006">
        <w:t xml:space="preserve">) within 10 Days after receipt of GPC’s notice; and (ii) following the instructions in the notice. Seller’s failure to timely pay the winner’s fee as required by this Section 1.3.7 </w:t>
      </w:r>
      <w:r w:rsidR="00033025">
        <w:t>(</w:t>
      </w:r>
      <w:r w:rsidRPr="00033025" w:rsidR="00033025">
        <w:rPr>
          <w:i/>
          <w:iCs/>
        </w:rPr>
        <w:t>Payment of Winner’s Fee</w:t>
      </w:r>
      <w:r w:rsidR="00033025">
        <w:t xml:space="preserve">) </w:t>
      </w:r>
      <w:r w:rsidR="001F6006">
        <w:t>will be a Seller Event of Default.</w:t>
      </w:r>
    </w:p>
    <w:p w:rsidRPr="006E0A0D" w:rsidR="00D96326" w:rsidP="00D96326" w:rsidRDefault="00D96326" w14:paraId="76E758BF" w14:textId="77777777">
      <w:pPr>
        <w:pStyle w:val="zGTC01"/>
      </w:pPr>
      <w:bookmarkStart w:name="_Toc227451981" w:id="38"/>
      <w:bookmarkStart w:name="_Toc227452165" w:id="39"/>
      <w:bookmarkStart w:name="_Toc212475639" w:id="40"/>
      <w:bookmarkStart w:name="_Toc227838337" w:id="41"/>
      <w:bookmarkEnd w:id="38"/>
      <w:bookmarkEnd w:id="39"/>
      <w:r>
        <w:t>Representations, Warranties, and Covenants</w:t>
      </w:r>
      <w:bookmarkEnd w:id="40"/>
      <w:bookmarkEnd w:id="41"/>
    </w:p>
    <w:p w:rsidRPr="006E0A0D" w:rsidR="00D96326" w:rsidP="00D96326" w:rsidRDefault="00D96326" w14:paraId="24447C78" w14:textId="77777777">
      <w:pPr>
        <w:pStyle w:val="zGTC02"/>
        <w:rPr>
          <w:rFonts w:ascii="Arial" w:hAnsi="Arial" w:eastAsia="PMingLiU" w:cs="Arial"/>
          <w:vanish/>
          <w:szCs w:val="20"/>
          <w:specVanish/>
        </w:rPr>
      </w:pPr>
      <w:bookmarkStart w:name="_Toc212475640" w:id="42"/>
      <w:bookmarkStart w:name="_Toc227838338" w:id="43"/>
      <w:r>
        <w:rPr>
          <w:rFonts w:ascii="Arial" w:hAnsi="Arial" w:cs="Arial"/>
          <w:szCs w:val="20"/>
        </w:rPr>
        <w:t>Seller Representations, Warranties, and Covenants.</w:t>
      </w:r>
      <w:bookmarkEnd w:id="42"/>
      <w:bookmarkEnd w:id="43"/>
    </w:p>
    <w:p w:rsidRPr="006E0A0D" w:rsidR="00D96326" w:rsidP="00D96326" w:rsidRDefault="00D96326" w14:paraId="7267BC6A" w14:textId="445F91E1">
      <w:pPr>
        <w:pStyle w:val="zGNormal"/>
      </w:pPr>
      <w:r>
        <w:t xml:space="preserve"> Seller </w:t>
      </w:r>
      <w:proofErr w:type="gramStart"/>
      <w:r>
        <w:t>makes to</w:t>
      </w:r>
      <w:proofErr w:type="gramEnd"/>
      <w:r>
        <w:t xml:space="preserve"> GPC the following additional representations, warranties, </w:t>
      </w:r>
      <w:r w:rsidR="00D70CAF">
        <w:t>and</w:t>
      </w:r>
      <w:r>
        <w:t xml:space="preserve"> covenants as the basis for the benefits and obligations contained in this PPA:</w:t>
      </w:r>
    </w:p>
    <w:p w:rsidRPr="006E0A0D" w:rsidR="00D96326" w:rsidP="00E1478F" w:rsidRDefault="00D96326" w14:paraId="10B430E3" w14:textId="46E51583">
      <w:pPr>
        <w:pStyle w:val="zGTC03"/>
      </w:pPr>
      <w:r>
        <w:rPr>
          <w:b/>
          <w:bCs/>
        </w:rPr>
        <w:t>Organization; Facility Ownership; Legal Power and Authority.</w:t>
      </w:r>
      <w:r>
        <w:t xml:space="preserve"> Seller is duly organized and validly existing in accordance with the Seller information provided in Exhibit A (</w:t>
      </w:r>
      <w:r>
        <w:rPr>
          <w:i/>
          <w:iCs/>
        </w:rPr>
        <w:t>Facility Description and Additional Details</w:t>
      </w:r>
      <w:r>
        <w:t>), in good standing under the laws of the state of Georgia, qualified to do business in the state of Georgia, the sole owner and operator of the Facility, and has the legal power and authority to: (</w:t>
      </w:r>
      <w:proofErr w:type="spellStart"/>
      <w:r>
        <w:t>i</w:t>
      </w:r>
      <w:proofErr w:type="spellEnd"/>
      <w:r>
        <w:t xml:space="preserve">) own its properties; (ii) carry on its business as now being conducted; (iii) enter into this PPA; (iv) to </w:t>
      </w:r>
      <w:r>
        <w:lastRenderedPageBreak/>
        <w:t>otherwise carry out the transactions contemplated by this PPA; and (v) perform and fulfill all covenants and obligations on Seller’s part to be performed under this PPA.</w:t>
      </w:r>
    </w:p>
    <w:p w:rsidRPr="00F10071" w:rsidR="00D96326" w:rsidP="00E1478F" w:rsidRDefault="00D96326" w14:paraId="6BC42A09" w14:textId="4A46929B">
      <w:pPr>
        <w:pStyle w:val="zGTC03"/>
      </w:pPr>
      <w:r>
        <w:rPr>
          <w:b/>
          <w:bCs/>
        </w:rPr>
        <w:t>Authorization.</w:t>
      </w:r>
      <w:r>
        <w:t xml:space="preserve"> The execution, delivery, and performance by Seller of this PPA have been duly authorized by all necessary action, and do not and will not require any consent or approval of any Person other than those already properly obtained.</w:t>
      </w:r>
    </w:p>
    <w:p w:rsidRPr="00F10071" w:rsidR="00D96326" w:rsidP="00E1478F" w:rsidRDefault="00D96326" w14:paraId="5F8D969A" w14:textId="4EBE9022">
      <w:pPr>
        <w:pStyle w:val="zGTC03"/>
      </w:pPr>
      <w:r>
        <w:rPr>
          <w:b/>
          <w:bCs/>
        </w:rPr>
        <w:t xml:space="preserve">No Conflict or Breach. </w:t>
      </w:r>
      <w:r>
        <w:t>The execution and delivery of this PPA, the consummation of the transactions contemplated by this PPA, and the fulfillment of and compliance with this PPA, do not and will not conflict with or constitute a breach of or a default under, any of the terms, conditions, or provisions of any applicable law, charter, bylaw, operating agreement, or other formation or organizational document of Seller, or any deed of trust, mortgage, loan agreement, other evidence of Indebtedness, or any other agreement or instrument to which Seller is a party or by which Seller or any of its property is bound.</w:t>
      </w:r>
    </w:p>
    <w:p w:rsidRPr="00F10071" w:rsidR="00D96326" w:rsidP="00E1478F" w:rsidRDefault="00D96326" w14:paraId="55D76B2F" w14:textId="77777777">
      <w:pPr>
        <w:pStyle w:val="zGTC03"/>
      </w:pPr>
      <w:r>
        <w:rPr>
          <w:b/>
          <w:bCs/>
        </w:rPr>
        <w:t xml:space="preserve">Legal, Valid, and Binding Obligations. </w:t>
      </w:r>
      <w:r>
        <w:t>This PPA contains the legal, valid, and binding obligations of Seller that are enforceable in accordance with their terms, except as the enforceability may be limited by bankruptcy, insolvency, reorganization, or similar laws relating to or affecting the enforcement of creditors’ rights generally or by general equitable principles, regardless of whether the enforceability is considered in a proceeding in equity or at law.</w:t>
      </w:r>
    </w:p>
    <w:p w:rsidRPr="00F10071" w:rsidR="00D96326" w:rsidP="00E1478F" w:rsidRDefault="00D96326" w14:paraId="4437D0BA" w14:textId="23F34289">
      <w:pPr>
        <w:pStyle w:val="zGTC03"/>
      </w:pPr>
      <w:r>
        <w:rPr>
          <w:b/>
          <w:bCs/>
        </w:rPr>
        <w:t>No Proceeding</w:t>
      </w:r>
      <w:r w:rsidR="00DF2640">
        <w:rPr>
          <w:b/>
          <w:bCs/>
        </w:rPr>
        <w:t>s</w:t>
      </w:r>
      <w:r>
        <w:rPr>
          <w:b/>
          <w:bCs/>
        </w:rPr>
        <w:t xml:space="preserve"> Impacting Legality, Validity, or Enforceability of this PPA. </w:t>
      </w:r>
      <w:r>
        <w:t xml:space="preserve">As </w:t>
      </w:r>
      <w:proofErr w:type="gramStart"/>
      <w:r>
        <w:t>of</w:t>
      </w:r>
      <w:proofErr w:type="gramEnd"/>
      <w:r>
        <w:t xml:space="preserve"> the Effective Date, there is no pending, or to the knowledge of Seller, threatened action or proceeding affecting Seller before any Governmental Authority that purports to affect the legality, validity, or enforceability of this PPA or that could reasonably be expected to have a material adverse effect on Seller.</w:t>
      </w:r>
    </w:p>
    <w:p w:rsidRPr="00F10071" w:rsidR="00D96326" w:rsidP="00E1478F" w:rsidRDefault="00D96326" w14:paraId="2C4F4391" w14:textId="15AE263F">
      <w:pPr>
        <w:pStyle w:val="zGTC03"/>
      </w:pPr>
      <w:r>
        <w:rPr>
          <w:b/>
          <w:bCs/>
        </w:rPr>
        <w:t>No Bankruptcy Proceeding.</w:t>
      </w:r>
      <w:r>
        <w:t xml:space="preserve"> There </w:t>
      </w:r>
      <w:r w:rsidR="00A902F5">
        <w:t>are</w:t>
      </w:r>
      <w:r>
        <w:t xml:space="preserve"> no bankruptcy proceeding</w:t>
      </w:r>
      <w:r w:rsidR="00A902F5">
        <w:t>s</w:t>
      </w:r>
      <w:r>
        <w:t xml:space="preserve"> pending or being contemplated by Seller or, to Seller’s knowledge, threatened against Seller.</w:t>
      </w:r>
    </w:p>
    <w:p w:rsidRPr="00F10071" w:rsidR="00D96326" w:rsidP="00E1478F" w:rsidRDefault="00D96326" w14:paraId="77DFDCE7" w14:textId="77777777">
      <w:pPr>
        <w:pStyle w:val="zGTC03"/>
      </w:pPr>
      <w:r>
        <w:rPr>
          <w:b/>
          <w:bCs/>
        </w:rPr>
        <w:t xml:space="preserve">No Federal Debarment. </w:t>
      </w:r>
      <w:r>
        <w:t>Seller is not debarred, suspended, or proposed for debarment as a contractor or subcontractor to any department, agency, or other division of the United States Government.</w:t>
      </w:r>
    </w:p>
    <w:p w:rsidRPr="006E0A0D" w:rsidR="00D96326" w:rsidP="005374C1" w:rsidRDefault="00D96326" w14:paraId="65093F00" w14:textId="2076D7A1">
      <w:pPr>
        <w:pStyle w:val="zGTC03"/>
      </w:pPr>
      <w:r>
        <w:rPr>
          <w:b/>
          <w:bCs/>
        </w:rPr>
        <w:t>VIE Certification.</w:t>
      </w:r>
    </w:p>
    <w:p w:rsidRPr="00F24DB7" w:rsidR="00D96326" w:rsidP="000A2525" w:rsidRDefault="545817F8" w14:paraId="05F539BF" w14:textId="166BCF97">
      <w:pPr>
        <w:pStyle w:val="zGTC04"/>
      </w:pPr>
      <w:r>
        <w:t>As of the Effective Date, Seller has determined that Seller does not constitute a VIE for which GPC is the Primary Beneficiary and therefore that GPC is not required to consolidate Seller or any of its Affiliates in GPC’s financial statements under ASC Topic 810 (Consolidation) and related applicable accounting standards (“</w:t>
      </w:r>
      <w:r>
        <w:rPr>
          <w:b/>
        </w:rPr>
        <w:t>GPC Consolidation</w:t>
      </w:r>
      <w:r>
        <w:t>”) as in effect on the Effective Date (“</w:t>
      </w:r>
      <w:r>
        <w:rPr>
          <w:b/>
        </w:rPr>
        <w:t>Effective Date Accounting Standards</w:t>
      </w:r>
      <w:r>
        <w:t>”)</w:t>
      </w:r>
    </w:p>
    <w:p w:rsidRPr="006E0A0D" w:rsidR="00D96326" w:rsidP="000A2525" w:rsidRDefault="555A421A" w14:paraId="799A0133" w14:textId="410798DD">
      <w:pPr>
        <w:pStyle w:val="zGTC04"/>
      </w:pPr>
      <w:r>
        <w:t xml:space="preserve">Seller must not take any action that would reasonably </w:t>
      </w:r>
      <w:proofErr w:type="gramStart"/>
      <w:r>
        <w:t>cause, and</w:t>
      </w:r>
      <w:proofErr w:type="gramEnd"/>
      <w:r>
        <w:t xml:space="preserve"> must take any commercially reasonable action necessary to avoid, GPC Consolidation.</w:t>
      </w:r>
    </w:p>
    <w:p w:rsidRPr="006E0A0D" w:rsidR="00D96326" w:rsidP="000A2525" w:rsidRDefault="2BFE65E9" w14:paraId="514D1EB4" w14:textId="2A08B78A">
      <w:pPr>
        <w:pStyle w:val="zGTC04"/>
      </w:pPr>
      <w:r>
        <w:t>Seller must promptly notify GPC of any determination made by Seller or Seller’s independent auditor that: (a) Seller’s VIE status has changed; or (b) Seller constitutes a VIE for which GPC is the Primary Beneficiary, considering this PPA individually or together with any other power purchase agreement between Seller and GPC.</w:t>
      </w:r>
    </w:p>
    <w:p w:rsidRPr="006E0A0D" w:rsidR="00D96326" w:rsidP="000A2525" w:rsidRDefault="3A5B08CD" w14:paraId="393F8C83" w14:textId="74953A6E">
      <w:pPr>
        <w:pStyle w:val="zGTC04"/>
      </w:pPr>
      <w:r>
        <w:t>If during the Term (x) existing accounting standards are modified or new standards are adopted and implemented by FASB that supersede the Effective Date Accounting Standards (“</w:t>
      </w:r>
      <w:r>
        <w:rPr>
          <w:b/>
          <w:bCs/>
        </w:rPr>
        <w:t>Change in Accounting Standards</w:t>
      </w:r>
      <w:r>
        <w:t>”) and GPC or its independent auditor determines in good faith that GPC Consolidation is required, Seller and GPC must, as soon as practicable, cooperate in good faith to implement contractual or operational modifications to avoid such determination. If, despite the Parties’ best efforts, the Parties are unable to avoid the GPC Consolidation determination before the fifth Business Day before the end of the first reporting period during which such GPC Consolidation is required, GPC may terminate this PPA upon notice to Seller under this Section 2.1.8 (</w:t>
      </w:r>
      <w:r>
        <w:rPr>
          <w:i/>
          <w:iCs/>
        </w:rPr>
        <w:t>VIE Certification</w:t>
      </w:r>
      <w:r>
        <w:t>) and the Parties will have no further liability or obligation except for any liability or obligation arising before the termination.</w:t>
      </w:r>
    </w:p>
    <w:p w:rsidR="00567DDF" w:rsidRDefault="00D96326" w14:paraId="6BA1E199" w14:textId="55C835F3">
      <w:pPr>
        <w:pStyle w:val="zGTC04"/>
      </w:pPr>
      <w:r>
        <w:t>Seller must provide to GPC a VIE certification substantially in the form of Exhibit J (</w:t>
      </w:r>
      <w:r>
        <w:rPr>
          <w:i/>
          <w:iCs/>
        </w:rPr>
        <w:t>VIE Certification</w:t>
      </w:r>
      <w:r>
        <w:t>) signed by the chief financial officer of Seller: (a) at the time of execution of this PPA; (b) before each Delivery Commencement Date anniversary during the Term; (c) at any time this PPA is amended by the Parties; and (d) with any Change of Control Transaction.</w:t>
      </w:r>
    </w:p>
    <w:p w:rsidRPr="006E0A0D" w:rsidR="00D96326" w:rsidP="000A2525" w:rsidRDefault="00202017" w14:paraId="2B61290B" w14:textId="660FFC22">
      <w:pPr>
        <w:pStyle w:val="zGTC04"/>
      </w:pPr>
      <w:r>
        <w:lastRenderedPageBreak/>
        <w:t>If existing accounting standards are modified or new standards are adopted that supersede the Effective Date Accounting Standards, Seller must provide GPC with a then current certification in the form of Exhibit J (</w:t>
      </w:r>
      <w:r>
        <w:rPr>
          <w:i/>
          <w:iCs/>
        </w:rPr>
        <w:t>VIE Certification</w:t>
      </w:r>
      <w:r>
        <w:t>), modified accordingly to account for and comply with any modification to existing accounting standards or adoption of new accounting standards.</w:t>
      </w:r>
    </w:p>
    <w:p w:rsidRPr="006E0A0D" w:rsidR="00C15E47" w:rsidP="003A1D4A" w:rsidRDefault="00D96326" w14:paraId="24B4E494" w14:textId="1BEF737E">
      <w:pPr>
        <w:pStyle w:val="zGTC03"/>
      </w:pPr>
      <w:r>
        <w:rPr>
          <w:b/>
          <w:bCs/>
        </w:rPr>
        <w:t>Facility or Unit Modification</w:t>
      </w:r>
      <w:r w:rsidR="00097D4F">
        <w:rPr>
          <w:b/>
          <w:bCs/>
        </w:rPr>
        <w:t>s</w:t>
      </w:r>
      <w:r>
        <w:rPr>
          <w:b/>
          <w:bCs/>
        </w:rPr>
        <w:t xml:space="preserve"> Resulting in Material Adverse Effect. </w:t>
      </w:r>
      <w:r>
        <w:t>No modification to, or expansion of, the Facility</w:t>
      </w:r>
      <w:r w:rsidR="00A27B04">
        <w:t>, including</w:t>
      </w:r>
      <w:r>
        <w:t xml:space="preserve"> </w:t>
      </w:r>
      <w:r w:rsidR="00A27B04">
        <w:t xml:space="preserve">any </w:t>
      </w:r>
      <w:r>
        <w:t>Unit</w:t>
      </w:r>
      <w:r w:rsidR="00A27B04">
        <w:t>,</w:t>
      </w:r>
      <w:r>
        <w:t xml:space="preserve"> that would have a material adverse effect on GPC’s rights or obligations under this PPA will occur without GPC’s prior written consent, </w:t>
      </w:r>
      <w:r>
        <w:rPr>
          <w:rStyle w:val="DeltaViewInsertion"/>
          <w:rFonts w:cs="Arial"/>
          <w:color w:val="auto"/>
          <w:w w:val="0"/>
          <w:u w:val="none"/>
        </w:rPr>
        <w:t>which consent will not be unreasonably withheld, conditioned, or delayed</w:t>
      </w:r>
      <w:r>
        <w:t>.</w:t>
      </w:r>
    </w:p>
    <w:p w:rsidRPr="006E0A0D" w:rsidR="00D96326" w:rsidP="00E1478F" w:rsidRDefault="00D96326" w14:paraId="6839BD82" w14:textId="4C2E610B">
      <w:pPr>
        <w:pStyle w:val="zGTC03"/>
      </w:pPr>
      <w:r>
        <w:rPr>
          <w:b/>
          <w:bCs/>
        </w:rPr>
        <w:t xml:space="preserve">Sale, Lease, Transfer, or Other Disposal of Business or Assets Resulting in Material Adverse Effect. </w:t>
      </w:r>
      <w:r>
        <w:t xml:space="preserve">Seller must not sell, lease, transfer, or otherwise dispose of all or substantially all of its business or assets, whether now owned or later acquired, to the extent that the sale, lease, transfer, or other disposition would have a material adverse effect on GPC’s rights or obligations under this PPA without GPC’s prior written consent, </w:t>
      </w:r>
      <w:r>
        <w:rPr>
          <w:rStyle w:val="DeltaViewInsertion"/>
          <w:rFonts w:cs="Arial"/>
          <w:color w:val="auto"/>
          <w:w w:val="0"/>
          <w:u w:val="none"/>
        </w:rPr>
        <w:t>which consent will not be unreasonably withheld, conditioned, or delayed</w:t>
      </w:r>
      <w:r w:rsidR="00E161E4">
        <w:rPr>
          <w:rStyle w:val="DeltaViewInsertion"/>
          <w:rFonts w:cs="Arial"/>
          <w:color w:val="auto"/>
          <w:w w:val="0"/>
          <w:u w:val="none"/>
        </w:rPr>
        <w:t>,</w:t>
      </w:r>
      <w:r w:rsidRPr="00063D30" w:rsidR="00063D30">
        <w:t xml:space="preserve"> </w:t>
      </w:r>
      <w:r w:rsidRPr="009E00CC" w:rsidR="00063D30">
        <w:rPr>
          <w:rStyle w:val="DeltaViewInsertion"/>
          <w:color w:val="auto"/>
          <w:u w:val="none"/>
        </w:rPr>
        <w:t>subject to Seller’s compliance with all requirements in Part 18 (</w:t>
      </w:r>
      <w:r w:rsidRPr="009E00CC" w:rsidR="00063D30">
        <w:rPr>
          <w:rStyle w:val="DeltaViewInsertion"/>
          <w:i/>
          <w:iCs/>
          <w:color w:val="auto"/>
          <w:u w:val="none"/>
        </w:rPr>
        <w:t>Assignment, Transfers, and Changes of Control</w:t>
      </w:r>
      <w:r w:rsidRPr="009E00CC" w:rsidR="00063D30">
        <w:rPr>
          <w:rStyle w:val="DeltaViewInsertion"/>
          <w:color w:val="auto"/>
          <w:u w:val="none"/>
        </w:rPr>
        <w:t>)</w:t>
      </w:r>
      <w:r w:rsidRPr="009E00CC" w:rsidR="00063D30">
        <w:t>.</w:t>
      </w:r>
    </w:p>
    <w:p w:rsidRPr="006E0A0D" w:rsidR="00D96326" w:rsidP="00E1478F" w:rsidRDefault="00D96326" w14:paraId="0A280E67" w14:textId="49813690">
      <w:pPr>
        <w:pStyle w:val="zGTC03"/>
        <w:rPr>
          <w:rStyle w:val="DeltaViewInsertion"/>
          <w:rFonts w:cs="Arial"/>
          <w:color w:val="auto"/>
          <w:u w:val="none"/>
        </w:rPr>
      </w:pPr>
      <w:r>
        <w:rPr>
          <w:rStyle w:val="DeltaViewInsertion"/>
          <w:rFonts w:cs="Arial"/>
          <w:b/>
          <w:color w:val="auto"/>
          <w:w w:val="0"/>
          <w:u w:val="none"/>
        </w:rPr>
        <w:t xml:space="preserve">Legal Right to Possess and Operate </w:t>
      </w:r>
      <w:r w:rsidR="00E55351">
        <w:rPr>
          <w:rStyle w:val="DeltaViewInsertion"/>
          <w:rFonts w:cs="Arial"/>
          <w:b/>
          <w:color w:val="auto"/>
          <w:w w:val="0"/>
          <w:u w:val="none"/>
        </w:rPr>
        <w:t xml:space="preserve">the Facility </w:t>
      </w:r>
      <w:r>
        <w:rPr>
          <w:rStyle w:val="DeltaViewInsertion"/>
          <w:rFonts w:cs="Arial"/>
          <w:b/>
          <w:color w:val="auto"/>
          <w:w w:val="0"/>
          <w:u w:val="none"/>
        </w:rPr>
        <w:t xml:space="preserve">and Deliver Capacity, Energy, and Ancillary Services. </w:t>
      </w:r>
      <w:r>
        <w:rPr>
          <w:rStyle w:val="DeltaViewInsertion"/>
          <w:rFonts w:cs="Arial"/>
          <w:color w:val="auto"/>
          <w:w w:val="0"/>
          <w:u w:val="none"/>
        </w:rPr>
        <w:t xml:space="preserve">Except as may be allowed </w:t>
      </w:r>
      <w:r>
        <w:t xml:space="preserve">under </w:t>
      </w:r>
      <w:r>
        <w:rPr>
          <w:rStyle w:val="DeltaViewInsertion"/>
          <w:rFonts w:cs="Arial"/>
          <w:color w:val="auto"/>
          <w:w w:val="0"/>
          <w:u w:val="none"/>
        </w:rPr>
        <w:t>Sections 2.1.10 (</w:t>
      </w:r>
      <w:r>
        <w:rPr>
          <w:i/>
          <w:iCs/>
        </w:rPr>
        <w:t>Sale, Lease, Transfer, or Other Disposal of Business or Assets Resulting in Material Adverse Effect</w:t>
      </w:r>
      <w:r>
        <w:rPr>
          <w:rStyle w:val="DeltaViewInsertion"/>
          <w:rFonts w:cs="Arial"/>
          <w:color w:val="auto"/>
          <w:w w:val="0"/>
          <w:u w:val="none"/>
        </w:rPr>
        <w:t>), 18.1 (</w:t>
      </w:r>
      <w:r>
        <w:rPr>
          <w:rStyle w:val="DeltaViewInsertion"/>
          <w:rFonts w:cs="Arial"/>
          <w:i/>
          <w:color w:val="auto"/>
          <w:w w:val="0"/>
          <w:u w:val="none"/>
        </w:rPr>
        <w:t>Assignment, Transfers, and Changes of Control</w:t>
      </w:r>
      <w:r>
        <w:rPr>
          <w:rStyle w:val="DeltaViewInsertion"/>
          <w:rFonts w:cs="Arial"/>
          <w:color w:val="auto"/>
          <w:w w:val="0"/>
          <w:u w:val="none"/>
        </w:rPr>
        <w:t xml:space="preserve">), or any other provision of this PPA, Seller must maintain the legal right to and will possess and operate the </w:t>
      </w:r>
      <w:r w:rsidR="00E55351">
        <w:rPr>
          <w:rStyle w:val="DeltaViewInsertion"/>
          <w:rFonts w:cs="Arial"/>
          <w:color w:val="auto"/>
          <w:w w:val="0"/>
          <w:u w:val="none"/>
        </w:rPr>
        <w:t xml:space="preserve">Facility </w:t>
      </w:r>
      <w:r>
        <w:rPr>
          <w:rStyle w:val="DeltaViewInsertion"/>
          <w:rFonts w:cs="Arial"/>
          <w:color w:val="auto"/>
          <w:w w:val="0"/>
          <w:u w:val="none"/>
        </w:rPr>
        <w:t xml:space="preserve">and deliver </w:t>
      </w:r>
      <w:r w:rsidR="001A76DE">
        <w:rPr>
          <w:rStyle w:val="DeltaViewInsertion"/>
          <w:rFonts w:cs="Arial"/>
          <w:color w:val="auto"/>
          <w:w w:val="0"/>
          <w:u w:val="none"/>
        </w:rPr>
        <w:t xml:space="preserve">the </w:t>
      </w:r>
      <w:r>
        <w:rPr>
          <w:rStyle w:val="DeltaViewInsertion"/>
          <w:rFonts w:cs="Arial"/>
          <w:color w:val="auto"/>
          <w:w w:val="0"/>
          <w:u w:val="none"/>
        </w:rPr>
        <w:t xml:space="preserve">capacity, energy, </w:t>
      </w:r>
      <w:r>
        <w:t>and Ancillary Services</w:t>
      </w:r>
      <w:r w:rsidR="009C7563">
        <w:t xml:space="preserve"> of the</w:t>
      </w:r>
      <w:r w:rsidRPr="009C7563" w:rsidR="009C7563">
        <w:rPr>
          <w:rStyle w:val="DeltaViewInsertion"/>
          <w:rFonts w:cs="Arial"/>
          <w:color w:val="auto"/>
          <w:w w:val="0"/>
          <w:u w:val="none"/>
        </w:rPr>
        <w:t xml:space="preserve"> </w:t>
      </w:r>
      <w:r w:rsidR="00AB6A7C">
        <w:rPr>
          <w:rStyle w:val="DeltaViewInsertion"/>
          <w:rFonts w:cs="Arial"/>
          <w:color w:val="auto"/>
          <w:w w:val="0"/>
          <w:u w:val="none"/>
        </w:rPr>
        <w:t>Facility</w:t>
      </w:r>
      <w:r w:rsidR="00AB6A7C">
        <w:t xml:space="preserve"> </w:t>
      </w:r>
      <w:r w:rsidR="00200F9E">
        <w:t xml:space="preserve">to GPC </w:t>
      </w:r>
      <w:r>
        <w:rPr>
          <w:rStyle w:val="DeltaViewInsertion"/>
          <w:rFonts w:cs="Arial"/>
          <w:color w:val="auto"/>
          <w:w w:val="0"/>
          <w:u w:val="none"/>
        </w:rPr>
        <w:t>in accordance with this PPA.</w:t>
      </w:r>
    </w:p>
    <w:p w:rsidRPr="006E0A0D" w:rsidR="00D96326" w:rsidP="71BF583D" w:rsidRDefault="00D96326" w14:paraId="3DBD47A8" w14:textId="62CB25B4">
      <w:pPr>
        <w:pStyle w:val="zGTC03"/>
        <w:rPr>
          <w:rStyle w:val="DeltaViewInsertion"/>
          <w:rFonts w:cs="Arial"/>
          <w:color w:val="auto"/>
          <w:u w:val="none"/>
        </w:rPr>
      </w:pPr>
      <w:r>
        <w:rPr>
          <w:rStyle w:val="DeltaViewInsertion"/>
          <w:rFonts w:cs="Arial"/>
          <w:b/>
          <w:bCs/>
          <w:color w:val="auto"/>
          <w:u w:val="none"/>
        </w:rPr>
        <w:t>GPC's Exclusive Right to Environmental Attributes</w:t>
      </w:r>
      <w:r>
        <w:rPr>
          <w:rStyle w:val="DeltaViewInsertion"/>
          <w:rFonts w:cs="Arial"/>
          <w:color w:val="auto"/>
          <w:u w:val="none"/>
        </w:rPr>
        <w:t>. GPC will have exclusive rights to all Environmental Attributes associated with the Facility, which include the exclusive right to: (</w:t>
      </w:r>
      <w:proofErr w:type="spellStart"/>
      <w:r>
        <w:rPr>
          <w:rStyle w:val="DeltaViewInsertion"/>
          <w:rFonts w:cs="Arial"/>
          <w:color w:val="auto"/>
          <w:u w:val="none"/>
        </w:rPr>
        <w:t>i</w:t>
      </w:r>
      <w:proofErr w:type="spellEnd"/>
      <w:r>
        <w:rPr>
          <w:rStyle w:val="DeltaViewInsertion"/>
          <w:rFonts w:cs="Arial"/>
          <w:color w:val="auto"/>
          <w:u w:val="none"/>
        </w:rPr>
        <w:t xml:space="preserve">) report to any Governmental Authority, or other Person for compliance with any applicable law or other purpose, that it owns the Environmental Attributes; and (ii) claim the Environmental Attributes to customers or potential customers for purposes of marketing and advertising. However, Seller and Seller’s Affiliates may issue marketing materials and other statements regarding their respective operations and business activities, so long as the issuance of the materials and statements does not: (a) reduce the economic value to GPC of the Environmental Attributes; (b) reduce GPC’s claims to the Environmental Attributes; or (c) result in the double counting of the Environmental Attributes. </w:t>
      </w:r>
    </w:p>
    <w:p w:rsidRPr="006E0A0D" w:rsidR="00D96326" w:rsidP="00E1478F" w:rsidRDefault="00D96326" w14:paraId="2172C163" w14:textId="6FD31E32">
      <w:pPr>
        <w:pStyle w:val="zGTC03"/>
        <w:rPr>
          <w:rStyle w:val="DeltaViewInsertion"/>
          <w:rFonts w:cs="Arial"/>
          <w:color w:val="auto"/>
          <w:u w:val="none"/>
        </w:rPr>
      </w:pPr>
      <w:r>
        <w:rPr>
          <w:rStyle w:val="DeltaViewInsertion"/>
          <w:rFonts w:cs="Arial"/>
          <w:b/>
          <w:color w:val="auto"/>
          <w:u w:val="none"/>
        </w:rPr>
        <w:t>Information Regarding Environmental Attributes.</w:t>
      </w:r>
      <w:r>
        <w:rPr>
          <w:rStyle w:val="DeltaViewInsertion"/>
          <w:rFonts w:cs="Arial"/>
          <w:color w:val="auto"/>
          <w:u w:val="none"/>
        </w:rPr>
        <w:t xml:space="preserve"> Seller must maintain and provide to GPC (or, if directed by GPC, other applicable Persons) the information as necessary to substantiate, account for, or track the quantity of Environmental Attributes</w:t>
      </w:r>
      <w:r w:rsidR="007E5E10">
        <w:rPr>
          <w:rStyle w:val="DeltaViewInsertion"/>
          <w:rFonts w:cs="Arial"/>
          <w:color w:val="auto"/>
          <w:u w:val="none"/>
        </w:rPr>
        <w:t>, if any,</w:t>
      </w:r>
      <w:r>
        <w:rPr>
          <w:rStyle w:val="DeltaViewInsertion"/>
          <w:rFonts w:cs="Arial"/>
          <w:color w:val="auto"/>
          <w:u w:val="none"/>
        </w:rPr>
        <w:t xml:space="preserve"> delivered to GPC under this PPA, including all information necessary for GPC to comply with the requirements of any Governmental Authority or other certifying or standard-setting body relating to the Environmental Attributes. Seller must provide GPC with attestations regarding the accuracy of the information as reasonably requested by GPC. Upon GPC’s request, Seller, at Seller’s expense, must use reasonable efforts to obtain verification from a certification authority mutually agreed upon by the Parties that the Environmental Attributes sold to GPC in accordance with this PPA comply with the standards set by the certification authority. Seller is responsible for the costs associated with registering, qualifying, or recording any Environmental Attributes with any applicable Governmental Authority or other certifying or standard-setting body at GPC’s request. GPC will have the right to disclose the information publicly or to any third party, without Seller’s prior consent, as reasonably required </w:t>
      </w:r>
      <w:r w:rsidR="00215A55">
        <w:rPr>
          <w:rStyle w:val="DeltaViewInsertion"/>
          <w:rFonts w:cs="Arial"/>
          <w:color w:val="auto"/>
          <w:u w:val="none"/>
        </w:rPr>
        <w:t>in connection with</w:t>
      </w:r>
      <w:r>
        <w:rPr>
          <w:rStyle w:val="DeltaViewInsertion"/>
          <w:rFonts w:cs="Arial"/>
          <w:color w:val="auto"/>
          <w:u w:val="none"/>
        </w:rPr>
        <w:t xml:space="preserve"> the operation of GPC’s business, including disclosures: (</w:t>
      </w:r>
      <w:proofErr w:type="spellStart"/>
      <w:r>
        <w:rPr>
          <w:rStyle w:val="DeltaViewInsertion"/>
          <w:rFonts w:cs="Arial"/>
          <w:color w:val="auto"/>
          <w:u w:val="none"/>
        </w:rPr>
        <w:t>i</w:t>
      </w:r>
      <w:proofErr w:type="spellEnd"/>
      <w:r>
        <w:rPr>
          <w:rStyle w:val="DeltaViewInsertion"/>
          <w:rFonts w:cs="Arial"/>
          <w:color w:val="auto"/>
          <w:u w:val="none"/>
        </w:rPr>
        <w:t>) to any Person that purchases the Environmental Attributes from GPC; (ii) to any Governmental Authority; (iii) to any auditor or any Person that certifies or sets standards with respect to Environmental Attributes; or (iv) as necessary for GPC to defend, verify, or substantiate its ownership of the Environmental Attributes.</w:t>
      </w:r>
    </w:p>
    <w:p w:rsidR="00690CB4" w:rsidP="00690CB4" w:rsidRDefault="00D96326" w14:paraId="59BE8C9F" w14:textId="46D08FA4">
      <w:pPr>
        <w:pStyle w:val="zGTC03"/>
        <w:rPr>
          <w:rStyle w:val="DeltaViewInsertion"/>
          <w:rFonts w:cs="Arial"/>
          <w:b/>
          <w:color w:val="auto"/>
          <w:u w:val="none"/>
        </w:rPr>
      </w:pPr>
      <w:r>
        <w:rPr>
          <w:rStyle w:val="DeltaViewInsertion"/>
          <w:rFonts w:cs="Arial"/>
          <w:b/>
          <w:color w:val="auto"/>
          <w:w w:val="0"/>
          <w:u w:val="none"/>
        </w:rPr>
        <w:t xml:space="preserve">Environmental Compliance Certification. </w:t>
      </w:r>
      <w:r>
        <w:t xml:space="preserve">On each anniversary of the </w:t>
      </w:r>
      <w:r w:rsidR="00853160">
        <w:t>Commercial Operation Date</w:t>
      </w:r>
      <w:r>
        <w:t xml:space="preserve"> through the end of the Term, Seller </w:t>
      </w:r>
      <w:r w:rsidR="00E457B7">
        <w:t xml:space="preserve">must </w:t>
      </w:r>
      <w:proofErr w:type="gramStart"/>
      <w:r>
        <w:t>provide to</w:t>
      </w:r>
      <w:proofErr w:type="gramEnd"/>
      <w:r>
        <w:t xml:space="preserve"> </w:t>
      </w:r>
      <w:proofErr w:type="gramStart"/>
      <w:r>
        <w:t>GPC</w:t>
      </w:r>
      <w:proofErr w:type="gramEnd"/>
      <w:r>
        <w:t xml:space="preserve"> an Environmental Compliance certificate in the form of Exhibit L (</w:t>
      </w:r>
      <w:r>
        <w:rPr>
          <w:i/>
          <w:iCs/>
        </w:rPr>
        <w:t>Environmental Compliance Certification</w:t>
      </w:r>
      <w:r>
        <w:t>) signed by a duly authorized officer of Seller.</w:t>
      </w:r>
    </w:p>
    <w:p w:rsidRPr="00F10071" w:rsidR="00D96326" w:rsidP="00E1478F" w:rsidRDefault="00D96326" w14:paraId="09CAF805" w14:textId="7D171643">
      <w:pPr>
        <w:pStyle w:val="zGTC03"/>
      </w:pPr>
      <w:r>
        <w:rPr>
          <w:rStyle w:val="DeltaViewInsertion"/>
          <w:rFonts w:cs="Arial"/>
          <w:b/>
          <w:color w:val="auto"/>
          <w:w w:val="0"/>
          <w:u w:val="none"/>
        </w:rPr>
        <w:t>Extreme Weather Technical Requirements</w:t>
      </w:r>
      <w:r w:rsidRPr="001514EB">
        <w:rPr>
          <w:b/>
          <w:bCs/>
        </w:rPr>
        <w:t>.</w:t>
      </w:r>
      <w:r>
        <w:t xml:space="preserve"> Throughout the Term, the Facility will comply with NERC EOP-012-</w:t>
      </w:r>
      <w:r w:rsidR="006F7ADF">
        <w:t>1</w:t>
      </w:r>
      <w:r>
        <w:t xml:space="preserve"> (</w:t>
      </w:r>
      <w:r>
        <w:rPr>
          <w:i/>
          <w:iCs/>
        </w:rPr>
        <w:t>Extreme Cold Weather Preparedness and Operations</w:t>
      </w:r>
      <w:r>
        <w:t xml:space="preserve">) </w:t>
      </w:r>
      <w:r w:rsidR="00C464D9">
        <w:t>or</w:t>
      </w:r>
      <w:r>
        <w:t xml:space="preserve"> successor reliability standard, to the extent applicable, as further described in Section 7.1.1 (</w:t>
      </w:r>
      <w:r>
        <w:rPr>
          <w:i/>
          <w:iCs/>
        </w:rPr>
        <w:t>Facility Design)</w:t>
      </w:r>
      <w:r>
        <w:t>.</w:t>
      </w:r>
    </w:p>
    <w:p w:rsidRPr="00F10071" w:rsidR="00D96326" w:rsidP="00D96326" w:rsidRDefault="00D96326" w14:paraId="4A99A059" w14:textId="574BD667">
      <w:pPr>
        <w:pStyle w:val="zGTC02"/>
        <w:rPr>
          <w:rFonts w:ascii="Arial" w:hAnsi="Arial" w:eastAsia="PMingLiU" w:cs="Arial"/>
          <w:vanish/>
          <w:szCs w:val="20"/>
          <w:specVanish/>
        </w:rPr>
      </w:pPr>
      <w:bookmarkStart w:name="_Toc212475641" w:id="44"/>
      <w:bookmarkStart w:name="_Toc227838339" w:id="45"/>
      <w:r>
        <w:rPr>
          <w:rFonts w:ascii="Arial" w:hAnsi="Arial" w:cs="Arial"/>
          <w:szCs w:val="20"/>
        </w:rPr>
        <w:lastRenderedPageBreak/>
        <w:t>GPC Representations, Warranties, and Covenants.</w:t>
      </w:r>
      <w:bookmarkEnd w:id="44"/>
      <w:bookmarkEnd w:id="45"/>
    </w:p>
    <w:p w:rsidRPr="00F10071" w:rsidR="00D96326" w:rsidP="00D96326" w:rsidRDefault="00D96326" w14:paraId="02A94995" w14:textId="6B8F5CEF">
      <w:pPr>
        <w:pStyle w:val="zGNormal"/>
      </w:pPr>
      <w:r>
        <w:t xml:space="preserve"> GPC makes the following representations, warranties, </w:t>
      </w:r>
      <w:r w:rsidR="00860D62">
        <w:t>and</w:t>
      </w:r>
      <w:r>
        <w:t xml:space="preserve"> covenants to Seller </w:t>
      </w:r>
      <w:r w:rsidR="00FD0245">
        <w:t xml:space="preserve">as of the Effective Date </w:t>
      </w:r>
      <w:r>
        <w:t>as the basis for the benefits and obligations contained in this PPA:</w:t>
      </w:r>
    </w:p>
    <w:p w:rsidRPr="00F10071" w:rsidR="00D96326" w:rsidP="00E1478F" w:rsidRDefault="00D96326" w14:paraId="3378850A" w14:textId="77777777">
      <w:pPr>
        <w:pStyle w:val="zGTC03"/>
      </w:pPr>
      <w:r>
        <w:rPr>
          <w:b/>
          <w:bCs/>
        </w:rPr>
        <w:t xml:space="preserve">Organization; Facility Ownership; Legal Power and Authority. </w:t>
      </w:r>
      <w:r>
        <w:t>GPC is a corporation, duly organized, validly existing, and in good standing under the laws of the state of Georgia, that is qualified to do business in the state of Georgia and has the legal power and authority to own its properties, to carry on its business as now being conducted and to enter into this PPA and carry out the transactions contemplated by this PPA, and perform and fulfill all covenants and obligations on its part to be performed under this PPA.</w:t>
      </w:r>
    </w:p>
    <w:p w:rsidRPr="006E0A0D" w:rsidR="00D96326" w:rsidP="00E1478F" w:rsidRDefault="00D96326" w14:paraId="3194950C" w14:textId="77777777">
      <w:pPr>
        <w:pStyle w:val="zGTC03"/>
      </w:pPr>
      <w:r>
        <w:rPr>
          <w:b/>
          <w:bCs/>
        </w:rPr>
        <w:t>Authorization.</w:t>
      </w:r>
      <w:r>
        <w:t xml:space="preserve"> The execution, delivery, and performance by GPC of this PPA have been duly authorized by all necessary corporate action and does not and will not require any consent or approval of GPC’s board of directors or shareholders other than that already obtained.</w:t>
      </w:r>
    </w:p>
    <w:p w:rsidRPr="006E0A0D" w:rsidR="00D96326" w:rsidP="00E1478F" w:rsidRDefault="00D96326" w14:paraId="2C26B19F" w14:textId="0CF1A8D2">
      <w:pPr>
        <w:pStyle w:val="zGTC03"/>
      </w:pPr>
      <w:r>
        <w:rPr>
          <w:b/>
          <w:bCs/>
        </w:rPr>
        <w:t xml:space="preserve">No Conflict or Breach. </w:t>
      </w:r>
      <w:r>
        <w:t>Subject to Section 1.3 (</w:t>
      </w:r>
      <w:r>
        <w:rPr>
          <w:i/>
          <w:iCs/>
        </w:rPr>
        <w:t>Conditions Subsequent</w:t>
      </w:r>
      <w:r>
        <w:t>), the execution and delivery of this PPA, the consummation of the transactions contemplated by this PPA, and the fulfillment of and compliance with this PPA do not and will not conflict with any of the terms, conditions, or provisions of any applicable laws applicable to GPC, or of any partnership agreement, deed of trust, mortgage, loan agreement, other evidence of Indebtedness, or any other agreement or instrument to which GPC is a party or by which GPC or any of its property is bound, or result in a breach of or a default under any of the foregoing.</w:t>
      </w:r>
    </w:p>
    <w:p w:rsidRPr="006E0A0D" w:rsidR="00D96326" w:rsidP="00E1478F" w:rsidRDefault="00D96326" w14:paraId="6378E671" w14:textId="77777777">
      <w:pPr>
        <w:pStyle w:val="zGTC03"/>
      </w:pPr>
      <w:r>
        <w:rPr>
          <w:b/>
          <w:bCs/>
        </w:rPr>
        <w:t xml:space="preserve">Legal, Valid, and Binding Obligations. </w:t>
      </w:r>
      <w:r>
        <w:t>This PPA constitutes the legal, valid, and binding obligation of GPC that is enforceable in accordance with its terms, except as such enforceability may be limited by bankruptcy, insolvency, reorganization, or similar laws relating to or affecting the enforcement of creditors’ rights generally or by general equitable principles, regardless of whether such enforceability is considered in a proceeding in equity or at law.</w:t>
      </w:r>
    </w:p>
    <w:p w:rsidRPr="006E0A0D" w:rsidR="00D96326" w:rsidP="00E1478F" w:rsidRDefault="00D96326" w14:paraId="302D7A68" w14:textId="77777777">
      <w:pPr>
        <w:pStyle w:val="zGTC03"/>
      </w:pPr>
      <w:r>
        <w:rPr>
          <w:b/>
          <w:bCs/>
        </w:rPr>
        <w:t xml:space="preserve">No Proceeding Impacting Legality, Validity, or Enforceability of this PPA. </w:t>
      </w:r>
      <w:r>
        <w:t>There is no pending or, to the knowledge of GPC, threatened action or proceeding affecting GPC before any Governmental Authority that purports to materially adversely affect the legality, validity, or enforceability of this PPA or that reasonably could be expected to have a material adverse effect on GPC’s ability to perform its obligations under this PPA.</w:t>
      </w:r>
    </w:p>
    <w:p w:rsidRPr="006E0A0D" w:rsidR="00D96326" w:rsidP="00E1478F" w:rsidRDefault="00D96326" w14:paraId="5BBDBD33" w14:textId="47FFA478">
      <w:pPr>
        <w:pStyle w:val="zGTC03"/>
      </w:pPr>
      <w:r>
        <w:rPr>
          <w:b/>
        </w:rPr>
        <w:t>C</w:t>
      </w:r>
      <w:r>
        <w:rPr>
          <w:b/>
          <w:bCs/>
        </w:rPr>
        <w:t>reditworthiness and No Bankruptcy Proceedings.</w:t>
      </w:r>
      <w:r>
        <w:t xml:space="preserve"> GPC is Creditworthy (determined solely by clause (</w:t>
      </w:r>
      <w:proofErr w:type="spellStart"/>
      <w:r>
        <w:t>i</w:t>
      </w:r>
      <w:proofErr w:type="spellEnd"/>
      <w:r>
        <w:t>) of the definition of Creditworthy) and there are no bankruptcy proceedings pending or being contemplated by it or, to its knowledge, threatened against it.</w:t>
      </w:r>
    </w:p>
    <w:p w:rsidR="00D96326" w:rsidP="0073271D" w:rsidRDefault="00D96326" w14:paraId="1C2A8E2B" w14:textId="4FBF136E">
      <w:pPr>
        <w:pStyle w:val="zGTC03"/>
      </w:pPr>
      <w:r>
        <w:rPr>
          <w:b/>
          <w:bCs/>
        </w:rPr>
        <w:t>Designation of Alternate Resource as a Secondary Resource.</w:t>
      </w:r>
      <w:r>
        <w:rPr>
          <w:bCs/>
        </w:rPr>
        <w:t xml:space="preserve"> G</w:t>
      </w:r>
      <w:r>
        <w:t xml:space="preserve">PC, at the request of Seller, but only to the extent permissible under the Southern OATT, will designate </w:t>
      </w:r>
      <w:proofErr w:type="gramStart"/>
      <w:r>
        <w:t>any Alternate</w:t>
      </w:r>
      <w:proofErr w:type="gramEnd"/>
      <w:r>
        <w:t xml:space="preserve"> Resource as a secondary Network Resource (or similar designation) for the period during which the Alternate Resource is used to provide GPC with energy in accordance with this PPA.</w:t>
      </w:r>
    </w:p>
    <w:p w:rsidR="00D96326" w:rsidP="00D96326" w:rsidRDefault="00D96326" w14:paraId="279CBFBF" w14:textId="4F1E3DB8">
      <w:pPr>
        <w:pStyle w:val="zGTC01"/>
      </w:pPr>
      <w:bookmarkStart w:name="_Toc212475642" w:id="46"/>
      <w:bookmarkStart w:name="_Toc227838340" w:id="47"/>
      <w:r>
        <w:t>Preservation of Terms; Consents; Taxes</w:t>
      </w:r>
      <w:bookmarkEnd w:id="46"/>
      <w:bookmarkEnd w:id="47"/>
    </w:p>
    <w:p w:rsidRPr="006E0A0D" w:rsidR="00D96326" w:rsidP="00D96326" w:rsidRDefault="00D96326" w14:paraId="4374B7BC" w14:textId="79A980CE">
      <w:pPr>
        <w:pStyle w:val="zGTC02"/>
        <w:rPr>
          <w:rFonts w:ascii="Arial" w:hAnsi="Arial" w:eastAsia="PMingLiU" w:cs="Arial"/>
          <w:vanish/>
          <w:szCs w:val="20"/>
          <w:specVanish/>
        </w:rPr>
      </w:pPr>
      <w:bookmarkStart w:name="_Toc212475643" w:id="48"/>
      <w:bookmarkStart w:name="_Toc227838341" w:id="49"/>
      <w:r>
        <w:t>Preservation of Terms.</w:t>
      </w:r>
      <w:bookmarkEnd w:id="48"/>
      <w:bookmarkEnd w:id="49"/>
    </w:p>
    <w:p w:rsidRPr="00FF76F7" w:rsidR="00D96326" w:rsidP="00FF76F7" w:rsidRDefault="00D96326" w14:paraId="6FB98DB9" w14:textId="37633F89">
      <w:pPr>
        <w:pStyle w:val="zGNormal"/>
        <w:rPr>
          <w:rFonts w:ascii="Arial Bold" w:hAnsi="Arial Bold" w:eastAsia="Times New Roman"/>
        </w:rPr>
      </w:pPr>
      <w:r>
        <w:t xml:space="preserve"> Each Party agrees that, subject to Section 3.2 (</w:t>
      </w:r>
      <w:r>
        <w:rPr>
          <w:i/>
          <w:iCs/>
        </w:rPr>
        <w:t>Other Approvals</w:t>
      </w:r>
      <w:r>
        <w:t>), except with the prior written consent of the other Party, the Party will not institute or voluntarily cooperate in the institution or conduct of any claim, action, or proceeding before FERC under Section 205, Section 206 or any other portion of the Federal Power Act, or before any other Governmental Authority under any applicable law that is intended to, or could reasonably be expected to, change PPA terms then in effect. Without limiting the preceding sentence, but subject to the terms of this PPA, the Parties agree that the rates for service specified in this PPA will remain in effect for the Term and will not be subject to change through application to FERC in accordance with Section 205 or 206 of the Federal Power Act, or to any other Governmental Authority under any provision of federal law, Georgia state or local law, or any other applicable law, absent written agreement of the Parties.</w:t>
      </w:r>
    </w:p>
    <w:p w:rsidRPr="00E1478F" w:rsidR="00D96326" w:rsidP="00E62CF6" w:rsidRDefault="00D96326" w14:paraId="3C7ED7A9" w14:textId="77777777">
      <w:pPr>
        <w:pStyle w:val="zGTC03"/>
        <w:numPr>
          <w:ilvl w:val="2"/>
          <w:numId w:val="34"/>
        </w:numPr>
      </w:pPr>
      <w:r>
        <w:rPr>
          <w:b/>
        </w:rPr>
        <w:t xml:space="preserve">FERC Filings Waiver; Standard of Review. </w:t>
      </w:r>
      <w:r>
        <w:t>Each Party waives all rights to submit filings to FERC seeking modification or rescission of this PPA under Section 205 or 206 of the Federal Power Act.</w:t>
      </w:r>
      <w:r>
        <w:rPr>
          <w:b/>
        </w:rPr>
        <w:t xml:space="preserve"> </w:t>
      </w:r>
    </w:p>
    <w:p w:rsidRPr="00161889" w:rsidR="00D96326" w:rsidP="00FF76F7" w:rsidRDefault="00D96326" w14:paraId="2FA37B17" w14:textId="55073A8B">
      <w:pPr>
        <w:pStyle w:val="zGTC04"/>
        <w:rPr>
          <w:rFonts w:cs="Arial"/>
        </w:rPr>
      </w:pPr>
      <w:r>
        <w:rPr>
          <w:b/>
          <w:bCs/>
        </w:rPr>
        <w:t xml:space="preserve">FERC Standard of Review. </w:t>
      </w:r>
      <w:r>
        <w:t xml:space="preserve">In any proceeding before FERC involving this PPA, the Parties will request that FERC review all aspects of this PPA under the “public interest” application of the </w:t>
      </w:r>
      <w:r>
        <w:lastRenderedPageBreak/>
        <w:t xml:space="preserve">“just and reasonable” standard of review in </w:t>
      </w:r>
      <w:r>
        <w:rPr>
          <w:u w:val="single"/>
        </w:rPr>
        <w:t>United Gas Pipe Line Co. v. Mobile Gas Service Corp.</w:t>
      </w:r>
      <w:r>
        <w:t xml:space="preserve">, 350 U.S. 332 (1956) and </w:t>
      </w:r>
      <w:r>
        <w:rPr>
          <w:u w:val="single"/>
        </w:rPr>
        <w:t>Federal Power Commission v. Sierra Pacific Power Co.</w:t>
      </w:r>
      <w:r>
        <w:t xml:space="preserve">, 350 U.S. 348 (1956), each clarified by </w:t>
      </w:r>
      <w:r>
        <w:rPr>
          <w:u w:val="single"/>
        </w:rPr>
        <w:t>NRG Power Marketing LLC v. Maine Public Utility Commission</w:t>
      </w:r>
      <w:r>
        <w:t>, 130 S. Ct. 693 (2010).</w:t>
      </w:r>
    </w:p>
    <w:p w:rsidRPr="00F10071" w:rsidR="00D96326" w:rsidP="00D96326" w:rsidRDefault="00D96326" w14:paraId="2DB5FB0C" w14:textId="77777777">
      <w:pPr>
        <w:pStyle w:val="zGTC02"/>
        <w:rPr>
          <w:rFonts w:ascii="Arial" w:hAnsi="Arial" w:eastAsia="PMingLiU" w:cs="Arial"/>
          <w:vanish/>
          <w:szCs w:val="20"/>
          <w:specVanish/>
        </w:rPr>
      </w:pPr>
      <w:bookmarkStart w:name="_Toc212475644" w:id="50"/>
      <w:bookmarkStart w:name="_Toc227838342" w:id="51"/>
      <w:r>
        <w:rPr>
          <w:rFonts w:ascii="Arial" w:hAnsi="Arial" w:cs="Arial"/>
          <w:szCs w:val="20"/>
        </w:rPr>
        <w:t>Other Approvals.</w:t>
      </w:r>
      <w:bookmarkEnd w:id="50"/>
      <w:bookmarkEnd w:id="51"/>
    </w:p>
    <w:p w:rsidRPr="00F10071" w:rsidR="00D96326" w:rsidP="00D96326" w:rsidRDefault="00D96326" w14:paraId="396CBF18" w14:textId="49CAAA88">
      <w:pPr>
        <w:pStyle w:val="zGNormal"/>
      </w:pPr>
      <w:r>
        <w:t xml:space="preserve"> Throughout the Term, each Party will diligently seek to obtain, achieve, maintain, pursue, or cause to be pursued, comply with, and, as necessary, renew or modify all other Consents required to be possessed by the Party in a manner that is reasonably expected to enable the Party to perform its PPA obligations. Each Party agrees to assist and support the other Party, in a timely manner and to the extent reasonably requested by either Party, in obtaining the Consents. Upon request, a Party will provide a copy of Consents to the requesting Party.</w:t>
      </w:r>
    </w:p>
    <w:p w:rsidRPr="00F10071" w:rsidR="00D96326" w:rsidP="00E20883" w:rsidRDefault="00D96326" w14:paraId="4297932C" w14:textId="2268E110">
      <w:pPr>
        <w:pStyle w:val="zGTC02"/>
        <w:rPr>
          <w:rFonts w:ascii="Arial" w:hAnsi="Arial" w:eastAsia="PMingLiU" w:cs="Arial"/>
        </w:rPr>
      </w:pPr>
      <w:bookmarkStart w:name="_Toc212475645" w:id="52"/>
      <w:bookmarkStart w:name="_Toc227838343" w:id="53"/>
      <w:r>
        <w:rPr>
          <w:rFonts w:ascii="Arial" w:hAnsi="Arial" w:cs="Arial"/>
        </w:rPr>
        <w:t>Taxes.</w:t>
      </w:r>
      <w:bookmarkEnd w:id="52"/>
      <w:bookmarkEnd w:id="53"/>
    </w:p>
    <w:p w:rsidRPr="006E0A0D" w:rsidR="00D96326" w:rsidP="00E1478F" w:rsidRDefault="00D96326" w14:paraId="4BF5D1C8" w14:textId="6AA7255B">
      <w:pPr>
        <w:pStyle w:val="zGTC03"/>
      </w:pPr>
      <w:r>
        <w:rPr>
          <w:b/>
          <w:bCs/>
        </w:rPr>
        <w:t xml:space="preserve">Payment by Seller. </w:t>
      </w:r>
      <w:r>
        <w:t>Subject to Section 17.1 (</w:t>
      </w:r>
      <w:r>
        <w:rPr>
          <w:i/>
          <w:iCs/>
        </w:rPr>
        <w:t>New GHG Law</w:t>
      </w:r>
      <w:r>
        <w:t>)</w:t>
      </w:r>
      <w:r w:rsidR="00A32B85">
        <w:t xml:space="preserve"> and Section 17.2 (</w:t>
      </w:r>
      <w:r w:rsidRPr="00A32B85" w:rsidR="00A32B85">
        <w:rPr>
          <w:i/>
          <w:iCs/>
        </w:rPr>
        <w:t xml:space="preserve">Change </w:t>
      </w:r>
      <w:r w:rsidR="00D63ACE">
        <w:rPr>
          <w:i/>
          <w:iCs/>
        </w:rPr>
        <w:t>of</w:t>
      </w:r>
      <w:r w:rsidRPr="00A32B85" w:rsidR="00A32B85">
        <w:rPr>
          <w:i/>
          <w:iCs/>
        </w:rPr>
        <w:t xml:space="preserve"> Law</w:t>
      </w:r>
      <w:r w:rsidR="00A32B85">
        <w:t>)</w:t>
      </w:r>
      <w:r>
        <w:t>, Seller will be responsible for, and must pay, or cause to be paid, all Taxes on or regarding: (</w:t>
      </w:r>
      <w:proofErr w:type="spellStart"/>
      <w:r>
        <w:t>i</w:t>
      </w:r>
      <w:proofErr w:type="spellEnd"/>
      <w:r>
        <w:t>) the Facility, including its development, permitting, design, engineering, procurement, construction, testing, startup, ownership, leasing, financing, operation, and maintenance; (ii) the production and delivery of energy and Ancillary Services to be provided to GPC arising, in the case of energy, before the time of Seller’s delivery of the energy to GPC at the POD, or, in the case of Ancillary Services, before the time the Ancillary Services are made available to GPC; (iii) Seller’s conversion of Natural Gas into electricity after delivery by GPC and receipt by Seller of the Natural Gas at the Gas Delivery Point; and (iv) Seller’s conversion of Fuel Oil into electricity.</w:t>
      </w:r>
    </w:p>
    <w:p w:rsidRPr="006E0A0D" w:rsidR="00D96326" w:rsidP="00E1478F" w:rsidRDefault="00D96326" w14:paraId="307DB47B" w14:textId="7314647A">
      <w:pPr>
        <w:pStyle w:val="zGTC03"/>
      </w:pPr>
      <w:r>
        <w:rPr>
          <w:b/>
          <w:bCs/>
        </w:rPr>
        <w:t xml:space="preserve">Payment by GPC. </w:t>
      </w:r>
      <w:r w:rsidR="00D07D6C">
        <w:t>Subject to Section 17.1 (</w:t>
      </w:r>
      <w:r w:rsidR="00D07D6C">
        <w:rPr>
          <w:i/>
          <w:iCs/>
        </w:rPr>
        <w:t>New GHG Law</w:t>
      </w:r>
      <w:r w:rsidR="00D07D6C">
        <w:t>) and Section 17.2 (</w:t>
      </w:r>
      <w:r w:rsidRPr="00A32B85" w:rsidR="00D07D6C">
        <w:rPr>
          <w:i/>
          <w:iCs/>
        </w:rPr>
        <w:t xml:space="preserve">Change </w:t>
      </w:r>
      <w:r w:rsidR="00D07D6C">
        <w:rPr>
          <w:i/>
          <w:iCs/>
        </w:rPr>
        <w:t>of</w:t>
      </w:r>
      <w:r w:rsidRPr="00A32B85" w:rsidR="00D07D6C">
        <w:rPr>
          <w:i/>
          <w:iCs/>
        </w:rPr>
        <w:t xml:space="preserve"> Law</w:t>
      </w:r>
      <w:r w:rsidR="00D07D6C">
        <w:t xml:space="preserve">), </w:t>
      </w:r>
      <w:r>
        <w:t>GPC will pay or cause to be paid all Taxes on or regarding: (</w:t>
      </w:r>
      <w:proofErr w:type="spellStart"/>
      <w:r>
        <w:t>i</w:t>
      </w:r>
      <w:proofErr w:type="spellEnd"/>
      <w:r>
        <w:t xml:space="preserve">) energy received by GPC arising at and after the time the energy is delivered by Seller to the POD; (ii) Ancillary Services received by GPC arising at and after the time the Ancillary Services are made available to GPC; (iii) Natural Gas received and possessed by GPC at and prior to the time of delivery of the Natural Gas by GPC to Seller at the Gas Delivery Point; and (iv) property taxes on Fuel Oil stored for GPC at the Facility. The Taxes will include sales, use, excise, or other similar Taxes on the sale to GPC and </w:t>
      </w:r>
      <w:proofErr w:type="gramStart"/>
      <w:r>
        <w:t>purchase</w:t>
      </w:r>
      <w:proofErr w:type="gramEnd"/>
      <w:r>
        <w:t xml:space="preserve"> from Seller of </w:t>
      </w:r>
      <w:proofErr w:type="gramStart"/>
      <w:r>
        <w:t>capacity</w:t>
      </w:r>
      <w:proofErr w:type="gramEnd"/>
      <w:r>
        <w:t xml:space="preserve">, </w:t>
      </w:r>
      <w:proofErr w:type="gramStart"/>
      <w:r>
        <w:t>energy</w:t>
      </w:r>
      <w:proofErr w:type="gramEnd"/>
      <w:r>
        <w:t>, and Ancillary Services in accordance with this PPA. GPC will be responsible for all Taxes arising out of the transfer and delivery by GPC and receipt by Seller of Natural Gas at the Gas Delivery Point.</w:t>
      </w:r>
    </w:p>
    <w:p w:rsidRPr="006E0A0D" w:rsidR="00D96326" w:rsidP="00E1478F" w:rsidRDefault="00D96326" w14:paraId="6181AFD1" w14:textId="4AA488F6">
      <w:pPr>
        <w:pStyle w:val="zGTC03"/>
      </w:pPr>
      <w:r>
        <w:rPr>
          <w:b/>
          <w:bCs/>
        </w:rPr>
        <w:t xml:space="preserve">Efforts to Implement PPA Provisions to Minimize Taxes. </w:t>
      </w:r>
      <w:r>
        <w:t>Each Party will use reasonable efforts to implement and administer the PPA provisions to minimize Taxes on the other Party so long as neither Party is materially adversely affected by such efforts.</w:t>
      </w:r>
    </w:p>
    <w:p w:rsidRPr="006E0A0D" w:rsidR="00D96326" w:rsidP="00E1478F" w:rsidRDefault="00D96326" w14:paraId="4742DCA9" w14:textId="233FB066">
      <w:pPr>
        <w:pStyle w:val="zGTC03"/>
      </w:pPr>
      <w:r>
        <w:rPr>
          <w:b/>
          <w:bCs/>
        </w:rPr>
        <w:t xml:space="preserve">GPC Reimbursement or Deduction for Taxes. </w:t>
      </w:r>
      <w:r>
        <w:t>If Seller is required by law or regulation to remit or pay Taxes that are GPC’s responsibility under this PPA, Seller may include the Taxes in the next Monthly Invoice and GPC will remit payment for the applicable Taxes on an After-Tax Basis in accordance with Part 5 (</w:t>
      </w:r>
      <w:r>
        <w:rPr>
          <w:i/>
        </w:rPr>
        <w:t>Billing and Collections</w:t>
      </w:r>
      <w:r>
        <w:t>). Conversely, if GPC is required by law or regulation to remit or pay Taxes that are Seller’s responsibility under this PPA, GPC may deduct those Taxes from the sums otherwise due to Seller under this PPA on an After-Tax Basis. Any refund associated with the Taxes will be handled in the same manner. Nothing in this PPA will obligate or cause a Party to pay or be liable to pay any Taxes from which the Party is exempt under applicable law.</w:t>
      </w:r>
    </w:p>
    <w:p w:rsidRPr="006E0A0D" w:rsidR="00D96326" w:rsidP="00D96326" w:rsidRDefault="00D96326" w14:paraId="6B182346" w14:textId="77777777">
      <w:pPr>
        <w:pStyle w:val="zGTC01"/>
        <w:rPr>
          <w:rFonts w:ascii="Arial" w:hAnsi="Arial"/>
          <w:szCs w:val="20"/>
        </w:rPr>
      </w:pPr>
      <w:bookmarkStart w:name="_Toc212475646" w:id="54"/>
      <w:bookmarkStart w:name="_Toc227838344" w:id="55"/>
      <w:proofErr w:type="gramStart"/>
      <w:r>
        <w:rPr>
          <w:rFonts w:ascii="Arial" w:hAnsi="Arial"/>
          <w:szCs w:val="20"/>
        </w:rPr>
        <w:t>Sale</w:t>
      </w:r>
      <w:proofErr w:type="gramEnd"/>
      <w:r>
        <w:rPr>
          <w:rFonts w:ascii="Arial" w:hAnsi="Arial"/>
          <w:szCs w:val="20"/>
        </w:rPr>
        <w:t xml:space="preserve"> and Delivery of Capacity and Energy</w:t>
      </w:r>
      <w:bookmarkEnd w:id="54"/>
      <w:bookmarkEnd w:id="55"/>
    </w:p>
    <w:p w:rsidRPr="006E0A0D" w:rsidR="00D96326" w:rsidP="54C72364" w:rsidRDefault="00D96326" w14:paraId="6F011654" w14:textId="04872DA0">
      <w:pPr>
        <w:pStyle w:val="zGTC02"/>
        <w:rPr>
          <w:rFonts w:ascii="Arial" w:hAnsi="Arial" w:eastAsia="PMingLiU" w:cs="Arial"/>
        </w:rPr>
      </w:pPr>
      <w:bookmarkStart w:name="_Toc212475647" w:id="56"/>
      <w:bookmarkStart w:name="_Toc227838345" w:id="57"/>
      <w:r>
        <w:rPr>
          <w:rFonts w:ascii="Arial" w:hAnsi="Arial" w:cs="Arial"/>
        </w:rPr>
        <w:t>Agreement to Sell and Purchase.</w:t>
      </w:r>
      <w:bookmarkEnd w:id="56"/>
      <w:bookmarkEnd w:id="57"/>
    </w:p>
    <w:p w:rsidRPr="006E0A0D" w:rsidR="00D96326" w:rsidP="00E1478F" w:rsidRDefault="00D96326" w14:paraId="17C294F2" w14:textId="21921825">
      <w:pPr>
        <w:pStyle w:val="zGTC03"/>
      </w:pPr>
      <w:proofErr w:type="gramStart"/>
      <w:r>
        <w:rPr>
          <w:b/>
          <w:bCs/>
        </w:rPr>
        <w:t>Sale</w:t>
      </w:r>
      <w:proofErr w:type="gramEnd"/>
      <w:r>
        <w:rPr>
          <w:b/>
          <w:bCs/>
        </w:rPr>
        <w:t xml:space="preserve"> and Purchase Obligations During the Term. </w:t>
      </w:r>
      <w:r>
        <w:t>From the Delivery Commencement Date through the end of the Term, but subject to the terms of this PPA, Seller must sell to GPC: (</w:t>
      </w:r>
      <w:proofErr w:type="spellStart"/>
      <w:r>
        <w:t>i</w:t>
      </w:r>
      <w:proofErr w:type="spellEnd"/>
      <w:r>
        <w:t xml:space="preserve">) the entire electrical capability of </w:t>
      </w:r>
      <w:r w:rsidR="00E55351">
        <w:t>the Facility</w:t>
      </w:r>
      <w:r>
        <w:t xml:space="preserve">, </w:t>
      </w:r>
      <w:proofErr w:type="gramStart"/>
      <w:r>
        <w:t>net</w:t>
      </w:r>
      <w:proofErr w:type="gramEnd"/>
      <w:r>
        <w:t xml:space="preserve"> of any Station Service, as, when, and to the extent GPC Schedules the electrical capability; and (ii) all Ancillary Services. Subject to the terms of this PPA, GPC will purchase from Seller the electrical output of the </w:t>
      </w:r>
      <w:r w:rsidR="00E55351">
        <w:t>Facility</w:t>
      </w:r>
      <w:r>
        <w:t xml:space="preserve">, in accordance with GPC’s Scheduling Instructions, and the Declared Capacity associated with the </w:t>
      </w:r>
      <w:r w:rsidR="00AB6A7C">
        <w:t>Facility</w:t>
      </w:r>
      <w:r>
        <w:t xml:space="preserve"> after the Delivery Commencement Date. The delivery of energy to the POD includes the transfer to GPC of all Ancillary Services associated with the energy. Seller must make available and provide to GPC all Ancillary Services as instructed by GPC at all power output levels and during periods that the Facility is not actively delivering energy. The Monthly Capacity </w:t>
      </w:r>
      <w:r>
        <w:lastRenderedPageBreak/>
        <w:t>Payments and the Monthly Energy Payments are the exclusive compensation owed to Seller for capacity, energy, and Ancillary Services under this PPA.</w:t>
      </w:r>
    </w:p>
    <w:p w:rsidRPr="006E0A0D" w:rsidR="00D96326" w:rsidP="00E1478F" w:rsidRDefault="00D96326" w14:paraId="1ED8C848" w14:textId="7CB5182F">
      <w:pPr>
        <w:pStyle w:val="zGTC03"/>
      </w:pPr>
      <w:r>
        <w:rPr>
          <w:b/>
        </w:rPr>
        <w:t xml:space="preserve">Station Service. </w:t>
      </w:r>
      <w:r>
        <w:t>Seller is responsible for all Station Service at Seller’s expense.</w:t>
      </w:r>
      <w:bookmarkStart w:name="_Hlk37504937" w:id="58"/>
      <w:r>
        <w:t xml:space="preserve"> If the Facility is located within the state of Georgia, Seller must arrange Station Service for the Facility in accordance with the Georgia Territorial Electric Service Act (O.C.G.A. §§ 46-3-1 through 46-3-15). If the Facility is located within the state of Georgia and any additional electric service is required to serve auxiliary equipment (ancillary equipment at or otherwise supporting the Facility, including lights and security equipment and systems (e.g., gates and cameras)), Seller must: (</w:t>
      </w:r>
      <w:proofErr w:type="spellStart"/>
      <w:r>
        <w:t>i</w:t>
      </w:r>
      <w:proofErr w:type="spellEnd"/>
      <w:r>
        <w:t xml:space="preserve">) purchase that service from the local electric service provider in accordance with the Georgia Territorial Electric Service Act (O.C.G.A. §§ 46-3-1 through 46-3-15); (ii) install a separate meter for the service; and (iii) if purchasing from GPC, pay any installation costs, in accordance with GPC’s standard procedures for establishing retail service. If Seller supplies its Station Service on Seller’s side of the POI, the </w:t>
      </w:r>
      <w:r w:rsidR="003436B0">
        <w:t xml:space="preserve">Facility’s </w:t>
      </w:r>
      <w:r>
        <w:t xml:space="preserve">output is net of energy consumed and demand requirements (i.e., the energy delivered to the </w:t>
      </w:r>
      <w:bookmarkEnd w:id="58"/>
      <w:r>
        <w:t>POD).</w:t>
      </w:r>
    </w:p>
    <w:p w:rsidRPr="006E0A0D" w:rsidR="00D96326" w:rsidP="00E1478F" w:rsidRDefault="00D96326" w14:paraId="7D8826C1" w14:textId="12F8FB99">
      <w:pPr>
        <w:pStyle w:val="zGTC03"/>
      </w:pPr>
      <w:r>
        <w:rPr>
          <w:b/>
          <w:bCs/>
        </w:rPr>
        <w:t xml:space="preserve">Delivery of Energy; Risk of Loss; Balancing Services. </w:t>
      </w:r>
      <w:r>
        <w:t>Except as otherwise provided in Section 4.1.4 (</w:t>
      </w:r>
      <w:r>
        <w:rPr>
          <w:i/>
          <w:iCs/>
        </w:rPr>
        <w:t>Unavailability</w:t>
      </w:r>
      <w:r>
        <w:t>) regarding delivery of capacity and energy at an Alternate Delivery Point,</w:t>
      </w:r>
      <w:r>
        <w:rPr>
          <w:b/>
          <w:i/>
        </w:rPr>
        <w:t xml:space="preserve"> </w:t>
      </w:r>
      <w:r>
        <w:t xml:space="preserve">Seller must deliver capacity and energy from the </w:t>
      </w:r>
      <w:r w:rsidR="003436B0">
        <w:t xml:space="preserve">Facility </w:t>
      </w:r>
      <w:r>
        <w:t xml:space="preserve">to GPC at the POD. The risk of loss of energy will pass from Seller to GPC at the POD. If the Facility is interconnected within the STT, GPC will be responsible for providing generator balancing services regarding the SBAA and Southern OATT necessary for the receipt of energy in accordance with GPC’s Schedules and for any associated costs. The </w:t>
      </w:r>
      <w:proofErr w:type="gramStart"/>
      <w:r>
        <w:t>Facility,  and</w:t>
      </w:r>
      <w:proofErr w:type="gramEnd"/>
      <w:r>
        <w:t xml:space="preserve"> Alternate Resource are prohibited from delivering to the POD, at any time, any output </w:t>
      </w:r>
      <w:proofErr w:type="gramStart"/>
      <w:r>
        <w:t>in excess of</w:t>
      </w:r>
      <w:proofErr w:type="gramEnd"/>
      <w:r>
        <w:t xml:space="preserve"> the Interconnection Limit or transmission service reservation, as applicable. If</w:t>
      </w:r>
      <w:r>
        <w:rPr>
          <w:rFonts w:eastAsiaTheme="minorEastAsia"/>
        </w:rPr>
        <w:t xml:space="preserve"> the Facility is interconnected to the Electric System outside of the SBAA, Seller must comply with the dynamic scheduling requirements described in Section 12.3.1 (</w:t>
      </w:r>
      <w:r>
        <w:rPr>
          <w:rFonts w:eastAsiaTheme="minorEastAsia"/>
          <w:i/>
          <w:iCs/>
        </w:rPr>
        <w:t>Dynamic Scheduling</w:t>
      </w:r>
      <w:r>
        <w:rPr>
          <w:rFonts w:eastAsiaTheme="minorEastAsia"/>
        </w:rPr>
        <w:t>).</w:t>
      </w:r>
    </w:p>
    <w:p w:rsidRPr="006E0A0D" w:rsidR="00D96326" w:rsidP="00E1478F" w:rsidRDefault="00D96326" w14:paraId="6B43A795" w14:textId="77777777">
      <w:pPr>
        <w:pStyle w:val="zGTC03"/>
        <w:rPr>
          <w:b/>
          <w:bCs/>
        </w:rPr>
      </w:pPr>
      <w:r>
        <w:rPr>
          <w:b/>
          <w:bCs/>
        </w:rPr>
        <w:t>Unavailability.</w:t>
      </w:r>
    </w:p>
    <w:p w:rsidRPr="006E0A0D" w:rsidR="00D96326" w:rsidP="00D96326" w:rsidRDefault="00D96326" w14:paraId="1D80E782" w14:textId="3B28E9D8">
      <w:pPr>
        <w:pStyle w:val="zGTC04"/>
        <w:rPr>
          <w:rFonts w:cs="Arial"/>
        </w:rPr>
      </w:pPr>
      <w:r>
        <w:rPr>
          <w:b/>
          <w:bCs/>
        </w:rPr>
        <w:t>Scheduled Energy Delivery Using Alternate Resource</w:t>
      </w:r>
      <w:r>
        <w:rPr>
          <w:rFonts w:cs="Arial"/>
          <w:b/>
          <w:bCs/>
        </w:rPr>
        <w:t xml:space="preserve">. </w:t>
      </w:r>
      <w:r>
        <w:rPr>
          <w:rFonts w:cs="Arial"/>
        </w:rPr>
        <w:t xml:space="preserve">Following the Delivery Commencement Date, if the </w:t>
      </w:r>
      <w:r w:rsidR="00AB6A7C">
        <w:rPr>
          <w:rFonts w:cs="Arial"/>
        </w:rPr>
        <w:t>Facility</w:t>
      </w:r>
      <w:r>
        <w:rPr>
          <w:rFonts w:cs="Arial"/>
        </w:rPr>
        <w:t xml:space="preserve"> is Unavailable because of a Forced Outage or Forced Derate, Seller will have the option to elect to substitute physical Alternate Delivery from an Alternate Resource at an Alternate Delivery Point in accordance with Sections 4.1.4(ii) (</w:t>
      </w:r>
      <w:r>
        <w:rPr>
          <w:rFonts w:cs="Arial"/>
          <w:i/>
          <w:iCs/>
          <w:szCs w:val="20"/>
        </w:rPr>
        <w:t>Requirements for Seller’s Election to Provide Energy from an Alternate Resource</w:t>
      </w:r>
      <w:r>
        <w:rPr>
          <w:rFonts w:cs="Arial"/>
        </w:rPr>
        <w:t>) and 4.1.4(iii) (</w:t>
      </w:r>
      <w:r>
        <w:rPr>
          <w:rFonts w:cs="Arial"/>
          <w:i/>
          <w:iCs/>
        </w:rPr>
        <w:t>Requirements for Exercising Delivery Right from an Alternate Resource</w:t>
      </w:r>
      <w:r>
        <w:rPr>
          <w:rFonts w:cs="Arial"/>
        </w:rPr>
        <w:t xml:space="preserve">) to meet GPC’s Schedules (subject to the other provisions of this PPA), except that Seller will only be permitted to utilize an Alternate Resource to provide that portion of Scheduled Energy that cannot be provided from the </w:t>
      </w:r>
      <w:r w:rsidR="00AB6A7C">
        <w:rPr>
          <w:rFonts w:cs="Arial"/>
        </w:rPr>
        <w:t xml:space="preserve">Facility </w:t>
      </w:r>
      <w:r>
        <w:rPr>
          <w:rFonts w:cs="Arial"/>
        </w:rPr>
        <w:t>due to the Unavailability Event.</w:t>
      </w:r>
    </w:p>
    <w:p w:rsidRPr="006E0A0D" w:rsidR="00D96326" w:rsidP="00D96326" w:rsidRDefault="00D96326" w14:paraId="753E1AC0" w14:textId="2BEC148D">
      <w:pPr>
        <w:pStyle w:val="zGTC04"/>
        <w:rPr>
          <w:rFonts w:cs="Arial"/>
        </w:rPr>
      </w:pPr>
      <w:r>
        <w:rPr>
          <w:rFonts w:cs="Arial"/>
          <w:b/>
        </w:rPr>
        <w:t xml:space="preserve">Requirements for Seller’s Election to Provide Energy from an Alternate Resource. </w:t>
      </w:r>
      <w:r>
        <w:rPr>
          <w:rFonts w:cs="Arial"/>
        </w:rPr>
        <w:t>If Seller elects to provide energy from an Alternate Resource, Seller must, to the extent the designated Alternate Resource(s) is Available, provide GPC with a uniform quantity of energy in each Hour that GPC Schedules at least that quantity of energy. The Hours (or equivalent Hours) of delivery of energy from an Alternate Resource will be incorporated as Alternate Resource Delivery Hours in the Monthly Availability Percentage calculations in accordance with Exhibit B (</w:t>
      </w:r>
      <w:r>
        <w:rPr>
          <w:rFonts w:cs="Arial"/>
          <w:i/>
        </w:rPr>
        <w:t>Capacity; Capacity Payments and Payment Reductions; Buydown</w:t>
      </w:r>
      <w:r>
        <w:rPr>
          <w:rFonts w:cs="Arial"/>
        </w:rPr>
        <w:t>), Part 3 (</w:t>
      </w:r>
      <w:r>
        <w:rPr>
          <w:rFonts w:cs="Arial"/>
          <w:i/>
        </w:rPr>
        <w:t>Monthly Availability Adjustment</w:t>
      </w:r>
      <w:r>
        <w:rPr>
          <w:rFonts w:cs="Arial"/>
        </w:rPr>
        <w:t xml:space="preserve">), and Seller’s failure to deliver from the </w:t>
      </w:r>
      <w:r w:rsidR="00AB6A7C">
        <w:rPr>
          <w:rFonts w:cs="Arial"/>
        </w:rPr>
        <w:t xml:space="preserve">Facility </w:t>
      </w:r>
      <w:r>
        <w:rPr>
          <w:rFonts w:cs="Arial"/>
        </w:rPr>
        <w:t xml:space="preserve">in the Alternate Resource Delivery Hours will not be treated as Unavailability. At GPC’s discretion, GPC may deduct from any Monthly Capacity Payment or Monthly Energy Payment the incremental additional costs incurred by GPC due to system losses caused by Seller’s delivery of Scheduled Energy from an Alternate Resource, as compared to the losses that GPC would have incurred if such Scheduled Energy were delivered from the </w:t>
      </w:r>
      <w:r w:rsidR="00AB6A7C">
        <w:rPr>
          <w:rFonts w:cs="Arial"/>
        </w:rPr>
        <w:t>Facility</w:t>
      </w:r>
      <w:r>
        <w:rPr>
          <w:rFonts w:cs="Arial"/>
        </w:rPr>
        <w:t>. GPC will determine the incremental additional energy losses in a manner consistent with the methodology utilized by GPC in applying loss penalties in its system dispatch. GPC’s methodology will not treat Seller’s Alternate Resource in a materially different manner from GPC’s other generating resources. The Operating Representatives will further develop Operating Procedures to calculate and bill Seller for such losses consistent with this Section 4.1.4(ii) (</w:t>
      </w:r>
      <w:r>
        <w:rPr>
          <w:rFonts w:cs="Arial"/>
          <w:i/>
        </w:rPr>
        <w:t>Requirements for Seller’s Election to Provide Energy from an Alternate Resource</w:t>
      </w:r>
      <w:r>
        <w:rPr>
          <w:rFonts w:cs="Arial"/>
        </w:rPr>
        <w:t>).</w:t>
      </w:r>
    </w:p>
    <w:p w:rsidRPr="006E0A0D" w:rsidR="00D96326" w:rsidP="00D96326" w:rsidRDefault="00D96326" w14:paraId="6A951E40" w14:textId="4C919448">
      <w:pPr>
        <w:pStyle w:val="zGTC04"/>
        <w:rPr>
          <w:rFonts w:cs="Arial"/>
        </w:rPr>
      </w:pPr>
      <w:r>
        <w:rPr>
          <w:rFonts w:cs="Arial"/>
          <w:b/>
          <w:bCs/>
        </w:rPr>
        <w:t xml:space="preserve">Requirements for Exercising Delivery Right from an Alternate Resource. </w:t>
      </w:r>
      <w:r>
        <w:rPr>
          <w:rFonts w:cs="Arial"/>
        </w:rPr>
        <w:t>To exercise its right to deliver energy from an Alternate Resource under Section 4.1.4.(</w:t>
      </w:r>
      <w:proofErr w:type="spellStart"/>
      <w:r>
        <w:rPr>
          <w:rFonts w:cs="Arial"/>
        </w:rPr>
        <w:t>i</w:t>
      </w:r>
      <w:proofErr w:type="spellEnd"/>
      <w:r>
        <w:rPr>
          <w:rFonts w:cs="Arial"/>
        </w:rPr>
        <w:t>) (</w:t>
      </w:r>
      <w:r>
        <w:rPr>
          <w:i/>
          <w:iCs/>
        </w:rPr>
        <w:t>Scheduled Energy Delivery Using Alternate Resource</w:t>
      </w:r>
      <w:r>
        <w:rPr>
          <w:rFonts w:cs="Arial"/>
        </w:rPr>
        <w:t>) or Section 4.1.4(iv) (</w:t>
      </w:r>
      <w:r>
        <w:rPr>
          <w:rFonts w:cs="Arial"/>
          <w:i/>
          <w:iCs/>
        </w:rPr>
        <w:t xml:space="preserve">Alternate Delivery During Force Majeure </w:t>
      </w:r>
      <w:r>
        <w:rPr>
          <w:rFonts w:cs="Arial"/>
          <w:i/>
          <w:iCs/>
        </w:rPr>
        <w:lastRenderedPageBreak/>
        <w:t>Event</w:t>
      </w:r>
      <w:r>
        <w:rPr>
          <w:rFonts w:cs="Arial"/>
        </w:rPr>
        <w:t xml:space="preserve">) during a given Day, Seller must provide GPC with advance notice in a manner agreed upon by the Operating Committee by no later than 7:00 a.m. CPT of the Business Day immediately before the Day of delivery, which notice will specify the Alternate Resource and Alternate Delivery Point. Seller must provide any other information that GPC requires for GPC to request Firm Transmission Service for the energy. Seller may propose to utilize only one Alternate Delivery Point and only one Alternate Resource for a given Day. Once Seller provides a notice of Alternate Delivery, Seller must adhere to and must not withdraw such Alternate Delivery without GPC’s written consent. Any failure to deliver energy in accordance with GPC’s Schedules from a designated Alternate Resource will reduce the Monthly Availability Percentage calculation under Exhibit B </w:t>
      </w:r>
      <w:r>
        <w:rPr>
          <w:rFonts w:cs="Arial"/>
          <w:bCs/>
          <w:szCs w:val="20"/>
          <w:u w:color="0000FF"/>
        </w:rPr>
        <w:t>(</w:t>
      </w:r>
      <w:r>
        <w:rPr>
          <w:rFonts w:cs="Arial"/>
          <w:bCs/>
          <w:i/>
          <w:iCs/>
          <w:szCs w:val="20"/>
          <w:u w:color="0000FF"/>
        </w:rPr>
        <w:t>Capacity; Capacity Payments</w:t>
      </w:r>
      <w:r>
        <w:rPr>
          <w:rFonts w:cs="Arial"/>
          <w:i/>
        </w:rPr>
        <w:t xml:space="preserve"> and Payment Reductions; Buydown</w:t>
      </w:r>
      <w:r>
        <w:rPr>
          <w:rFonts w:cs="Arial"/>
          <w:bCs/>
          <w:szCs w:val="20"/>
          <w:u w:color="0000FF"/>
        </w:rPr>
        <w:t>)</w:t>
      </w:r>
      <w:r>
        <w:rPr>
          <w:rFonts w:cs="Arial"/>
          <w:szCs w:val="20"/>
          <w:u w:color="0000FF"/>
        </w:rPr>
        <w:t>, Part 3 (</w:t>
      </w:r>
      <w:r>
        <w:rPr>
          <w:rFonts w:cs="Arial"/>
          <w:i/>
          <w:iCs/>
          <w:szCs w:val="20"/>
          <w:u w:color="0000FF"/>
        </w:rPr>
        <w:t>Monthly Availability Adjustment</w:t>
      </w:r>
      <w:r>
        <w:rPr>
          <w:rFonts w:cs="Arial"/>
          <w:szCs w:val="20"/>
          <w:u w:color="0000FF"/>
        </w:rPr>
        <w:t>)</w:t>
      </w:r>
      <w:r>
        <w:rPr>
          <w:rFonts w:cs="Arial"/>
        </w:rPr>
        <w:t>. If the Alternate Resource is interconnected to an Electric System outside the SBAA, Seller must procure Firm Transmission Service.</w:t>
      </w:r>
    </w:p>
    <w:p w:rsidRPr="006E0A0D" w:rsidR="00D96326" w:rsidP="00D96326" w:rsidRDefault="00D96326" w14:paraId="75B669AB" w14:textId="303A0EFE">
      <w:pPr>
        <w:pStyle w:val="zGTC04"/>
        <w:spacing w:before="240"/>
        <w:rPr>
          <w:rFonts w:cs="Arial"/>
          <w:szCs w:val="20"/>
        </w:rPr>
      </w:pPr>
      <w:r>
        <w:rPr>
          <w:rFonts w:cs="Arial"/>
          <w:b/>
          <w:bCs/>
          <w:szCs w:val="20"/>
        </w:rPr>
        <w:t xml:space="preserve">Alternative Delivery During Force Majeure Event. </w:t>
      </w:r>
      <w:r>
        <w:rPr>
          <w:rFonts w:cs="Arial"/>
          <w:szCs w:val="20"/>
        </w:rPr>
        <w:t xml:space="preserve">Following the Delivery Commencement Date, if </w:t>
      </w:r>
      <w:r w:rsidR="00AB6A7C">
        <w:rPr>
          <w:rFonts w:cs="Arial"/>
          <w:szCs w:val="20"/>
        </w:rPr>
        <w:t>the Facility</w:t>
      </w:r>
      <w:r>
        <w:rPr>
          <w:rFonts w:cs="Arial"/>
          <w:szCs w:val="20"/>
        </w:rPr>
        <w:t xml:space="preserve"> is Unavailable because of a Force Majeure Event, instead of the suspension of Monthly Capacity Payments to the extent provided in Section 15.4 (</w:t>
      </w:r>
      <w:r>
        <w:rPr>
          <w:rFonts w:cs="Arial"/>
          <w:i/>
          <w:iCs/>
          <w:szCs w:val="20"/>
        </w:rPr>
        <w:t>Monthly Capacity Payments</w:t>
      </w:r>
      <w:r>
        <w:rPr>
          <w:rFonts w:cs="Arial"/>
          <w:szCs w:val="20"/>
        </w:rPr>
        <w:t>), Seller will have the option to elect Alternate Delivery under Section 4.1.4(iii) (</w:t>
      </w:r>
      <w:r>
        <w:rPr>
          <w:rFonts w:cs="Arial"/>
          <w:i/>
          <w:iCs/>
        </w:rPr>
        <w:t>Requirements for Exercising Delivery Right from an Alternate Resource</w:t>
      </w:r>
      <w:r>
        <w:rPr>
          <w:rFonts w:cs="Arial"/>
        </w:rPr>
        <w:t>)</w:t>
      </w:r>
      <w:r>
        <w:rPr>
          <w:rFonts w:cs="Arial"/>
          <w:szCs w:val="20"/>
        </w:rPr>
        <w:t>.</w:t>
      </w:r>
    </w:p>
    <w:p w:rsidRPr="006E0A0D" w:rsidR="00D96326" w:rsidP="00E1478F" w:rsidRDefault="00375619" w14:paraId="7200BEF4" w14:textId="7A3EAAF2">
      <w:pPr>
        <w:pStyle w:val="zGTC03"/>
      </w:pPr>
      <w:r>
        <w:rPr>
          <w:b/>
          <w:bCs/>
        </w:rPr>
        <w:t xml:space="preserve">Declared Capacity and GPC’s Scheduling Right for </w:t>
      </w:r>
      <w:r w:rsidR="00EC4C7F">
        <w:rPr>
          <w:b/>
          <w:bCs/>
        </w:rPr>
        <w:t xml:space="preserve">Facility </w:t>
      </w:r>
      <w:r>
        <w:rPr>
          <w:b/>
          <w:bCs/>
        </w:rPr>
        <w:t xml:space="preserve">Energy Output and Ancillary Services. </w:t>
      </w:r>
      <w:r>
        <w:t>Despite Seller’s designation of the Declared Capacity in accordance with Exhibit B (</w:t>
      </w:r>
      <w:r>
        <w:rPr>
          <w:i/>
        </w:rPr>
        <w:t xml:space="preserve">Capacity; Capacity </w:t>
      </w:r>
      <w:r>
        <w:rPr>
          <w:i/>
          <w:iCs/>
        </w:rPr>
        <w:t>Payments</w:t>
      </w:r>
      <w:r>
        <w:rPr>
          <w:i/>
        </w:rPr>
        <w:t xml:space="preserve"> and Payment Reductions; Buydown</w:t>
      </w:r>
      <w:r>
        <w:t xml:space="preserve">), GPC may Schedule and receive, and if Scheduled by GPC, Seller must deliver, up to the entire energy output that the </w:t>
      </w:r>
      <w:r w:rsidR="00EC4C7F">
        <w:t xml:space="preserve">Facility </w:t>
      </w:r>
      <w:r>
        <w:t xml:space="preserve">is capable of producing when operated and all Ancillary Services associated with the </w:t>
      </w:r>
      <w:r w:rsidR="00EC4C7F">
        <w:t>Facility</w:t>
      </w:r>
      <w:r>
        <w:t>, subject to the Technical Limits and Scheduling procedures set forth in Exhibit D (</w:t>
      </w:r>
      <w:r>
        <w:rPr>
          <w:i/>
        </w:rPr>
        <w:t>Technical Limits and Schedule Procedures</w:t>
      </w:r>
      <w:r>
        <w:t>).</w:t>
      </w:r>
    </w:p>
    <w:p w:rsidRPr="00F10071" w:rsidR="00D96326" w:rsidP="00E1478F" w:rsidRDefault="00D96326" w14:paraId="21AA7DF8" w14:textId="5130FACD">
      <w:pPr>
        <w:pStyle w:val="zGTC03"/>
      </w:pPr>
      <w:r>
        <w:rPr>
          <w:b/>
          <w:bCs/>
        </w:rPr>
        <w:t xml:space="preserve">No Sale of Capacity, Energy, or Ancillary Services to a Third Party. </w:t>
      </w:r>
      <w:r w:rsidR="00EC5449">
        <w:t>During</w:t>
      </w:r>
      <w:r>
        <w:t xml:space="preserve"> the Term,</w:t>
      </w:r>
      <w:r>
        <w:rPr>
          <w:b/>
          <w:bCs/>
        </w:rPr>
        <w:t xml:space="preserve"> </w:t>
      </w:r>
      <w:r>
        <w:t xml:space="preserve">Seller must not sell any of the capacity, energy, or Ancillary Services associated with the </w:t>
      </w:r>
      <w:r w:rsidR="00EC4C7F">
        <w:t xml:space="preserve">Facility </w:t>
      </w:r>
      <w:r>
        <w:t>to any Person other than GPC, including the sale of any energy not Scheduled by GPC.</w:t>
      </w:r>
    </w:p>
    <w:p w:rsidRPr="00CF2578" w:rsidR="00D96326" w:rsidP="00E1478F" w:rsidRDefault="00D96326" w14:paraId="24AF5927" w14:textId="77777777">
      <w:pPr>
        <w:pStyle w:val="zGTC03"/>
        <w:rPr>
          <w:b/>
          <w:bCs/>
        </w:rPr>
      </w:pPr>
      <w:r>
        <w:rPr>
          <w:b/>
          <w:bCs/>
        </w:rPr>
        <w:t>Capacity Shortfall.</w:t>
      </w:r>
    </w:p>
    <w:p w:rsidRPr="00F10071" w:rsidR="00930A35" w:rsidP="00930A35" w:rsidRDefault="00D96326" w14:paraId="0C5A67E2" w14:textId="39A07B92">
      <w:pPr>
        <w:pStyle w:val="zGTC04"/>
        <w:rPr>
          <w:rFonts w:cs="Arial"/>
        </w:rPr>
      </w:pPr>
      <w:r>
        <w:rPr>
          <w:rFonts w:cs="Arial"/>
          <w:b/>
          <w:bCs/>
        </w:rPr>
        <w:t xml:space="preserve">Capacity Shortfall Declaration. </w:t>
      </w:r>
      <w:r>
        <w:rPr>
          <w:rFonts w:cs="Arial"/>
        </w:rPr>
        <w:t>GPC may declare a Capacity Shortfall if the requirements in this Section 4.1.7(</w:t>
      </w:r>
      <w:proofErr w:type="spellStart"/>
      <w:r>
        <w:rPr>
          <w:rFonts w:cs="Arial"/>
        </w:rPr>
        <w:t>i</w:t>
      </w:r>
      <w:proofErr w:type="spellEnd"/>
      <w:r>
        <w:rPr>
          <w:rFonts w:cs="Arial"/>
        </w:rPr>
        <w:t>) (</w:t>
      </w:r>
      <w:r>
        <w:rPr>
          <w:rFonts w:cs="Arial"/>
          <w:i/>
          <w:iCs/>
        </w:rPr>
        <w:t>Capacity Shortfall Declaration</w:t>
      </w:r>
      <w:r>
        <w:rPr>
          <w:rFonts w:cs="Arial"/>
        </w:rPr>
        <w:t>) are satisfied. A “</w:t>
      </w:r>
      <w:r>
        <w:rPr>
          <w:rFonts w:cs="Arial"/>
          <w:b/>
        </w:rPr>
        <w:t>Capacity Shortfall</w:t>
      </w:r>
      <w:r>
        <w:rPr>
          <w:rFonts w:cs="Arial"/>
        </w:rPr>
        <w:t xml:space="preserve">” means for any period of 30 consecutive Days: (a) the </w:t>
      </w:r>
      <w:r w:rsidR="003066F4">
        <w:rPr>
          <w:rFonts w:cs="Arial"/>
        </w:rPr>
        <w:t xml:space="preserve">Facility </w:t>
      </w:r>
      <w:r>
        <w:rPr>
          <w:rFonts w:cs="Arial"/>
        </w:rPr>
        <w:t xml:space="preserve">is Scheduled to operate at its applicable Declared Capacity; and (b) the average actual output of the </w:t>
      </w:r>
      <w:r w:rsidR="003066F4">
        <w:rPr>
          <w:rFonts w:cs="Arial"/>
        </w:rPr>
        <w:t>Facility</w:t>
      </w:r>
      <w:r>
        <w:rPr>
          <w:rFonts w:cs="Arial"/>
        </w:rPr>
        <w:t xml:space="preserve">, adjusted to applicable Reference Conditions (excluding ramping), is less than the applicable Declared Capacity. However, the calculation of a Capacity Shortfall will not include any reduction in output of the </w:t>
      </w:r>
      <w:r w:rsidR="003066F4">
        <w:rPr>
          <w:rFonts w:cs="Arial"/>
        </w:rPr>
        <w:t xml:space="preserve">Facility </w:t>
      </w:r>
      <w:r>
        <w:rPr>
          <w:rFonts w:cs="Arial"/>
        </w:rPr>
        <w:t xml:space="preserve">to the extent: (1) caused by a Force Majeure Event, a Forced Derate, or a Forced Outage, in each case that has been properly declared in accordance with the terms of this PPA; or (2) to the extent due to an Electric System outage. For the avoidance of doubt, during the Standard Seasonal Performance Periods the applicable Declared Capacity is the Declared Standard Capacity, and during the Winter Seasonal Performance Period the applicable Declared Capacity is the Declared Winter Capacity. </w:t>
      </w:r>
    </w:p>
    <w:p w:rsidR="00D96326" w:rsidP="00D96326" w:rsidRDefault="00D96326" w14:paraId="5FB15464" w14:textId="1A4F2FE8">
      <w:pPr>
        <w:pStyle w:val="zGTC05"/>
      </w:pPr>
      <w:r>
        <w:rPr>
          <w:b/>
          <w:bCs/>
        </w:rPr>
        <w:t xml:space="preserve">Capacity Shortfall Calculation Example. </w:t>
      </w:r>
      <w:r>
        <w:t xml:space="preserve">For example, Seller designated the </w:t>
      </w:r>
      <w:r w:rsidR="003066F4">
        <w:t xml:space="preserve">Facility </w:t>
      </w:r>
      <w:r>
        <w:t xml:space="preserve">to have a Declared Standard Capacity of 500 MW. During one period of 30 consecutive Days in a Standard Seasonal Performance Period, the </w:t>
      </w:r>
      <w:r w:rsidR="003066F4">
        <w:t xml:space="preserve">Facility </w:t>
      </w:r>
      <w:r>
        <w:t>was Scheduled at the Declared Standard Capacity. The Capacity Shortfall would be calculated as follows:</w:t>
      </w:r>
    </w:p>
    <w:p w:rsidR="00D96326" w:rsidP="00D96326" w:rsidRDefault="00D96326" w14:paraId="30FF5ED0" w14:textId="3A99F07B">
      <w:pPr>
        <w:pStyle w:val="zGTC05"/>
        <w:numPr>
          <w:ilvl w:val="0"/>
          <w:numId w:val="0"/>
        </w:numPr>
        <w:ind w:left="1944"/>
      </w:pPr>
      <w:r>
        <w:t xml:space="preserve">On average during the period of 30 consecutive Days the actual output of the </w:t>
      </w:r>
      <w:r w:rsidR="003066F4">
        <w:t>Facility</w:t>
      </w:r>
      <w:r>
        <w:t xml:space="preserve">, adjusted to Reference Conditions for the Standard Seasonal Performance Period, when the </w:t>
      </w:r>
      <w:r w:rsidR="003066F4">
        <w:t xml:space="preserve">Facility </w:t>
      </w:r>
      <w:r>
        <w:t xml:space="preserve">was Scheduled to operate at its Declared Standard Capacity, excluding ramping, was 483 MW, and the resulting Capacity Shortfall was 17 MW (500 MW – 483 MW = 17 MW). </w:t>
      </w:r>
    </w:p>
    <w:p w:rsidRPr="006E0A0D" w:rsidR="00D96326" w:rsidP="00D96326" w:rsidRDefault="00D96326" w14:paraId="4FE52D46" w14:textId="4FD76568">
      <w:pPr>
        <w:pStyle w:val="zGTC04"/>
        <w:rPr>
          <w:rFonts w:cs="Arial"/>
        </w:rPr>
      </w:pPr>
      <w:r>
        <w:rPr>
          <w:rFonts w:cs="Arial"/>
          <w:b/>
          <w:bCs/>
        </w:rPr>
        <w:t>Data Review after Capacity Shortfall Declaration; Declared Capacity Adjustment.</w:t>
      </w:r>
      <w:r>
        <w:rPr>
          <w:rFonts w:cs="Arial"/>
          <w:b/>
        </w:rPr>
        <w:t xml:space="preserve"> </w:t>
      </w:r>
      <w:r>
        <w:rPr>
          <w:rFonts w:cs="Arial"/>
        </w:rPr>
        <w:t xml:space="preserve">When GPC declares a Capacity Shortfall, Operating Representatives from each Party will convene, by no later than 10 Business Days after GPC’s declaration, to review the data GPC used to support the Capacity Shortfall declaration. For a Capacity Shortfall declaration, GPC will use actual Hourly generation data from the </w:t>
      </w:r>
      <w:r w:rsidR="003066F4">
        <w:rPr>
          <w:rFonts w:cs="Arial"/>
        </w:rPr>
        <w:t xml:space="preserve">Facility </w:t>
      </w:r>
      <w:r>
        <w:rPr>
          <w:rFonts w:cs="Arial"/>
        </w:rPr>
        <w:t xml:space="preserve">and the associated actual Hourly ambient conditions (i.e., temperature and humidity) as measured at the Facility to determine the Hourly </w:t>
      </w:r>
      <w:r>
        <w:rPr>
          <w:rFonts w:cs="Arial"/>
        </w:rPr>
        <w:lastRenderedPageBreak/>
        <w:t xml:space="preserve">output of the </w:t>
      </w:r>
      <w:r w:rsidR="003066F4">
        <w:rPr>
          <w:rFonts w:cs="Arial"/>
        </w:rPr>
        <w:t>Facility</w:t>
      </w:r>
      <w:r>
        <w:rPr>
          <w:rFonts w:cs="Arial"/>
        </w:rPr>
        <w:t>, as adjusted to applicable Reference Conditions. Upon the completion of the review, GPC, in its sole discretion, may elect to reduce, as applicable, for the 30 consecutive Days that triggered the Capacity Shortfall or for the remainder of the Annual Period the applicable Declared Capacity by the Capacity Shortfall. The reduction would apply to successive Annual Periods, subject to any subsequent Capacity Shortfall, unless and until such time that Seller conducts a Performance Test in accordance with Exhibit E (</w:t>
      </w:r>
      <w:r>
        <w:rPr>
          <w:rFonts w:cs="Arial"/>
          <w:i/>
          <w:iCs/>
        </w:rPr>
        <w:t>Performance Testing Procedures</w:t>
      </w:r>
      <w:r>
        <w:rPr>
          <w:rFonts w:cs="Arial"/>
        </w:rPr>
        <w:t>) and establishes a different Declared Capacity in accordance with Exhibit B (</w:t>
      </w:r>
      <w:r>
        <w:rPr>
          <w:rFonts w:cs="Arial"/>
          <w:i/>
          <w:iCs/>
        </w:rPr>
        <w:t xml:space="preserve">Capacity; </w:t>
      </w:r>
      <w:proofErr w:type="gramStart"/>
      <w:r>
        <w:rPr>
          <w:rFonts w:cs="Arial"/>
          <w:i/>
          <w:iCs/>
        </w:rPr>
        <w:t>Capacity Payments</w:t>
      </w:r>
      <w:proofErr w:type="gramEnd"/>
      <w:r>
        <w:rPr>
          <w:rFonts w:cs="Arial"/>
          <w:i/>
        </w:rPr>
        <w:t xml:space="preserve"> and Payment Reductions; Buydown</w:t>
      </w:r>
      <w:r>
        <w:rPr>
          <w:rFonts w:cs="Arial"/>
        </w:rPr>
        <w:t xml:space="preserve">). </w:t>
      </w:r>
    </w:p>
    <w:p w:rsidRPr="006E0A0D" w:rsidR="00D96326" w:rsidP="00D96326" w:rsidRDefault="00375619" w14:paraId="2606BCDC" w14:textId="0CD7019D">
      <w:pPr>
        <w:pStyle w:val="zGTC05"/>
      </w:pPr>
      <w:r>
        <w:rPr>
          <w:b/>
          <w:bCs/>
        </w:rPr>
        <w:t xml:space="preserve">Declared Capacity Calculation Example. </w:t>
      </w:r>
      <w:r>
        <w:t>The following would be the Declared Capacity reduction for the example set forth in Section 4.1.7(</w:t>
      </w:r>
      <w:proofErr w:type="spellStart"/>
      <w:r>
        <w:t>i</w:t>
      </w:r>
      <w:proofErr w:type="spellEnd"/>
      <w:r>
        <w:t>)(a) (</w:t>
      </w:r>
      <w:r>
        <w:rPr>
          <w:i/>
          <w:iCs/>
        </w:rPr>
        <w:t>Capacity Shortfall Calculation Example</w:t>
      </w:r>
      <w:r>
        <w:t>): the Capacity Shortfall is 17 MW, and GPC could elect to reduce the Declared Standard Capacity by 17 MW.</w:t>
      </w:r>
    </w:p>
    <w:p w:rsidRPr="006E0A0D" w:rsidR="00D96326" w:rsidP="00D96326" w:rsidRDefault="00D96326" w14:paraId="6B880302" w14:textId="155A311C">
      <w:pPr>
        <w:pStyle w:val="zGTC04"/>
        <w:rPr>
          <w:rFonts w:cs="Arial"/>
          <w:szCs w:val="20"/>
        </w:rPr>
      </w:pPr>
      <w:r>
        <w:rPr>
          <w:rFonts w:cs="Arial"/>
          <w:b/>
          <w:bCs/>
          <w:szCs w:val="20"/>
        </w:rPr>
        <w:t xml:space="preserve">Seller </w:t>
      </w:r>
      <w:r>
        <w:rPr>
          <w:rFonts w:cs="Arial"/>
          <w:b/>
          <w:bCs/>
        </w:rPr>
        <w:t xml:space="preserve">Dispute Regarding Capacity Shortfall Declaration. </w:t>
      </w:r>
      <w:r>
        <w:rPr>
          <w:rFonts w:cs="Arial"/>
          <w:szCs w:val="20"/>
        </w:rPr>
        <w:t xml:space="preserve">If Seller disputes GPC’s Capacity Shortfall declaration, the matter will be resolved </w:t>
      </w:r>
      <w:r>
        <w:rPr>
          <w:rFonts w:cs="Arial"/>
        </w:rPr>
        <w:t>in accordance with</w:t>
      </w:r>
      <w:r>
        <w:rPr>
          <w:rFonts w:cs="Arial"/>
          <w:szCs w:val="20"/>
        </w:rPr>
        <w:t xml:space="preserve"> Part 19 (</w:t>
      </w:r>
      <w:r>
        <w:rPr>
          <w:rFonts w:cs="Arial"/>
          <w:i/>
          <w:iCs/>
          <w:szCs w:val="20"/>
        </w:rPr>
        <w:t>Dispute Resolution</w:t>
      </w:r>
      <w:r>
        <w:rPr>
          <w:rFonts w:cs="Arial"/>
          <w:szCs w:val="20"/>
        </w:rPr>
        <w:t xml:space="preserve">). If </w:t>
      </w:r>
      <w:r>
        <w:rPr>
          <w:rFonts w:cs="Arial"/>
        </w:rPr>
        <w:t>GPC</w:t>
      </w:r>
      <w:r>
        <w:rPr>
          <w:rFonts w:cs="Arial"/>
          <w:szCs w:val="20"/>
        </w:rPr>
        <w:t xml:space="preserve"> elects to reduce the applicable Declared Capacity </w:t>
      </w:r>
      <w:r>
        <w:rPr>
          <w:rFonts w:cs="Arial"/>
        </w:rPr>
        <w:t>in accordance with</w:t>
      </w:r>
      <w:r>
        <w:rPr>
          <w:rFonts w:cs="Arial"/>
          <w:szCs w:val="20"/>
        </w:rPr>
        <w:t xml:space="preserve"> Section 4.1.7(ii) (</w:t>
      </w:r>
      <w:r>
        <w:rPr>
          <w:rFonts w:cs="Arial"/>
          <w:i/>
          <w:iCs/>
        </w:rPr>
        <w:t>Data Review after Capacity Shortfall Declaration; Declared Capacity Adjustment</w:t>
      </w:r>
      <w:r>
        <w:rPr>
          <w:rFonts w:cs="Arial"/>
          <w:szCs w:val="20"/>
        </w:rPr>
        <w:t xml:space="preserve">), </w:t>
      </w:r>
      <w:r>
        <w:rPr>
          <w:rFonts w:cs="Arial"/>
        </w:rPr>
        <w:t>GPC</w:t>
      </w:r>
      <w:r>
        <w:rPr>
          <w:rFonts w:cs="Arial"/>
          <w:szCs w:val="20"/>
        </w:rPr>
        <w:t xml:space="preserve"> will </w:t>
      </w:r>
      <w:proofErr w:type="gramStart"/>
      <w:r>
        <w:rPr>
          <w:rFonts w:cs="Arial"/>
          <w:szCs w:val="20"/>
        </w:rPr>
        <w:t>provide to</w:t>
      </w:r>
      <w:proofErr w:type="gramEnd"/>
      <w:r>
        <w:rPr>
          <w:rFonts w:cs="Arial"/>
          <w:szCs w:val="20"/>
        </w:rPr>
        <w:t xml:space="preserve"> Seller notice of the reduction in that Declared Capacity and its effective date.</w:t>
      </w:r>
    </w:p>
    <w:p w:rsidRPr="006E0A0D" w:rsidR="00D96326" w:rsidP="00D96326" w:rsidRDefault="00D96326" w14:paraId="5BE861AE" w14:textId="77777777">
      <w:pPr>
        <w:pStyle w:val="zGTC02"/>
        <w:rPr>
          <w:rFonts w:ascii="Arial" w:hAnsi="Arial" w:eastAsia="PMingLiU" w:cs="Arial"/>
          <w:vanish/>
          <w:szCs w:val="20"/>
          <w:specVanish/>
        </w:rPr>
      </w:pPr>
      <w:bookmarkStart w:name="_Toc212475648" w:id="59"/>
      <w:bookmarkStart w:name="_Toc227838346" w:id="60"/>
      <w:r>
        <w:rPr>
          <w:rFonts w:ascii="Arial" w:hAnsi="Arial" w:cs="Arial"/>
          <w:szCs w:val="20"/>
        </w:rPr>
        <w:t>Calculation of Monthly Capacity Payments.</w:t>
      </w:r>
      <w:bookmarkEnd w:id="59"/>
      <w:bookmarkEnd w:id="60"/>
    </w:p>
    <w:p w:rsidRPr="006E0A0D" w:rsidR="00D96326" w:rsidP="00D96326" w:rsidRDefault="00D96326" w14:paraId="7CF83716" w14:textId="7A7E29C3">
      <w:pPr>
        <w:pStyle w:val="zGNormal"/>
      </w:pPr>
      <w:r>
        <w:t xml:space="preserve"> Subject to the terms of this PPA, GPC will pay Seller a Monthly Capacity Payment calculated in accordance with </w:t>
      </w:r>
      <w:r>
        <w:rPr>
          <w:bCs/>
        </w:rPr>
        <w:t>Exhibit B (</w:t>
      </w:r>
      <w:r>
        <w:rPr>
          <w:bCs/>
          <w:i/>
          <w:iCs/>
        </w:rPr>
        <w:t>Capacity; Capacity Payments</w:t>
      </w:r>
      <w:r>
        <w:rPr>
          <w:i/>
        </w:rPr>
        <w:t xml:space="preserve"> and Payment Reductions; Buydown</w:t>
      </w:r>
      <w:r>
        <w:rPr>
          <w:bCs/>
        </w:rPr>
        <w:t>), Part 2 (</w:t>
      </w:r>
      <w:r>
        <w:rPr>
          <w:bCs/>
          <w:i/>
          <w:iCs/>
        </w:rPr>
        <w:t>Monthly Capacity Payment</w:t>
      </w:r>
      <w:r>
        <w:rPr>
          <w:bCs/>
        </w:rPr>
        <w:t>)</w:t>
      </w:r>
      <w:r>
        <w:t>. Other than the Monthly Capacity Payments, GPC will not owe Seller any payment or other compensation for the Facility’s capacity.</w:t>
      </w:r>
    </w:p>
    <w:p w:rsidRPr="006E0A0D" w:rsidR="00D96326" w:rsidP="00D96326" w:rsidRDefault="00D96326" w14:paraId="59662FE4" w14:textId="77777777">
      <w:pPr>
        <w:pStyle w:val="zGTC02"/>
        <w:rPr>
          <w:rFonts w:ascii="Arial" w:hAnsi="Arial" w:eastAsia="PMingLiU" w:cs="Arial"/>
          <w:vanish/>
          <w:szCs w:val="20"/>
          <w:specVanish/>
        </w:rPr>
      </w:pPr>
      <w:bookmarkStart w:name="_Toc212475649" w:id="61"/>
      <w:bookmarkStart w:name="_Toc227838347" w:id="62"/>
      <w:r>
        <w:rPr>
          <w:rFonts w:ascii="Arial" w:hAnsi="Arial" w:cs="Arial"/>
          <w:szCs w:val="20"/>
        </w:rPr>
        <w:t>Calculation of Monthly Energy Payments.</w:t>
      </w:r>
      <w:bookmarkEnd w:id="61"/>
      <w:bookmarkEnd w:id="62"/>
    </w:p>
    <w:p w:rsidRPr="006E0A0D" w:rsidR="00D96326" w:rsidP="00D96326" w:rsidRDefault="00D96326" w14:paraId="4048230E" w14:textId="0FBED45E">
      <w:pPr>
        <w:pStyle w:val="zGNormal"/>
      </w:pPr>
      <w:r>
        <w:t xml:space="preserve"> Subject to the terms of this PPA, </w:t>
      </w:r>
      <w:r>
        <w:rPr>
          <w:bCs/>
        </w:rPr>
        <w:t>GPC</w:t>
      </w:r>
      <w:r>
        <w:t xml:space="preserve"> </w:t>
      </w:r>
      <w:r>
        <w:rPr>
          <w:bCs/>
        </w:rPr>
        <w:t>will</w:t>
      </w:r>
      <w:r>
        <w:t xml:space="preserve"> pay Seller a Monthly Energy Payment calculated in accordance with Exhibit C (</w:t>
      </w:r>
      <w:r>
        <w:rPr>
          <w:bCs/>
          <w:i/>
          <w:iCs/>
        </w:rPr>
        <w:t>Energy Payment Calculation</w:t>
      </w:r>
      <w:r>
        <w:t>), Part 1 (</w:t>
      </w:r>
      <w:r>
        <w:rPr>
          <w:bCs/>
          <w:i/>
          <w:iCs/>
        </w:rPr>
        <w:t>Monthly Energy Payment</w:t>
      </w:r>
      <w:r>
        <w:t>). Despite any other provision in this PPA, the Monthly Energy Payments include all compensation owed to Seller for Ancillary Services associated with energy delivered to the POD.</w:t>
      </w:r>
    </w:p>
    <w:p w:rsidRPr="006E0A0D" w:rsidR="00D96326" w:rsidP="00D96326" w:rsidRDefault="00D96326" w14:paraId="2A75B923" w14:textId="77777777">
      <w:pPr>
        <w:pStyle w:val="zGTC02"/>
        <w:rPr>
          <w:rFonts w:ascii="Arial" w:hAnsi="Arial" w:eastAsia="PMingLiU" w:cs="Arial"/>
          <w:vanish/>
          <w:szCs w:val="20"/>
          <w:specVanish/>
        </w:rPr>
      </w:pPr>
      <w:bookmarkStart w:name="_Toc212475650" w:id="63"/>
      <w:bookmarkStart w:name="_Toc227838348" w:id="64"/>
      <w:r>
        <w:t>Substitution of a Unit at the Site.</w:t>
      </w:r>
      <w:bookmarkEnd w:id="63"/>
      <w:bookmarkEnd w:id="64"/>
    </w:p>
    <w:p w:rsidRPr="008E577E" w:rsidR="00D96326" w:rsidP="00A54A90" w:rsidRDefault="00D96326" w14:paraId="6553E8C2" w14:textId="44BD3A96">
      <w:pPr>
        <w:pStyle w:val="zGTC03"/>
      </w:pPr>
      <w:r>
        <w:t xml:space="preserve"> </w:t>
      </w:r>
      <w:r>
        <w:rPr>
          <w:b/>
          <w:bCs/>
        </w:rPr>
        <w:t xml:space="preserve">Current Unit Replacement with Substitute Unit. </w:t>
      </w:r>
      <w:r>
        <w:t>Without limiting the application of Section 4.1.4 (</w:t>
      </w:r>
      <w:r>
        <w:rPr>
          <w:i/>
          <w:iCs/>
        </w:rPr>
        <w:t>Unavailability</w:t>
      </w:r>
      <w:r>
        <w:t>), to improve Seller’s performance under this PPA regarding capacity availability and energy supply reliability, Seller may propose by notice to GPC  to replace a Unit then comprising the Facility (“</w:t>
      </w:r>
      <w:r>
        <w:rPr>
          <w:b/>
          <w:bCs/>
        </w:rPr>
        <w:t>Current Unit</w:t>
      </w:r>
      <w:r>
        <w:t>”) with another CT generating unit at the Site (“</w:t>
      </w:r>
      <w:r>
        <w:rPr>
          <w:b/>
          <w:bCs/>
        </w:rPr>
        <w:t>Substitute Unit</w:t>
      </w:r>
      <w:r>
        <w:t>”) (including a unit that had been previously substituted under this Section 4.4 (</w:t>
      </w:r>
      <w:r>
        <w:rPr>
          <w:i/>
          <w:iCs/>
        </w:rPr>
        <w:t>Substitution of a Unit at the Site</w:t>
      </w:r>
      <w:r>
        <w:t xml:space="preserve">) that satisfies the Substitution Eligibility Criteria and otherwise is capable of reliably meeting GPC’s Schedules. However, despite any other provision in this PPA, GPC, in GPC’s sole discretion, may reject any proposed replacement of a Current Unit, including rejection of any proposed Substitute Unit that satisfies the Substitution Eligibility Criteria. </w:t>
      </w:r>
      <w:r w:rsidRPr="00E20261" w:rsidR="00E20261">
        <w:t>Unless otherwise agreed by GPC, in GPC’s sole discretion, any replacement of the Current Unit with a Substitute Unit approved by GPC will occur: (</w:t>
      </w:r>
      <w:proofErr w:type="spellStart"/>
      <w:r w:rsidRPr="00E20261" w:rsidR="00E20261">
        <w:t>i</w:t>
      </w:r>
      <w:proofErr w:type="spellEnd"/>
      <w:r w:rsidRPr="00E20261" w:rsidR="00E20261">
        <w:t>) no earlier than 60 Days after GPC receives Seller’s notice to GPC  proposing the replacement; but (ii) no later than the later of (a) 6 Months after GPC’s receipt of Seller’s notice to GPC  proposing the replacement; and (b) 12 Months after another unit replacement under this Section 4.4 (</w:t>
      </w:r>
      <w:r w:rsidRPr="00E20261" w:rsidR="00E20261">
        <w:rPr>
          <w:i/>
          <w:iCs/>
        </w:rPr>
        <w:t>Substitution of a Unit at the Site</w:t>
      </w:r>
      <w:r w:rsidRPr="00E20261" w:rsidR="00E20261">
        <w:t>)</w:t>
      </w:r>
      <w:r>
        <w:t>.</w:t>
      </w:r>
    </w:p>
    <w:p w:rsidRPr="008E577E" w:rsidR="00D96326" w:rsidP="00A54A90" w:rsidRDefault="00D96326" w14:paraId="5F154E64" w14:textId="6029916A">
      <w:pPr>
        <w:pStyle w:val="zGTC03"/>
        <w:rPr>
          <w:bCs/>
        </w:rPr>
      </w:pPr>
      <w:r>
        <w:rPr>
          <w:b/>
          <w:bCs/>
        </w:rPr>
        <w:t>Substitution Eligibility.</w:t>
      </w:r>
      <w:r>
        <w:t xml:space="preserve"> Unless otherwise agreed by GPC, in its sole discretion, a CT generating unit at the Site must satisfy all of the following criteria to be eligible for consideration as a proposed Substitute Unit (collectively, “</w:t>
      </w:r>
      <w:r>
        <w:rPr>
          <w:b/>
          <w:bCs/>
        </w:rPr>
        <w:t>Substitution Eligibility Criteria</w:t>
      </w:r>
      <w:r>
        <w:t>”): (</w:t>
      </w:r>
      <w:proofErr w:type="spellStart"/>
      <w:r>
        <w:t>i</w:t>
      </w:r>
      <w:proofErr w:type="spellEnd"/>
      <w:r>
        <w:t>) GPC must be able to obtain sufficient Firm Transmission Service delivery rights on the Electric System, without any modification to the Electric System being necessary, to permit the replacement of the Current Unit with the proposed Substitute Unit; (ii) the proposed Substitute Unit cannot be designated under any other firm power sale obligation by Seller for the proposed replacement period; (iii) during the 365</w:t>
      </w:r>
      <w:r w:rsidR="00FE1880">
        <w:t>/366</w:t>
      </w:r>
      <w:r>
        <w:t xml:space="preserve"> Days period before Seller’s notice to GPC proposing the replacement, the proposed Substitute Unit had a Forced Outage rate that was less than the Forced Outage rate during the same period for the Current Unit, or, if the proposed Substitute Unit cannot satisfy the Forced Outage rate requirement, Seller demonstrates to GPC’s satisfaction that the reasonably anticipated availability of the proposed Substitute Unit during the next Annual Period will be equal to or greater than the reasonably anticipated availability of the Current Unit, in each case based on credible information, analysis and projections; (iv) the Declared Standard Capacity of the proposed Substitute Unit, as determined in accordance with </w:t>
      </w:r>
      <w:r>
        <w:rPr>
          <w:bCs/>
        </w:rPr>
        <w:t>Exhibit B (</w:t>
      </w:r>
      <w:r>
        <w:rPr>
          <w:bCs/>
          <w:i/>
          <w:iCs/>
        </w:rPr>
        <w:t>Capacity; Capacity Payments</w:t>
      </w:r>
      <w:r>
        <w:rPr>
          <w:i/>
        </w:rPr>
        <w:t xml:space="preserve"> and Payment Reductions; Buydown</w:t>
      </w:r>
      <w:r>
        <w:rPr>
          <w:bCs/>
        </w:rPr>
        <w:t xml:space="preserve">), will be no less than the lower limit of the Standard Capacity Range and will not exceed the Declared Standard Capacity of the Current Unit; and (v) the Declared Winter Capacity of the </w:t>
      </w:r>
      <w:r>
        <w:rPr>
          <w:bCs/>
        </w:rPr>
        <w:lastRenderedPageBreak/>
        <w:t>proposed Substitute Unit, as determined in accordance with Exhibit B, will be no less than the lower limit of the Winter Capacity Range and will not exceed the Declared Winter Capacity of the Current Unit.</w:t>
      </w:r>
    </w:p>
    <w:p w:rsidRPr="008E577E" w:rsidR="00D96326" w:rsidP="008F3AD7" w:rsidRDefault="00D96326" w14:paraId="4F6D378E" w14:textId="7BF62707">
      <w:pPr>
        <w:pStyle w:val="zGTC03"/>
      </w:pPr>
      <w:r>
        <w:rPr>
          <w:b/>
        </w:rPr>
        <w:t xml:space="preserve">Performance Testing. </w:t>
      </w:r>
      <w:r>
        <w:t>If Seller provides notice proposing the replacement of the Current Unit with a Substitute Unit in accordance with Section 4.4.1 (</w:t>
      </w:r>
      <w:r>
        <w:rPr>
          <w:i/>
          <w:iCs/>
        </w:rPr>
        <w:t>Current Unit Replacement with Substitute Unit</w:t>
      </w:r>
      <w:r>
        <w:t>), Seller must, as part of the proposal and at Seller’s expense, complete a Performance Test on the proposed Substitute Unit in accordance with Exhibit E (</w:t>
      </w:r>
      <w:r>
        <w:rPr>
          <w:i/>
          <w:iCs/>
        </w:rPr>
        <w:t>Performance Testing Procedures</w:t>
      </w:r>
      <w:r>
        <w:t>) to determine the Declared Standard Capacity and Declared Winter Capacity of the Substitute Unit in accordance with Exhibit B (</w:t>
      </w:r>
      <w:r>
        <w:rPr>
          <w:i/>
          <w:iCs/>
        </w:rPr>
        <w:t>Capacity; Capacity Payments</w:t>
      </w:r>
      <w:r>
        <w:rPr>
          <w:i/>
        </w:rPr>
        <w:t xml:space="preserve"> and Payment Reductions; Buydown</w:t>
      </w:r>
      <w:r>
        <w:t>).</w:t>
      </w:r>
    </w:p>
    <w:p w:rsidRPr="008E577E" w:rsidR="00D96326" w:rsidP="008F3AD7" w:rsidRDefault="00D96326" w14:paraId="2BF92BA3" w14:textId="35BC7AE2">
      <w:pPr>
        <w:pStyle w:val="zGTC03"/>
      </w:pPr>
      <w:r>
        <w:rPr>
          <w:b/>
          <w:bCs/>
        </w:rPr>
        <w:t xml:space="preserve">Supporting Information and Documentation. </w:t>
      </w:r>
      <w:r>
        <w:t>Seller’s notice to GPC proposing the replacement of the Current Unit with the Substitute Unit must contain necessary supporting information and documentation regarding Substitution Eligibility Criteria definition items (ii), (iii), (iv), and (v). If Seller proposes the replacement of the Current Unit with a Substitute Unit for a period less than the remainder of the Term, the proposal must include details regarding the subsequent replacement of the Substitute Unit under this Section 4.4 (</w:t>
      </w:r>
      <w:r>
        <w:rPr>
          <w:i/>
          <w:iCs/>
        </w:rPr>
        <w:t>Substitution of a Unit at the Site</w:t>
      </w:r>
      <w:r>
        <w:t>) at the end of the defined period.</w:t>
      </w:r>
    </w:p>
    <w:p w:rsidRPr="008E577E" w:rsidR="00D96326" w:rsidP="008F3AD7" w:rsidRDefault="00D96326" w14:paraId="110BD905" w14:textId="0527FEBB">
      <w:pPr>
        <w:pStyle w:val="zGTC03"/>
      </w:pPr>
      <w:r>
        <w:rPr>
          <w:b/>
          <w:bCs/>
        </w:rPr>
        <w:t xml:space="preserve">Additional Terms for Subsequent Replacement of Substitute Unit. </w:t>
      </w:r>
      <w:r>
        <w:t>In the case of a proposal for the replacement of the Current Unit with a Substitute Unit for a period less than the remainder of the Term, GPC may require, as a condition to GPC’s acceptance of the proposed Substitute Unit, additional terms to address the subsequent replacement of the Substitute Unit under this Section 4.4 (</w:t>
      </w:r>
      <w:r>
        <w:rPr>
          <w:i/>
          <w:iCs/>
        </w:rPr>
        <w:t>Substitution of a Unit at the Site</w:t>
      </w:r>
      <w:r>
        <w:t>) at the end of the defined period.</w:t>
      </w:r>
    </w:p>
    <w:p w:rsidRPr="008E577E" w:rsidR="00D96326" w:rsidP="008F3AD7" w:rsidRDefault="00D96326" w14:paraId="0E914F44" w14:textId="434DC32B">
      <w:pPr>
        <w:pStyle w:val="zGTC03"/>
      </w:pPr>
      <w:r>
        <w:rPr>
          <w:b/>
          <w:bCs/>
        </w:rPr>
        <w:t xml:space="preserve">Replacement with Substitute Unit After Acceptance. </w:t>
      </w:r>
      <w:r>
        <w:t xml:space="preserve">If GPC, in its sole discretion, accepts the proposed Substitute Unit, the Substitute Unit </w:t>
      </w:r>
      <w:r w:rsidR="007C5BBD">
        <w:t xml:space="preserve">will replace the Current Unit </w:t>
      </w:r>
      <w:r>
        <w:t xml:space="preserve">as </w:t>
      </w:r>
      <w:r w:rsidR="00433191">
        <w:t xml:space="preserve">a </w:t>
      </w:r>
      <w:r>
        <w:t>Unit under this PPA, effective as of the replacement date as determined under Section 4.4.1</w:t>
      </w:r>
      <w:r>
        <w:rPr>
          <w:bCs/>
        </w:rPr>
        <w:t xml:space="preserve"> (</w:t>
      </w:r>
      <w:r>
        <w:rPr>
          <w:bCs/>
          <w:i/>
          <w:iCs/>
        </w:rPr>
        <w:t>Current Unit Replacement with Substitute Unit</w:t>
      </w:r>
      <w:r>
        <w:rPr>
          <w:bCs/>
        </w:rPr>
        <w:t>)</w:t>
      </w:r>
      <w:r>
        <w:t>.</w:t>
      </w:r>
    </w:p>
    <w:p w:rsidRPr="008E577E" w:rsidR="00D96326" w:rsidP="00D96326" w:rsidRDefault="00D96326" w14:paraId="779A8AE3" w14:textId="77777777">
      <w:pPr>
        <w:pStyle w:val="zGTC01"/>
        <w:rPr>
          <w:rFonts w:ascii="Arial" w:hAnsi="Arial"/>
          <w:szCs w:val="20"/>
        </w:rPr>
      </w:pPr>
      <w:bookmarkStart w:name="_Toc212475651" w:id="65"/>
      <w:bookmarkStart w:name="_Toc227838349" w:id="66"/>
      <w:r>
        <w:rPr>
          <w:rFonts w:ascii="Arial" w:hAnsi="Arial"/>
          <w:szCs w:val="20"/>
        </w:rPr>
        <w:t>Billing and Collections</w:t>
      </w:r>
      <w:bookmarkEnd w:id="65"/>
      <w:bookmarkEnd w:id="66"/>
    </w:p>
    <w:p w:rsidRPr="008E577E" w:rsidR="00D96326" w:rsidP="00D96326" w:rsidRDefault="00D96326" w14:paraId="7ECF2697" w14:textId="77777777">
      <w:pPr>
        <w:pStyle w:val="zGTC02"/>
        <w:rPr>
          <w:rFonts w:ascii="Arial" w:hAnsi="Arial" w:eastAsia="PMingLiU" w:cs="Arial"/>
          <w:vanish/>
          <w:szCs w:val="20"/>
          <w:specVanish/>
        </w:rPr>
      </w:pPr>
      <w:bookmarkStart w:name="_Toc212475652" w:id="67"/>
      <w:bookmarkStart w:name="_Toc227838350" w:id="68"/>
      <w:r>
        <w:rPr>
          <w:rFonts w:ascii="Arial" w:hAnsi="Arial" w:cs="Arial"/>
          <w:szCs w:val="20"/>
        </w:rPr>
        <w:t>Capacity and Energy Billing and Payment.</w:t>
      </w:r>
      <w:bookmarkEnd w:id="67"/>
      <w:bookmarkEnd w:id="68"/>
    </w:p>
    <w:p w:rsidRPr="008E577E" w:rsidR="00D96326" w:rsidP="00D96326" w:rsidRDefault="00D96326" w14:paraId="6C086012" w14:textId="77777777">
      <w:pPr>
        <w:pStyle w:val="zGTC02"/>
        <w:numPr>
          <w:ilvl w:val="0"/>
          <w:numId w:val="0"/>
        </w:numPr>
        <w:rPr>
          <w:rFonts w:ascii="Arial" w:hAnsi="Arial" w:cs="Arial"/>
          <w:szCs w:val="20"/>
        </w:rPr>
      </w:pPr>
    </w:p>
    <w:p w:rsidRPr="008E577E" w:rsidR="00D96326" w:rsidP="008F3AD7" w:rsidRDefault="00D96326" w14:paraId="185A7E10" w14:textId="7B990E76">
      <w:pPr>
        <w:pStyle w:val="zGTC03"/>
      </w:pPr>
      <w:r>
        <w:rPr>
          <w:b/>
          <w:bCs/>
        </w:rPr>
        <w:t xml:space="preserve">Seller Invoices. </w:t>
      </w:r>
      <w:r>
        <w:t>Subject to Section 5.2 (</w:t>
      </w:r>
      <w:r>
        <w:rPr>
          <w:i/>
          <w:iCs/>
        </w:rPr>
        <w:t>Billing Disputes and Final Accounting</w:t>
      </w:r>
      <w:r>
        <w:t>), by no later than</w:t>
      </w:r>
      <w:r>
        <w:rPr>
          <w:vertAlign w:val="superscript"/>
        </w:rPr>
        <w:t xml:space="preserve"> </w:t>
      </w:r>
      <w:r>
        <w:t xml:space="preserve">the 10th Day of each Month (commencing with the first Month after the Delivery Commencement Date), Seller must send </w:t>
      </w:r>
      <w:r w:rsidR="008E73E3">
        <w:t xml:space="preserve">to </w:t>
      </w:r>
      <w:r>
        <w:t>GPC an invoice stating the Monthly Capacity Payment, the Monthly Energy Payment, and, if applicable, any Monthly Availability Adjustment for the immediately preceding Month (“</w:t>
      </w:r>
      <w:r>
        <w:rPr>
          <w:b/>
        </w:rPr>
        <w:t>Monthly Invoice</w:t>
      </w:r>
      <w:r>
        <w:t>”). If</w:t>
      </w:r>
      <w:r>
        <w:rPr>
          <w:vertAlign w:val="superscript"/>
        </w:rPr>
        <w:t xml:space="preserve"> </w:t>
      </w:r>
      <w:r>
        <w:t xml:space="preserve">the 10th Day is not a Business Day, Seller must send </w:t>
      </w:r>
      <w:r w:rsidR="00397D39">
        <w:t xml:space="preserve">to </w:t>
      </w:r>
      <w:r>
        <w:t>GPC the applicable Monthly Invoice by no later than the Business Day succeeding</w:t>
      </w:r>
      <w:r>
        <w:rPr>
          <w:vertAlign w:val="superscript"/>
        </w:rPr>
        <w:t xml:space="preserve"> </w:t>
      </w:r>
      <w:r>
        <w:t xml:space="preserve">the 10th Day. The </w:t>
      </w:r>
      <w:r w:rsidR="00DD1E9F">
        <w:t>Monthly Invoice</w:t>
      </w:r>
      <w:r>
        <w:t xml:space="preserve"> must </w:t>
      </w:r>
      <w:r w:rsidR="00397D39">
        <w:t xml:space="preserve">also </w:t>
      </w:r>
      <w:r>
        <w:t>specify any other payment required to be made by either Party in accordance with this PPA.</w:t>
      </w:r>
    </w:p>
    <w:p w:rsidRPr="008E577E" w:rsidR="00C7482E" w:rsidP="008F3AD7" w:rsidRDefault="6CB18711" w14:paraId="383212E6" w14:textId="0C2DFBB5">
      <w:pPr>
        <w:pStyle w:val="zGTC03"/>
      </w:pPr>
      <w:r>
        <w:rPr>
          <w:b/>
          <w:bCs/>
        </w:rPr>
        <w:t xml:space="preserve">Notice of </w:t>
      </w:r>
      <w:r>
        <w:rPr>
          <w:b/>
        </w:rPr>
        <w:t>Invoice</w:t>
      </w:r>
      <w:r>
        <w:rPr>
          <w:b/>
          <w:bCs/>
        </w:rPr>
        <w:t xml:space="preserve"> Adjustments.</w:t>
      </w:r>
      <w:r>
        <w:t xml:space="preserve"> By no later than the 10th Business Day of each Month (commencing with </w:t>
      </w:r>
      <w:r w:rsidR="00397D39">
        <w:t xml:space="preserve">the </w:t>
      </w:r>
      <w:r>
        <w:t xml:space="preserve">first Month after the Delivery Commencement Date), GPC will provide Seller notice of any amount that must be deducted from amounts owed by GPC to Seller, including, if applicable, any Monthly Availability Adjustment for the immediately preceding Month or true-up. </w:t>
      </w:r>
      <w:r w:rsidR="00BD4732">
        <w:t>After receipt of GPC’s notice, Seller must provide an appropriately adjusted Monthly Invoice.</w:t>
      </w:r>
    </w:p>
    <w:p w:rsidRPr="008E577E" w:rsidR="00D96326" w:rsidP="008F3AD7" w:rsidRDefault="007A0F9B" w14:paraId="62A2F876" w14:textId="5C02A6C0">
      <w:pPr>
        <w:pStyle w:val="zGTC03"/>
      </w:pPr>
      <w:r>
        <w:rPr>
          <w:b/>
          <w:bCs/>
        </w:rPr>
        <w:t xml:space="preserve">GPC </w:t>
      </w:r>
      <w:r w:rsidR="00D96326">
        <w:rPr>
          <w:b/>
          <w:bCs/>
        </w:rPr>
        <w:t xml:space="preserve">Invoice Payments. </w:t>
      </w:r>
      <w:r w:rsidR="00D96326">
        <w:t>GPC will pay all Monthly Invoices on or before</w:t>
      </w:r>
      <w:r w:rsidR="00D96326">
        <w:rPr>
          <w:vertAlign w:val="superscript"/>
        </w:rPr>
        <w:t xml:space="preserve"> </w:t>
      </w:r>
      <w:r w:rsidR="00D96326">
        <w:t>the 20th Day after GPC’s receipt of the Monthly Invoice. If</w:t>
      </w:r>
      <w:r w:rsidR="00D96326">
        <w:rPr>
          <w:vertAlign w:val="superscript"/>
        </w:rPr>
        <w:t xml:space="preserve"> </w:t>
      </w:r>
      <w:r w:rsidR="00D96326">
        <w:t>the 20th Day is not a Business Day, then GPC may pay the Monthly Invoice by the Business Day succeeding</w:t>
      </w:r>
      <w:r w:rsidR="00D96326">
        <w:rPr>
          <w:vertAlign w:val="superscript"/>
        </w:rPr>
        <w:t xml:space="preserve"> </w:t>
      </w:r>
      <w:r w:rsidR="00D96326">
        <w:t>the 20th Day. Subject to Sections 5.1.4 (</w:t>
      </w:r>
      <w:r w:rsidR="00D96326">
        <w:rPr>
          <w:i/>
          <w:iCs/>
        </w:rPr>
        <w:t>Net Payment or Net Bill</w:t>
      </w:r>
      <w:r w:rsidR="00D96326">
        <w:t>) and 5.2</w:t>
      </w:r>
      <w:r w:rsidR="00D96326">
        <w:rPr>
          <w:szCs w:val="20"/>
        </w:rPr>
        <w:t xml:space="preserve"> (</w:t>
      </w:r>
      <w:r w:rsidR="00D96326">
        <w:rPr>
          <w:i/>
          <w:iCs/>
          <w:szCs w:val="20"/>
        </w:rPr>
        <w:t>Billing Disputes and Final Accounting</w:t>
      </w:r>
      <w:r w:rsidR="00D96326">
        <w:rPr>
          <w:szCs w:val="20"/>
        </w:rPr>
        <w:t>)</w:t>
      </w:r>
      <w:r w:rsidR="00D96326">
        <w:t xml:space="preserve">, GPC will pay Seller in accordance with the Monthly Invoice by the due date in immediately available funds through wire transfer of funds to an account designated by Seller, or other means acceptable to Seller. Interest </w:t>
      </w:r>
      <w:proofErr w:type="gramStart"/>
      <w:r w:rsidR="00D96326">
        <w:t>on</w:t>
      </w:r>
      <w:proofErr w:type="gramEnd"/>
      <w:r w:rsidR="00D96326">
        <w:t xml:space="preserve"> unpaid amounts will accrue from the date the payment was due at a rate equal to the Interest Rate. Each Monthly Invoice will contain a statement explaining in reasonable detail how the invoice was calculated in accordance with Sections 4.2 (</w:t>
      </w:r>
      <w:r w:rsidR="00D96326">
        <w:rPr>
          <w:i/>
          <w:iCs/>
        </w:rPr>
        <w:t>Calculation of Monthly Capacity Payments</w:t>
      </w:r>
      <w:r w:rsidR="00D96326">
        <w:t>) and 4.3 (</w:t>
      </w:r>
      <w:r w:rsidR="00D96326">
        <w:rPr>
          <w:i/>
          <w:iCs/>
        </w:rPr>
        <w:t>Calculation of Monthly Energy Payments</w:t>
      </w:r>
      <w:r w:rsidR="00D96326">
        <w:t>).</w:t>
      </w:r>
    </w:p>
    <w:p w:rsidRPr="008E577E" w:rsidR="00D96326" w:rsidP="008F3AD7" w:rsidRDefault="00D96326" w14:paraId="2122C01A" w14:textId="4246E406">
      <w:pPr>
        <w:pStyle w:val="zGTC03"/>
        <w:rPr>
          <w:rFonts w:cs="Arial"/>
        </w:rPr>
      </w:pPr>
      <w:r>
        <w:rPr>
          <w:rFonts w:cs="Arial"/>
          <w:b/>
          <w:bCs/>
        </w:rPr>
        <w:t xml:space="preserve">Net Payment or Net Bill. </w:t>
      </w:r>
      <w:r>
        <w:t>GPC may provide a net payment or net bill, whichever is applicable, that consolidates amounts owing to Seller with amounts owing to GPC</w:t>
      </w:r>
      <w:r w:rsidR="005B5FE4">
        <w:t xml:space="preserve"> under this PPA</w:t>
      </w:r>
      <w:r>
        <w:t>.</w:t>
      </w:r>
    </w:p>
    <w:p w:rsidRPr="008E577E" w:rsidR="00D96326" w:rsidP="00D96326" w:rsidRDefault="00D96326" w14:paraId="4D307B3D" w14:textId="77777777">
      <w:pPr>
        <w:pStyle w:val="zGTC02"/>
        <w:rPr>
          <w:rFonts w:ascii="Arial" w:hAnsi="Arial" w:eastAsia="PMingLiU" w:cs="Arial"/>
          <w:vanish/>
          <w:szCs w:val="20"/>
          <w:specVanish/>
        </w:rPr>
      </w:pPr>
      <w:bookmarkStart w:name="_Toc212475653" w:id="69"/>
      <w:bookmarkStart w:name="_Toc227838351" w:id="70"/>
      <w:r>
        <w:rPr>
          <w:rFonts w:ascii="Arial" w:hAnsi="Arial" w:cs="Arial"/>
          <w:szCs w:val="20"/>
        </w:rPr>
        <w:t>Billing Disputes and Final Accounting.</w:t>
      </w:r>
      <w:bookmarkEnd w:id="69"/>
      <w:bookmarkEnd w:id="70"/>
    </w:p>
    <w:p w:rsidRPr="008E577E" w:rsidR="00D96326" w:rsidP="00D96326" w:rsidRDefault="00D96326" w14:paraId="57F4AC2D" w14:textId="77777777">
      <w:pPr>
        <w:pStyle w:val="zGTC02"/>
        <w:numPr>
          <w:ilvl w:val="0"/>
          <w:numId w:val="0"/>
        </w:numPr>
        <w:rPr>
          <w:rFonts w:ascii="Arial" w:hAnsi="Arial" w:cs="Arial"/>
          <w:szCs w:val="20"/>
        </w:rPr>
      </w:pPr>
    </w:p>
    <w:p w:rsidRPr="008E577E" w:rsidR="00D96326" w:rsidP="008F3AD7" w:rsidRDefault="00D96326" w14:paraId="607E0C18" w14:textId="03FF78B5">
      <w:pPr>
        <w:pStyle w:val="zGTC03"/>
      </w:pPr>
      <w:r>
        <w:rPr>
          <w:b/>
          <w:bCs/>
        </w:rPr>
        <w:t xml:space="preserve">Payment of Undisputed Amounts. </w:t>
      </w:r>
      <w:r>
        <w:t xml:space="preserve">If GPC questions or disputes the amount or propriety of any payment Seller claims to be due under this PPA, GPC will pay Seller </w:t>
      </w:r>
      <w:r w:rsidR="00245663">
        <w:t>any amount</w:t>
      </w:r>
      <w:r>
        <w:t xml:space="preserve"> not in dispute but may </w:t>
      </w:r>
      <w:r>
        <w:lastRenderedPageBreak/>
        <w:t xml:space="preserve">withhold </w:t>
      </w:r>
      <w:r w:rsidR="00245663">
        <w:t>any amount</w:t>
      </w:r>
      <w:r>
        <w:t xml:space="preserve"> disputed in good faith until after the settlement of the question or contest in accordance with this Section 5.2 (</w:t>
      </w:r>
      <w:r>
        <w:rPr>
          <w:i/>
          <w:iCs/>
        </w:rPr>
        <w:t>Billing Disputes and Final Accounting</w:t>
      </w:r>
      <w:r>
        <w:t>).</w:t>
      </w:r>
    </w:p>
    <w:p w:rsidRPr="00C13427" w:rsidR="00D96326" w:rsidP="008F3AD7" w:rsidRDefault="00D96326" w14:paraId="5EA2D513" w14:textId="7BE47FF2">
      <w:pPr>
        <w:pStyle w:val="zGTC03"/>
        <w:rPr>
          <w:rFonts w:cs="Arial"/>
          <w:sz w:val="18"/>
          <w:szCs w:val="22"/>
        </w:rPr>
      </w:pPr>
      <w:r>
        <w:rPr>
          <w:b/>
          <w:bCs/>
        </w:rPr>
        <w:t xml:space="preserve">Billing Dispute Notice. </w:t>
      </w:r>
      <w:r w:rsidRPr="00C13427" w:rsidR="00C13427">
        <w:rPr>
          <w:rFonts w:ascii="Calibri" w:hAnsi="Calibri" w:eastAsia="Calibri" w:cs="Arial"/>
          <w:kern w:val="0"/>
          <w:sz w:val="22"/>
          <w:szCs w:val="22"/>
        </w:rPr>
        <w:t xml:space="preserve"> </w:t>
      </w:r>
      <w:r w:rsidRPr="00C13427" w:rsidR="00C13427">
        <w:rPr>
          <w:rFonts w:eastAsia="Calibri" w:cs="Arial"/>
          <w:kern w:val="0"/>
          <w:szCs w:val="20"/>
        </w:rPr>
        <w:t>If GPC questions or disputes the correctness of any invoice charge or credit, GPC must provide notice to Seller containing the amount and basis for GPC’s question or dispute within the time provided in Section 5.2.3 (</w:t>
      </w:r>
      <w:r w:rsidRPr="00C13427" w:rsidR="00C13427">
        <w:rPr>
          <w:rFonts w:eastAsia="Calibri" w:cs="Arial"/>
          <w:i/>
          <w:iCs/>
          <w:kern w:val="0"/>
          <w:szCs w:val="20"/>
        </w:rPr>
        <w:t>Time for Permitted Disputes</w:t>
      </w:r>
      <w:r w:rsidRPr="00C13427" w:rsidR="00C13427">
        <w:rPr>
          <w:rFonts w:eastAsia="Calibri" w:cs="Arial"/>
          <w:kern w:val="0"/>
          <w:szCs w:val="20"/>
        </w:rPr>
        <w:t>). Upon receipt of notice from GPC, Seller must promptly review the questioned charge or credit and by no later than 30 Days after the date Seller receives GPC’s notice: (</w:t>
      </w:r>
      <w:proofErr w:type="spellStart"/>
      <w:r w:rsidRPr="00C13427" w:rsidR="00C13427">
        <w:rPr>
          <w:rFonts w:eastAsia="Calibri" w:cs="Arial"/>
          <w:kern w:val="0"/>
          <w:szCs w:val="20"/>
        </w:rPr>
        <w:t>i</w:t>
      </w:r>
      <w:proofErr w:type="spellEnd"/>
      <w:r w:rsidRPr="00C13427" w:rsidR="00C13427">
        <w:rPr>
          <w:rFonts w:eastAsia="Calibri" w:cs="Arial"/>
          <w:kern w:val="0"/>
          <w:szCs w:val="20"/>
        </w:rPr>
        <w:t>) respond to GPC in writing confirming or denying any error in Seller’s previous determination of amounts owed by GPC; and (ii) if applicable, issue an amended invoice for any payment that GPC is required to make regarding the re-determination. If Seller disagrees with GPC’s question or dispute, Seller’s response must include a reasonably detailed explanation of the basis for Seller’s position, including supporting calculations and documentation. If GPC in good faith disputes Seller’s response or amended invoice, the matter will be a Billing Dispute and resolved in accordance with Part 19 (</w:t>
      </w:r>
      <w:r w:rsidRPr="00C13427" w:rsidR="00C13427">
        <w:rPr>
          <w:rFonts w:eastAsia="Calibri" w:cs="Arial"/>
          <w:i/>
          <w:kern w:val="0"/>
          <w:szCs w:val="20"/>
        </w:rPr>
        <w:t>Dispute Resolution</w:t>
      </w:r>
      <w:r w:rsidRPr="00C13427" w:rsidR="00C13427">
        <w:rPr>
          <w:rFonts w:eastAsia="Calibri" w:cs="Arial"/>
          <w:kern w:val="0"/>
          <w:szCs w:val="20"/>
        </w:rPr>
        <w:t>).</w:t>
      </w:r>
    </w:p>
    <w:p w:rsidRPr="00F10071" w:rsidR="00D96326" w:rsidP="008F3AD7" w:rsidRDefault="00D96326" w14:paraId="27D52A5F" w14:textId="3A7FBC57">
      <w:pPr>
        <w:pStyle w:val="zGTC03"/>
      </w:pPr>
      <w:r>
        <w:rPr>
          <w:b/>
          <w:bCs/>
        </w:rPr>
        <w:t xml:space="preserve">Time for Permitted Disputes. </w:t>
      </w:r>
      <w:r>
        <w:t>Seller will have until 90 Days after the date of a Monthly Invoice to: (</w:t>
      </w:r>
      <w:proofErr w:type="spellStart"/>
      <w:r>
        <w:t>i</w:t>
      </w:r>
      <w:proofErr w:type="spellEnd"/>
      <w:r>
        <w:t xml:space="preserve">) correct the </w:t>
      </w:r>
      <w:r w:rsidR="005A60CE">
        <w:t>Monthly Invoice</w:t>
      </w:r>
      <w:r>
        <w:t xml:space="preserve"> for payment due for the Monthly Capacity Payment; and (ii) deliver a corrected Monthly Invoice to GPC. GPC will have until the end of one year after its receipt of any Monthly Invoice or </w:t>
      </w:r>
      <w:r w:rsidR="005A60CE">
        <w:t>adjusted</w:t>
      </w:r>
      <w:r>
        <w:t xml:space="preserve"> Monthly Invoice to dispute the correctness of any charge or credit made to GPC on </w:t>
      </w:r>
      <w:r w:rsidR="005A60CE">
        <w:t>the</w:t>
      </w:r>
      <w:r>
        <w:t xml:space="preserve"> invoice. If</w:t>
      </w:r>
      <w:r w:rsidR="005A60CE">
        <w:t>,</w:t>
      </w:r>
      <w:r>
        <w:t xml:space="preserve"> within the one-year period, GPC has made payment under a Monthly Invoice and later disputes the correctness of the invoice, Seller will not be required to refund any payment received from GPC until the time as it is finally determined that Seller’s Monthly Invoice was in error.</w:t>
      </w:r>
    </w:p>
    <w:p w:rsidRPr="00F10071" w:rsidR="00D96326" w:rsidP="00D96326" w:rsidRDefault="00D96326" w14:paraId="37C74AA4" w14:textId="77777777">
      <w:pPr>
        <w:pStyle w:val="zGTC02"/>
        <w:rPr>
          <w:rFonts w:ascii="Arial" w:hAnsi="Arial" w:eastAsia="PMingLiU" w:cs="Arial"/>
          <w:vanish/>
          <w:szCs w:val="20"/>
          <w:specVanish/>
        </w:rPr>
      </w:pPr>
      <w:bookmarkStart w:name="_Toc212475654" w:id="71"/>
      <w:bookmarkStart w:name="_Toc227838352" w:id="72"/>
      <w:r>
        <w:rPr>
          <w:rFonts w:ascii="Arial" w:hAnsi="Arial" w:cs="Arial"/>
          <w:szCs w:val="20"/>
        </w:rPr>
        <w:t>Interest.</w:t>
      </w:r>
      <w:bookmarkEnd w:id="71"/>
      <w:bookmarkEnd w:id="72"/>
    </w:p>
    <w:p w:rsidRPr="00860390" w:rsidR="00D96326" w:rsidP="00D96326" w:rsidRDefault="00D96326" w14:paraId="73873E08" w14:textId="41AE9A60">
      <w:pPr>
        <w:pStyle w:val="zGNormal"/>
      </w:pPr>
      <w:r>
        <w:t xml:space="preserve"> If either Party does not make a payment required by this PPA when due, then interest at the Interest Rate from the date the overdue payment was due until the overdue payment, together with interest, is paid, will be added to the due payment. If either Party makes a payment in accordance with an invoice that is later determined to have been incorrect, then interest at the Interest Rate from the date the overpayment was made will be added to the overpayment until the overpayment, together with interest, is refunded to the Party. Remittance received by mail, if mail is a means of payment acceptable to a Party owed payment, will be accepted without interest charges if the payment is postmarked on or before the due date. If the due date of any payment falls on a Day other than a Business Day, the next succeeding Business Day will be the last Day on which payment can be postmarked without interest charges being assessed. Despite this Section 5.3 (</w:t>
      </w:r>
      <w:r>
        <w:rPr>
          <w:i/>
          <w:iCs/>
        </w:rPr>
        <w:t>Interest</w:t>
      </w:r>
      <w:r>
        <w:t>), no interest will be paid regarding any Monthly Availability Adjustment except to the extent the Monthly Availability Adjustment was not correctly calculated or invoiced in accordance with this PPA.</w:t>
      </w:r>
    </w:p>
    <w:p w:rsidRPr="00860390" w:rsidR="00D96326" w:rsidP="00D96326" w:rsidRDefault="00D96326" w14:paraId="2663AB8C" w14:textId="77777777">
      <w:pPr>
        <w:pStyle w:val="zGTC02"/>
        <w:rPr>
          <w:rFonts w:ascii="Arial" w:hAnsi="Arial" w:eastAsia="PMingLiU" w:cs="Arial"/>
          <w:vanish/>
          <w:szCs w:val="20"/>
          <w:specVanish/>
        </w:rPr>
      </w:pPr>
      <w:bookmarkStart w:name="_Toc212475655" w:id="73"/>
      <w:bookmarkStart w:name="_Toc227838353" w:id="74"/>
      <w:r>
        <w:rPr>
          <w:rFonts w:ascii="Arial" w:hAnsi="Arial" w:cs="Arial"/>
          <w:szCs w:val="20"/>
        </w:rPr>
        <w:t>Billing and Payment Records.</w:t>
      </w:r>
      <w:bookmarkEnd w:id="73"/>
      <w:bookmarkEnd w:id="74"/>
    </w:p>
    <w:p w:rsidRPr="00860390" w:rsidR="00D96326" w:rsidP="00D96326" w:rsidRDefault="00D96326" w14:paraId="58B8F066" w14:textId="4190EEFE">
      <w:pPr>
        <w:pStyle w:val="zGNormal"/>
      </w:pPr>
      <w:r>
        <w:t xml:space="preserve"> Each Party will, until the end of one year after its receipt of any invoice, make available to the other Party, and each Party may audit, the books and records of the other Party as are necessary for the Party to verify the calculation of the Monthly Capacity Payments, the Monthly Energy Payments, and any Monthly Availability Adjustment, and any other invoice, charge, or payment demand made </w:t>
      </w:r>
      <w:r w:rsidR="00A20CCB">
        <w:t>concerning</w:t>
      </w:r>
      <w:r>
        <w:t xml:space="preserve"> this PPA.</w:t>
      </w:r>
    </w:p>
    <w:p w:rsidRPr="00860390" w:rsidR="00D96326" w:rsidP="00D96326" w:rsidRDefault="00D96326" w14:paraId="49EB7164" w14:textId="77777777">
      <w:pPr>
        <w:pStyle w:val="zGTC01"/>
        <w:rPr>
          <w:rFonts w:ascii="Arial" w:hAnsi="Arial"/>
          <w:szCs w:val="20"/>
        </w:rPr>
      </w:pPr>
      <w:bookmarkStart w:name="_Toc212475656" w:id="75"/>
      <w:bookmarkStart w:name="_Toc227838354" w:id="76"/>
      <w:r>
        <w:rPr>
          <w:rFonts w:ascii="Arial" w:hAnsi="Arial"/>
          <w:szCs w:val="20"/>
        </w:rPr>
        <w:t>Performance Security</w:t>
      </w:r>
      <w:bookmarkEnd w:id="75"/>
      <w:bookmarkEnd w:id="76"/>
    </w:p>
    <w:p w:rsidRPr="00860390" w:rsidR="00D96326" w:rsidP="00D96326" w:rsidRDefault="00D96326" w14:paraId="3F990D2D" w14:textId="0B261A56">
      <w:pPr>
        <w:pStyle w:val="zGTC02"/>
        <w:rPr>
          <w:rFonts w:ascii="Arial" w:hAnsi="Arial" w:eastAsia="PMingLiU" w:cs="Arial"/>
          <w:vanish/>
          <w:szCs w:val="20"/>
          <w:specVanish/>
        </w:rPr>
      </w:pPr>
      <w:bookmarkStart w:name="_Toc212475657" w:id="77"/>
      <w:bookmarkStart w:name="_Toc227838355" w:id="78"/>
      <w:r>
        <w:rPr>
          <w:rFonts w:ascii="Arial" w:hAnsi="Arial" w:cs="Arial"/>
          <w:szCs w:val="20"/>
        </w:rPr>
        <w:t>Performance Security.</w:t>
      </w:r>
      <w:bookmarkEnd w:id="77"/>
      <w:bookmarkEnd w:id="78"/>
    </w:p>
    <w:p w:rsidRPr="00860390" w:rsidR="00D96326" w:rsidP="00D96326" w:rsidRDefault="00D96326" w14:paraId="6D9B4499" w14:textId="0661CE67">
      <w:pPr>
        <w:pStyle w:val="zGNormal"/>
        <w:rPr>
          <w:rFonts w:eastAsia="Arial"/>
        </w:rPr>
      </w:pPr>
      <w:r>
        <w:t xml:space="preserve"> </w:t>
      </w:r>
      <w:proofErr w:type="gramStart"/>
      <w:r>
        <w:t>Simultaneous</w:t>
      </w:r>
      <w:proofErr w:type="gramEnd"/>
      <w:r>
        <w:t xml:space="preserve"> with the execution of this PPA, if Seller is not Creditworthy, Seller must deliver to GPC Eligible Collateral in an amount equal to the initial Performance Security required by Part 1 (</w:t>
      </w:r>
      <w:r>
        <w:rPr>
          <w:i/>
          <w:iCs/>
        </w:rPr>
        <w:t>Performance Security</w:t>
      </w:r>
      <w:r>
        <w:t>) of Exhibit A-2 (</w:t>
      </w:r>
      <w:r>
        <w:rPr>
          <w:i/>
          <w:iCs/>
        </w:rPr>
        <w:t>Performance Security and Liquidated Damages</w:t>
      </w:r>
      <w:r>
        <w:t xml:space="preserve">). If Seller is not Creditworthy or </w:t>
      </w:r>
      <w:r w:rsidR="00BE271C">
        <w:t xml:space="preserve">later </w:t>
      </w:r>
      <w:r>
        <w:t xml:space="preserve">suffers a Material Adverse Change, Seller must maintain Performance Security throughout the Term or remaining Term, as applicable, in the applicable amount </w:t>
      </w:r>
      <w:r w:rsidR="00145DE9">
        <w:t>required by</w:t>
      </w:r>
      <w:r>
        <w:t xml:space="preserve"> Part 1 of Exhibit A-2 (which amount, if the Term is longer than five Annual Periods, is adjusted every five</w:t>
      </w:r>
      <w:r w:rsidR="00E31A44">
        <w:t xml:space="preserve"> Annual Periods</w:t>
      </w:r>
      <w:r>
        <w:t xml:space="preserve"> as shown in Part 1 of Exhibit A-2), and adjust its Eligible Collateral as and when required to comply with this Part 6 (</w:t>
      </w:r>
      <w:r>
        <w:rPr>
          <w:i/>
          <w:iCs/>
        </w:rPr>
        <w:t>Performance Security</w:t>
      </w:r>
      <w:r>
        <w:t xml:space="preserve">), including, if the Term is longer than five Annual Periods, to comply with adjustments to the required Performance Security </w:t>
      </w:r>
      <w:r w:rsidR="00D56737">
        <w:t xml:space="preserve">amount </w:t>
      </w:r>
      <w:r>
        <w:t xml:space="preserve">in accordance with Part 1 of Exhibit A-2. If during the Term Seller suffers a Material Adverse Change, Seller must deliver to GPC the required Eligible Collateral within </w:t>
      </w:r>
      <w:r w:rsidR="0075792B">
        <w:t xml:space="preserve">five </w:t>
      </w:r>
      <w:r w:rsidR="008326CF">
        <w:t xml:space="preserve">Banking </w:t>
      </w:r>
      <w:r>
        <w:t>Days after the Material Adverse Change occurs</w:t>
      </w:r>
      <w:r w:rsidR="009572D4">
        <w:t>, subject to extension in accordance with Section 6.5 (</w:t>
      </w:r>
      <w:r w:rsidRPr="00500257" w:rsidR="009572D4">
        <w:rPr>
          <w:i/>
          <w:iCs/>
        </w:rPr>
        <w:t>Pre-Approval of Non-Cash Eligible Collateral</w:t>
      </w:r>
      <w:r w:rsidR="009572D4">
        <w:t>)</w:t>
      </w:r>
      <w:r>
        <w:t>. If: (</w:t>
      </w:r>
      <w:proofErr w:type="spellStart"/>
      <w:r>
        <w:t>i</w:t>
      </w:r>
      <w:proofErr w:type="spellEnd"/>
      <w:r>
        <w:t xml:space="preserve">) any portion of the Eligible Collateral that GPC is then holding is in the form of a Seller Guaranty; and (ii) a Material Adverse Change occurs regarding Seller Guarantor, then by no later than </w:t>
      </w:r>
      <w:r w:rsidR="00F6633D">
        <w:t>five</w:t>
      </w:r>
      <w:r>
        <w:t xml:space="preserve"> Banking Days after the Material Adverse Change </w:t>
      </w:r>
      <w:r w:rsidR="000F05CD">
        <w:t>occurs</w:t>
      </w:r>
      <w:r>
        <w:t xml:space="preserve">, </w:t>
      </w:r>
      <w:r w:rsidR="00A94486">
        <w:t xml:space="preserve">subject to extension in accordance with Section 6.5, </w:t>
      </w:r>
      <w:r>
        <w:t>Seller must deliver to GPC replacement Eligible Collateral to replace the Seller Guaranty: (a) in a form other than a Seller Guaranty; or (b) in the form of a Seller Guaranty from a different Seller Guarantor that is Creditw</w:t>
      </w:r>
      <w:r>
        <w:rPr>
          <w:rFonts w:eastAsia="Arial"/>
        </w:rPr>
        <w:t>orthy.</w:t>
      </w:r>
    </w:p>
    <w:p w:rsidRPr="000A2525" w:rsidR="3E54F5D2" w:rsidP="00997124" w:rsidRDefault="3E54F5D2" w14:paraId="7A40A81C" w14:textId="7B02B826">
      <w:pPr>
        <w:pStyle w:val="zGTC03"/>
        <w:rPr>
          <w:rFonts w:eastAsia="Arial"/>
          <w:color w:val="008080"/>
          <w:u w:val="single"/>
        </w:rPr>
      </w:pPr>
      <w:r>
        <w:rPr>
          <w:rFonts w:eastAsia="Arial"/>
          <w:b/>
          <w:bCs/>
        </w:rPr>
        <w:lastRenderedPageBreak/>
        <w:t>Requirements if Seller Becomes Creditworthy</w:t>
      </w:r>
      <w:r>
        <w:rPr>
          <w:rFonts w:eastAsia="Arial"/>
        </w:rPr>
        <w:t>. If, during the Term, Seller has provided Performance Security to GPC in accordance with the requirements of this Part 6 (</w:t>
      </w:r>
      <w:r>
        <w:rPr>
          <w:rFonts w:eastAsia="Arial"/>
          <w:i/>
        </w:rPr>
        <w:t>Performance Security</w:t>
      </w:r>
      <w:r>
        <w:rPr>
          <w:rFonts w:eastAsia="Arial"/>
        </w:rPr>
        <w:t>) and either: (</w:t>
      </w:r>
      <w:proofErr w:type="spellStart"/>
      <w:r>
        <w:rPr>
          <w:rFonts w:eastAsia="Arial"/>
        </w:rPr>
        <w:t>i</w:t>
      </w:r>
      <w:proofErr w:type="spellEnd"/>
      <w:r>
        <w:rPr>
          <w:rFonts w:eastAsia="Arial"/>
        </w:rPr>
        <w:t>) Seller becomes Creditworthy; or (ii) Seller assigns this PPA in accordance with Section 18.1.1 (</w:t>
      </w:r>
      <w:r>
        <w:rPr>
          <w:rFonts w:eastAsia="Arial"/>
          <w:i/>
        </w:rPr>
        <w:t>Assignment by Seller</w:t>
      </w:r>
      <w:r>
        <w:rPr>
          <w:rFonts w:eastAsia="Arial"/>
        </w:rPr>
        <w:t>) to a Person (other than a Financing Assignment) that is Creditworthy, then in either case: (a) Seller or such Person, as applicable, will not be required to maintain Performance Security for so long as it is Creditworthy; and (b) GPC will return Seller’s Eligible Collateral within five Business Days after Seller becomes Creditworthy or the effective date of the assignment, as applicable.</w:t>
      </w:r>
    </w:p>
    <w:p w:rsidRPr="00860390" w:rsidR="00D96326" w:rsidP="00D96326" w:rsidRDefault="00D96326" w14:paraId="749A163E" w14:textId="77777777">
      <w:pPr>
        <w:pStyle w:val="zGTC02"/>
        <w:rPr>
          <w:rFonts w:ascii="Arial" w:hAnsi="Arial" w:eastAsia="PMingLiU" w:cs="Arial"/>
          <w:vanish/>
          <w:szCs w:val="20"/>
          <w:specVanish/>
        </w:rPr>
      </w:pPr>
      <w:bookmarkStart w:name="_Toc212475658" w:id="79"/>
      <w:bookmarkStart w:name="_Toc227838356" w:id="80"/>
      <w:r>
        <w:rPr>
          <w:rFonts w:ascii="Arial" w:hAnsi="Arial" w:cs="Arial"/>
          <w:szCs w:val="20"/>
        </w:rPr>
        <w:t>Replacement Collateral; Substituted Collateral; Release of Collateral.</w:t>
      </w:r>
      <w:bookmarkEnd w:id="79"/>
      <w:bookmarkEnd w:id="80"/>
    </w:p>
    <w:p w:rsidRPr="00860390" w:rsidR="00D96326" w:rsidP="00D96326" w:rsidRDefault="00D96326" w14:paraId="56543C49" w14:textId="77777777">
      <w:pPr>
        <w:pStyle w:val="zGTC02"/>
        <w:numPr>
          <w:ilvl w:val="0"/>
          <w:numId w:val="0"/>
        </w:numPr>
        <w:rPr>
          <w:rFonts w:ascii="Arial" w:hAnsi="Arial" w:cs="Arial"/>
          <w:szCs w:val="20"/>
        </w:rPr>
      </w:pPr>
    </w:p>
    <w:p w:rsidRPr="00860390" w:rsidR="00D96326" w:rsidP="00E1478F" w:rsidRDefault="00D96326" w14:paraId="7899AEC8" w14:textId="713803E8">
      <w:pPr>
        <w:pStyle w:val="zGTC03"/>
        <w:rPr>
          <w:rStyle w:val="DeltaViewInsertion"/>
          <w:rFonts w:cs="Arial"/>
          <w:color w:val="auto"/>
          <w:u w:val="none"/>
        </w:rPr>
      </w:pPr>
      <w:r>
        <w:rPr>
          <w:b/>
          <w:bCs/>
          <w:w w:val="0"/>
        </w:rPr>
        <w:t>Replacement Collateral</w:t>
      </w:r>
      <w:r>
        <w:rPr>
          <w:w w:val="0"/>
        </w:rPr>
        <w:t>. To the extent that any Performance Security supplement or replacement is required to maintain compliance with Section 6.1 (</w:t>
      </w:r>
      <w:r>
        <w:rPr>
          <w:i/>
          <w:iCs/>
          <w:w w:val="0"/>
        </w:rPr>
        <w:t>Performance Security</w:t>
      </w:r>
      <w:r>
        <w:rPr>
          <w:w w:val="0"/>
        </w:rPr>
        <w:t xml:space="preserve">) </w:t>
      </w:r>
      <w:r>
        <w:rPr>
          <w:rStyle w:val="DeltaViewInsertion"/>
          <w:rFonts w:cs="Arial"/>
          <w:color w:val="auto"/>
          <w:w w:val="0"/>
          <w:u w:val="none"/>
        </w:rPr>
        <w:t xml:space="preserve">(including any adjustment to the required Performance Security </w:t>
      </w:r>
      <w:r w:rsidR="002C314F">
        <w:rPr>
          <w:rStyle w:val="DeltaViewInsertion"/>
          <w:rFonts w:cs="Arial"/>
          <w:color w:val="auto"/>
          <w:w w:val="0"/>
          <w:u w:val="none"/>
        </w:rPr>
        <w:t xml:space="preserve">amount </w:t>
      </w:r>
      <w:r>
        <w:rPr>
          <w:rStyle w:val="DeltaViewInsertion"/>
          <w:rFonts w:cs="Arial"/>
          <w:color w:val="auto"/>
          <w:w w:val="0"/>
          <w:u w:val="none"/>
        </w:rPr>
        <w:t xml:space="preserve">in accordance with </w:t>
      </w:r>
      <w:r>
        <w:rPr>
          <w:rStyle w:val="DeltaViewInsertion"/>
          <w:rFonts w:cs="Arial"/>
          <w:color w:val="auto"/>
          <w:u w:val="none"/>
        </w:rPr>
        <w:t>Part 1 (</w:t>
      </w:r>
      <w:r>
        <w:rPr>
          <w:rStyle w:val="DeltaViewInsertion"/>
          <w:rFonts w:cs="Arial"/>
          <w:i/>
          <w:color w:val="auto"/>
          <w:u w:val="none"/>
        </w:rPr>
        <w:t>Performance Security</w:t>
      </w:r>
      <w:r>
        <w:rPr>
          <w:rStyle w:val="DeltaViewInsertion"/>
          <w:rFonts w:cs="Arial"/>
          <w:color w:val="auto"/>
          <w:u w:val="none"/>
        </w:rPr>
        <w:t xml:space="preserve">) of </w:t>
      </w:r>
      <w:r>
        <w:rPr>
          <w:rStyle w:val="DeltaViewInsertion"/>
          <w:rFonts w:cs="Arial"/>
          <w:color w:val="auto"/>
          <w:w w:val="0"/>
          <w:u w:val="none"/>
        </w:rPr>
        <w:t xml:space="preserve">Exhibit </w:t>
      </w:r>
      <w:r>
        <w:rPr>
          <w:rStyle w:val="DeltaViewInsertion"/>
          <w:rFonts w:cs="Arial"/>
          <w:color w:val="auto"/>
          <w:u w:val="none"/>
        </w:rPr>
        <w:t xml:space="preserve">A-2 </w:t>
      </w:r>
      <w:r>
        <w:rPr>
          <w:rStyle w:val="DeltaViewInsertion"/>
          <w:rFonts w:cs="Arial"/>
          <w:color w:val="auto"/>
          <w:w w:val="0"/>
          <w:u w:val="none"/>
        </w:rPr>
        <w:t>(</w:t>
      </w:r>
      <w:r>
        <w:rPr>
          <w:rStyle w:val="DeltaViewInsertion"/>
          <w:rFonts w:cs="Arial"/>
          <w:i/>
          <w:color w:val="auto"/>
          <w:w w:val="0"/>
          <w:u w:val="none"/>
        </w:rPr>
        <w:t>Performance Security</w:t>
      </w:r>
      <w:r>
        <w:rPr>
          <w:rStyle w:val="DeltaViewInsertion"/>
          <w:rFonts w:cs="Arial"/>
          <w:i/>
          <w:color w:val="auto"/>
          <w:u w:val="none"/>
        </w:rPr>
        <w:t xml:space="preserve"> and Liquidated Damages</w:t>
      </w:r>
      <w:r>
        <w:rPr>
          <w:rStyle w:val="DeltaViewInsertion"/>
          <w:rFonts w:cs="Arial"/>
          <w:color w:val="auto"/>
          <w:w w:val="0"/>
          <w:u w:val="none"/>
        </w:rPr>
        <w:t>))</w:t>
      </w:r>
      <w:r>
        <w:rPr>
          <w:w w:val="0"/>
        </w:rPr>
        <w:t xml:space="preserve">, Seller must deliver to </w:t>
      </w:r>
      <w:r>
        <w:t>GPC</w:t>
      </w:r>
      <w:r>
        <w:rPr>
          <w:w w:val="0"/>
        </w:rPr>
        <w:t xml:space="preserve"> the supplemental or replacement Performance Security by </w:t>
      </w:r>
      <w:r>
        <w:rPr>
          <w:rStyle w:val="DeltaViewInsertion"/>
          <w:rFonts w:cs="Arial"/>
          <w:color w:val="auto"/>
          <w:w w:val="0"/>
          <w:u w:val="none"/>
        </w:rPr>
        <w:t xml:space="preserve">no later than </w:t>
      </w:r>
      <w:r w:rsidR="00181A49">
        <w:rPr>
          <w:rStyle w:val="DeltaViewInsertion"/>
          <w:rFonts w:cs="Arial"/>
          <w:color w:val="auto"/>
          <w:w w:val="0"/>
          <w:u w:val="none"/>
        </w:rPr>
        <w:t xml:space="preserve">45 </w:t>
      </w:r>
      <w:r>
        <w:rPr>
          <w:rStyle w:val="DeltaViewInsertion"/>
          <w:rFonts w:cs="Arial"/>
          <w:color w:val="auto"/>
          <w:w w:val="0"/>
          <w:u w:val="none"/>
        </w:rPr>
        <w:t>Days before the earlier to occur of: (</w:t>
      </w:r>
      <w:proofErr w:type="spellStart"/>
      <w:r>
        <w:rPr>
          <w:rStyle w:val="DeltaViewInsertion"/>
          <w:rFonts w:cs="Arial"/>
          <w:color w:val="auto"/>
          <w:w w:val="0"/>
          <w:u w:val="none"/>
        </w:rPr>
        <w:t>i</w:t>
      </w:r>
      <w:proofErr w:type="spellEnd"/>
      <w:r>
        <w:rPr>
          <w:rStyle w:val="DeltaViewInsertion"/>
          <w:rFonts w:cs="Arial"/>
          <w:color w:val="auto"/>
          <w:w w:val="0"/>
          <w:u w:val="none"/>
        </w:rPr>
        <w:t xml:space="preserve">) </w:t>
      </w:r>
      <w:r w:rsidR="005D4A60">
        <w:rPr>
          <w:rStyle w:val="DeltaViewInsertion"/>
          <w:rFonts w:cs="Arial"/>
          <w:color w:val="auto"/>
          <w:w w:val="0"/>
          <w:u w:val="none"/>
        </w:rPr>
        <w:t xml:space="preserve">the date when </w:t>
      </w:r>
      <w:r>
        <w:rPr>
          <w:rStyle w:val="DeltaViewInsertion"/>
          <w:rFonts w:cs="Arial"/>
          <w:color w:val="auto"/>
          <w:w w:val="0"/>
          <w:u w:val="none"/>
        </w:rPr>
        <w:t xml:space="preserve">an increase or decrease in Eligible Collateral is required </w:t>
      </w:r>
      <w:r>
        <w:t>in accordance with</w:t>
      </w:r>
      <w:r>
        <w:rPr>
          <w:rStyle w:val="DeltaViewInsertion"/>
          <w:rFonts w:cs="Arial"/>
          <w:color w:val="auto"/>
          <w:w w:val="0"/>
          <w:u w:val="none"/>
        </w:rPr>
        <w:t xml:space="preserve"> </w:t>
      </w:r>
      <w:r>
        <w:rPr>
          <w:rStyle w:val="DeltaViewInsertion"/>
          <w:rFonts w:cs="Arial"/>
          <w:color w:val="auto"/>
          <w:u w:val="none"/>
        </w:rPr>
        <w:t xml:space="preserve">Part 1 of </w:t>
      </w:r>
      <w:r>
        <w:rPr>
          <w:rStyle w:val="DeltaViewInsertion"/>
          <w:rFonts w:cs="Arial"/>
          <w:color w:val="auto"/>
          <w:w w:val="0"/>
          <w:u w:val="none"/>
        </w:rPr>
        <w:t xml:space="preserve">Exhibit </w:t>
      </w:r>
      <w:r>
        <w:rPr>
          <w:rStyle w:val="DeltaViewInsertion"/>
          <w:rFonts w:cs="Arial"/>
          <w:color w:val="auto"/>
          <w:u w:val="none"/>
        </w:rPr>
        <w:t>A-2</w:t>
      </w:r>
      <w:r>
        <w:t>;</w:t>
      </w:r>
      <w:r>
        <w:rPr>
          <w:rStyle w:val="DeltaViewInsertion"/>
          <w:rFonts w:cs="Arial"/>
          <w:color w:val="auto"/>
          <w:w w:val="0"/>
          <w:u w:val="none"/>
        </w:rPr>
        <w:t xml:space="preserve"> or (ii)</w:t>
      </w:r>
      <w:r w:rsidR="005D4A60">
        <w:rPr>
          <w:rStyle w:val="DeltaViewInsertion"/>
          <w:rFonts w:cs="Arial"/>
          <w:color w:val="auto"/>
          <w:w w:val="0"/>
          <w:u w:val="none"/>
        </w:rPr>
        <w:t xml:space="preserve"> the date when</w:t>
      </w:r>
      <w:r>
        <w:rPr>
          <w:rStyle w:val="DeltaViewInsertion"/>
          <w:rFonts w:cs="Arial"/>
          <w:color w:val="auto"/>
          <w:w w:val="0"/>
          <w:u w:val="none"/>
        </w:rPr>
        <w:t xml:space="preserve"> the existing Eligible Collateral will expire. However, the increase or decrease, as applicable, in Eligible Collateral will not become effective until the applicable date </w:t>
      </w:r>
      <w:r w:rsidR="00430945">
        <w:rPr>
          <w:rStyle w:val="DeltaViewInsertion"/>
          <w:rFonts w:cs="Arial"/>
          <w:color w:val="auto"/>
          <w:w w:val="0"/>
          <w:u w:val="none"/>
        </w:rPr>
        <w:t>indicated</w:t>
      </w:r>
      <w:r>
        <w:rPr>
          <w:rStyle w:val="DeltaViewInsertion"/>
          <w:rFonts w:cs="Arial"/>
          <w:color w:val="auto"/>
          <w:w w:val="0"/>
          <w:u w:val="none"/>
        </w:rPr>
        <w:t xml:space="preserve"> in </w:t>
      </w:r>
      <w:r>
        <w:rPr>
          <w:rStyle w:val="DeltaViewInsertion"/>
          <w:rFonts w:cs="Arial"/>
          <w:color w:val="auto"/>
          <w:u w:val="none"/>
        </w:rPr>
        <w:t xml:space="preserve">Part 1 of </w:t>
      </w:r>
      <w:r>
        <w:rPr>
          <w:rStyle w:val="DeltaViewInsertion"/>
          <w:rFonts w:cs="Arial"/>
          <w:color w:val="auto"/>
          <w:w w:val="0"/>
          <w:u w:val="none"/>
        </w:rPr>
        <w:t xml:space="preserve">Exhibit </w:t>
      </w:r>
      <w:r>
        <w:rPr>
          <w:rStyle w:val="DeltaViewInsertion"/>
          <w:rFonts w:cs="Arial"/>
          <w:color w:val="auto"/>
          <w:u w:val="none"/>
        </w:rPr>
        <w:t>A-2</w:t>
      </w:r>
      <w:r>
        <w:t>.</w:t>
      </w:r>
      <w:r>
        <w:rPr>
          <w:rStyle w:val="DeltaViewInsertion"/>
          <w:rFonts w:cs="Arial"/>
          <w:color w:val="auto"/>
          <w:w w:val="0"/>
          <w:u w:val="none"/>
        </w:rPr>
        <w:t xml:space="preserve"> If </w:t>
      </w:r>
      <w:r>
        <w:t xml:space="preserve">the U.S. commercial bank or a U.S. branch of a foreign bank that issued the Letter of Credit fails to maintain: (a) total assets of at least ten billion dollars ($10,000,000,000); or (b) a general long-term senior unsecured debt rating required for a Letter of Credit under this PPA, </w:t>
      </w:r>
      <w:r>
        <w:rPr>
          <w:rStyle w:val="DeltaViewInsertion"/>
          <w:rFonts w:cs="Arial"/>
          <w:color w:val="auto"/>
          <w:w w:val="0"/>
          <w:u w:val="none"/>
        </w:rPr>
        <w:t xml:space="preserve">Seller must deliver to GPC a replacement Letter of Credit by no later than 10 Banking Days after the disqualifying event of (a) or (b). If Seller does not comply with the previous sentence, </w:t>
      </w:r>
      <w:r>
        <w:t>GPC</w:t>
      </w:r>
      <w:r>
        <w:rPr>
          <w:rStyle w:val="DeltaViewInsertion"/>
          <w:rFonts w:cs="Arial"/>
          <w:color w:val="auto"/>
          <w:w w:val="0"/>
          <w:u w:val="none"/>
        </w:rPr>
        <w:t xml:space="preserve"> has the right,</w:t>
      </w:r>
      <w:r>
        <w:rPr>
          <w:rFonts w:eastAsia="Calibri"/>
        </w:rPr>
        <w:t xml:space="preserve"> without limitation to its other remedies under this PPA or at law, </w:t>
      </w:r>
      <w:r>
        <w:rPr>
          <w:rStyle w:val="DeltaViewInsertion"/>
          <w:rFonts w:cs="Arial"/>
          <w:color w:val="auto"/>
          <w:w w:val="0"/>
          <w:u w:val="none"/>
        </w:rPr>
        <w:t>to</w:t>
      </w:r>
      <w:r w:rsidR="00105173">
        <w:rPr>
          <w:rStyle w:val="DeltaViewInsertion"/>
          <w:rFonts w:cs="Arial"/>
          <w:color w:val="auto"/>
          <w:w w:val="0"/>
          <w:u w:val="none"/>
        </w:rPr>
        <w:t>: (I)</w:t>
      </w:r>
      <w:r>
        <w:rPr>
          <w:rStyle w:val="DeltaViewInsertion"/>
          <w:rFonts w:cs="Arial"/>
          <w:color w:val="auto"/>
          <w:w w:val="0"/>
          <w:u w:val="none"/>
        </w:rPr>
        <w:t xml:space="preserve"> </w:t>
      </w:r>
      <w:r>
        <w:rPr>
          <w:w w:val="0"/>
        </w:rPr>
        <w:t xml:space="preserve">draw the full amount on the existing </w:t>
      </w:r>
      <w:r>
        <w:rPr>
          <w:rStyle w:val="DeltaViewInsertion"/>
          <w:rFonts w:cs="Arial"/>
          <w:color w:val="auto"/>
          <w:w w:val="0"/>
          <w:u w:val="none"/>
        </w:rPr>
        <w:t xml:space="preserve">Eligible Collateral before the expiration of the </w:t>
      </w:r>
      <w:r w:rsidR="006B5DC7">
        <w:rPr>
          <w:rStyle w:val="DeltaViewInsertion"/>
          <w:rFonts w:cs="Arial"/>
          <w:color w:val="auto"/>
          <w:w w:val="0"/>
          <w:u w:val="none"/>
        </w:rPr>
        <w:t xml:space="preserve">existing </w:t>
      </w:r>
      <w:r>
        <w:rPr>
          <w:rStyle w:val="DeltaViewInsertion"/>
          <w:rFonts w:cs="Arial"/>
          <w:color w:val="auto"/>
          <w:w w:val="0"/>
          <w:u w:val="none"/>
        </w:rPr>
        <w:t xml:space="preserve">Eligible Collateral; and </w:t>
      </w:r>
      <w:r w:rsidR="00105173">
        <w:rPr>
          <w:rStyle w:val="DeltaViewInsertion"/>
          <w:rFonts w:cs="Arial"/>
          <w:color w:val="auto"/>
          <w:w w:val="0"/>
          <w:u w:val="none"/>
        </w:rPr>
        <w:t xml:space="preserve">(II) </w:t>
      </w:r>
      <w:r>
        <w:rPr>
          <w:rStyle w:val="DeltaViewInsertion"/>
          <w:rFonts w:cs="Arial"/>
          <w:color w:val="auto"/>
          <w:w w:val="0"/>
          <w:u w:val="none"/>
        </w:rPr>
        <w:t xml:space="preserve">take further action to protect its interests under this PPA. </w:t>
      </w:r>
    </w:p>
    <w:p w:rsidRPr="00860390" w:rsidR="00D96326" w:rsidP="00E1478F" w:rsidRDefault="00D96326" w14:paraId="3AD32EEF" w14:textId="10FDB942">
      <w:pPr>
        <w:pStyle w:val="zGTC03"/>
      </w:pPr>
      <w:r>
        <w:rPr>
          <w:b/>
          <w:bCs/>
          <w:w w:val="0"/>
        </w:rPr>
        <w:t>Release of Collateral; Substituted Collateral</w:t>
      </w:r>
      <w:r>
        <w:rPr>
          <w:w w:val="0"/>
        </w:rPr>
        <w:t>. Upon replacement of the Performance Security in accordance with Section 6.2.1 (</w:t>
      </w:r>
      <w:r>
        <w:rPr>
          <w:i/>
          <w:iCs/>
          <w:w w:val="0"/>
        </w:rPr>
        <w:t>Replacement Collateral</w:t>
      </w:r>
      <w:r>
        <w:rPr>
          <w:w w:val="0"/>
        </w:rPr>
        <w:t xml:space="preserve">), </w:t>
      </w:r>
      <w:r>
        <w:t>GPC</w:t>
      </w:r>
      <w:r>
        <w:rPr>
          <w:w w:val="0"/>
        </w:rPr>
        <w:t xml:space="preserve"> will promptly release back to Seller the Eligible Collateral that Seller replaced. During the Term, Seller may substitute the Eligible Collateral by providing GPC with notice and the substitute Eligible Collateral. If GPC accepts the substitute Eligible Collateral, </w:t>
      </w:r>
      <w:r>
        <w:t>GPC</w:t>
      </w:r>
      <w:r>
        <w:rPr>
          <w:w w:val="0"/>
        </w:rPr>
        <w:t xml:space="preserve"> will promptly release the Eligible Collateral for which substitution is being made </w:t>
      </w:r>
      <w:r>
        <w:rPr>
          <w:rStyle w:val="DeltaViewInsertion"/>
          <w:rFonts w:cs="Arial"/>
          <w:color w:val="auto"/>
          <w:w w:val="0"/>
          <w:u w:val="none"/>
        </w:rPr>
        <w:t>in an amount equal to the substitution amount</w:t>
      </w:r>
      <w:r>
        <w:rPr>
          <w:w w:val="0"/>
        </w:rPr>
        <w:t>. Following any expiration or termination of this PPA, the Parties will mutually agree to a final settlement of all obligations under this PPA, which period will not exceed six Months after the expiration or termination date. After the settlement, GPC will return to Seller any remaining Eligible Collateral that Seller posted and upon which GPC has not drawn in accordance with GPC’s rights under this PPA. Any dispute between the Parties regarding a final settlement will be resolved according to Part 19 (</w:t>
      </w:r>
      <w:r>
        <w:rPr>
          <w:i/>
          <w:iCs/>
          <w:w w:val="0"/>
        </w:rPr>
        <w:t>Dispute Resolution</w:t>
      </w:r>
      <w:r>
        <w:rPr>
          <w:w w:val="0"/>
        </w:rPr>
        <w:t>), and GPC will not return to Seller any remaining Eligible Collateral that Seller posted until the resolution of the dispute.</w:t>
      </w:r>
    </w:p>
    <w:p w:rsidRPr="00860390" w:rsidR="00D96326" w:rsidP="00D96326" w:rsidRDefault="00D96326" w14:paraId="52BC5F77" w14:textId="77777777">
      <w:pPr>
        <w:pStyle w:val="zGTC02"/>
        <w:rPr>
          <w:rFonts w:ascii="Arial" w:hAnsi="Arial" w:eastAsia="PMingLiU" w:cs="Arial"/>
          <w:vanish/>
          <w:szCs w:val="20"/>
          <w:specVanish/>
        </w:rPr>
      </w:pPr>
      <w:bookmarkStart w:name="_Toc212475659" w:id="81"/>
      <w:bookmarkStart w:name="_Toc227838357" w:id="82"/>
      <w:proofErr w:type="gramStart"/>
      <w:r>
        <w:rPr>
          <w:rFonts w:ascii="Arial" w:hAnsi="Arial" w:cs="Arial"/>
          <w:szCs w:val="20"/>
        </w:rPr>
        <w:t>Draws;</w:t>
      </w:r>
      <w:proofErr w:type="gramEnd"/>
      <w:r>
        <w:rPr>
          <w:rFonts w:ascii="Arial" w:hAnsi="Arial" w:cs="Arial"/>
          <w:szCs w:val="20"/>
        </w:rPr>
        <w:t xml:space="preserve"> Replenishment.</w:t>
      </w:r>
      <w:bookmarkEnd w:id="81"/>
      <w:bookmarkEnd w:id="82"/>
    </w:p>
    <w:p w:rsidRPr="00860390" w:rsidR="00D96326" w:rsidP="00D96326" w:rsidRDefault="00D96326" w14:paraId="1FA72D80" w14:textId="2E624886">
      <w:pPr>
        <w:pStyle w:val="zGNormal"/>
      </w:pPr>
      <w:r>
        <w:t xml:space="preserve"> In addition to the draws permitted by Section 6.2.1 (</w:t>
      </w:r>
      <w:r>
        <w:rPr>
          <w:i/>
          <w:iCs/>
        </w:rPr>
        <w:t>Replacement Collateral</w:t>
      </w:r>
      <w:r>
        <w:t>), GPC may draw upon the Eligible Collateral provided by Seller to recover any damages to which GPC is entitled under this PPA (including damages following the occurrence of a Seller Event of Default) or any other unpaid amount owed by Seller under this PPA, including to recover delay liquidated damages under Section 7.4 (</w:t>
      </w:r>
      <w:r>
        <w:rPr>
          <w:i/>
          <w:iCs/>
        </w:rPr>
        <w:t>Failure to Achieve Commercial Operation by RCOD</w:t>
      </w:r>
      <w:r>
        <w:t>), damages arising from a Seller Event of Default, or termination damages arising from GPC’s termination of this PPA for a Seller Event of Default, in each case if not paid by Seller in accordance with this PPA. If GPC draws upon the Eligible Collateral, then, except in the circumstance when GPC establishes an Early Termination Date under Section 16.3.1 (</w:t>
      </w:r>
      <w:r>
        <w:rPr>
          <w:i/>
        </w:rPr>
        <w:t>Remedies for Event of Default</w:t>
      </w:r>
      <w:r>
        <w:t>) or this PPA otherwise terminates, Seller, within five Business Days, must replenish the Eligible Collateral to the full amount required by Section 6.1 (</w:t>
      </w:r>
      <w:r>
        <w:rPr>
          <w:i/>
          <w:iCs/>
        </w:rPr>
        <w:t>Performance Security</w:t>
      </w:r>
      <w:r>
        <w:t>).</w:t>
      </w:r>
    </w:p>
    <w:p w:rsidRPr="00860390" w:rsidR="00D96326" w:rsidP="00D96326" w:rsidRDefault="00D96326" w14:paraId="6B895619" w14:textId="77777777">
      <w:pPr>
        <w:pStyle w:val="zGTC02"/>
        <w:rPr>
          <w:rFonts w:ascii="Arial" w:hAnsi="Arial" w:eastAsia="PMingLiU" w:cs="Arial"/>
          <w:vanish/>
          <w:szCs w:val="20"/>
          <w:specVanish/>
        </w:rPr>
      </w:pPr>
      <w:bookmarkStart w:name="_Toc212475660" w:id="83"/>
      <w:bookmarkStart w:name="_Toc227838358" w:id="84"/>
      <w:r>
        <w:rPr>
          <w:rFonts w:ascii="Arial" w:hAnsi="Arial" w:cs="Arial"/>
          <w:szCs w:val="20"/>
        </w:rPr>
        <w:t>Reporting.</w:t>
      </w:r>
      <w:bookmarkEnd w:id="83"/>
      <w:bookmarkEnd w:id="84"/>
    </w:p>
    <w:p w:rsidR="00D96326" w:rsidP="00D96326" w:rsidRDefault="00D96326" w14:paraId="0EB8EBAE" w14:textId="5B12CA91">
      <w:pPr>
        <w:pStyle w:val="zGNormal"/>
      </w:pPr>
      <w:r>
        <w:t xml:space="preserve"> Seller must promptly notify GPC of any circumstance that results in Seller’s failure to comply with the Performance Security requirements of this Part 6 (</w:t>
      </w:r>
      <w:r>
        <w:rPr>
          <w:i/>
          <w:iCs/>
        </w:rPr>
        <w:t>Performance Security</w:t>
      </w:r>
      <w:r>
        <w:t>). From time to time, at GPC’s written request, Seller must provide GPC with evidence as GPC reasonably requests to demonstrate that Seller and any Seller Guarantor, Seller Guaranty, Letter of Credit, or GPC Security Account is in full compliance with this PPA.</w:t>
      </w:r>
    </w:p>
    <w:p w:rsidRPr="00860390" w:rsidR="00314493" w:rsidP="00661299" w:rsidRDefault="00314493" w14:paraId="61F046AE" w14:textId="4BCB54B1">
      <w:pPr>
        <w:pStyle w:val="zGTC02"/>
        <w:rPr>
          <w:rFonts w:ascii="Arial" w:hAnsi="Arial" w:eastAsia="PMingLiU" w:cs="Arial"/>
          <w:vanish/>
          <w:szCs w:val="20"/>
          <w:specVanish/>
        </w:rPr>
      </w:pPr>
      <w:bookmarkStart w:name="_Toc227838359" w:id="85"/>
      <w:r>
        <w:rPr>
          <w:rFonts w:ascii="Arial" w:hAnsi="Arial" w:cs="Arial"/>
          <w:szCs w:val="20"/>
        </w:rPr>
        <w:t xml:space="preserve">Pre-Approval of </w:t>
      </w:r>
      <w:r w:rsidR="00C319D0">
        <w:rPr>
          <w:rFonts w:ascii="Arial" w:hAnsi="Arial" w:cs="Arial"/>
          <w:szCs w:val="20"/>
        </w:rPr>
        <w:t xml:space="preserve">Non-Cash </w:t>
      </w:r>
      <w:r>
        <w:rPr>
          <w:rFonts w:ascii="Arial" w:hAnsi="Arial" w:cs="Arial"/>
          <w:szCs w:val="20"/>
        </w:rPr>
        <w:t>Eligible Collateral.</w:t>
      </w:r>
      <w:bookmarkEnd w:id="85"/>
    </w:p>
    <w:p w:rsidRPr="00860390" w:rsidR="00FA394B" w:rsidP="00D96326" w:rsidRDefault="004E4F73" w14:paraId="13E5A02F" w14:textId="3713239B">
      <w:pPr>
        <w:pStyle w:val="zGNormal"/>
      </w:pPr>
      <w:r>
        <w:t xml:space="preserve"> </w:t>
      </w:r>
      <w:r w:rsidRPr="000E7D25" w:rsidR="000E7D25">
        <w:t xml:space="preserve">If Seller intends to provide Eligible Collateral in any form other than cash, including any replacement or supplemental Eligible Collateral, or any amendment to Eligible Collateral, Seller, at least 10 Business Days before the applicable due date, must submit a draft (unissued) Letter </w:t>
      </w:r>
      <w:r w:rsidRPr="000E7D25" w:rsidR="000E7D25">
        <w:lastRenderedPageBreak/>
        <w:t xml:space="preserve">of Credit or Seller Guaranty for GPC’s review and approval. If Seller lacked sufficient advance notice of a Material Adverse Change to deliver the draft (unissued) Letter of Credit or Seller Guaranty to GPC for review within the time stated in the </w:t>
      </w:r>
      <w:r w:rsidR="00DE6388">
        <w:t>preceding</w:t>
      </w:r>
      <w:r w:rsidRPr="000E7D25" w:rsidR="000E7D25">
        <w:t xml:space="preserve"> sentence, Seller must notify GPC of the Material Adverse Change </w:t>
      </w:r>
      <w:r w:rsidR="008D3F44">
        <w:t xml:space="preserve">by no later than </w:t>
      </w:r>
      <w:r w:rsidR="001266B4">
        <w:t>three</w:t>
      </w:r>
      <w:r w:rsidR="008D3F44">
        <w:t xml:space="preserve"> Banking Days after Seller knew or should have known of the Material Adverse Change</w:t>
      </w:r>
      <w:r w:rsidRPr="000E7D25" w:rsidR="000E7D25">
        <w:t xml:space="preserve"> and promptly submit the draft (unissued) Letter of Credit or Seller Guaranty for GPC’s review and approval</w:t>
      </w:r>
      <w:r w:rsidR="005E5C41">
        <w:t xml:space="preserve"> and, upon approval, promptly deliver the Eligible Collateral to GPC by no later than </w:t>
      </w:r>
      <w:r w:rsidR="001266B4">
        <w:t>two</w:t>
      </w:r>
      <w:r w:rsidR="005E5C41">
        <w:t xml:space="preserve"> Banking Days after receipt of GPC’s approval</w:t>
      </w:r>
      <w:r w:rsidRPr="000E7D25" w:rsidR="000E7D25">
        <w:t xml:space="preserve">. </w:t>
      </w:r>
    </w:p>
    <w:p w:rsidRPr="00860390" w:rsidR="00D96326" w:rsidP="00661299" w:rsidRDefault="00D96326" w14:paraId="67362995" w14:textId="77777777">
      <w:pPr>
        <w:pStyle w:val="zGTC02"/>
        <w:rPr>
          <w:rFonts w:ascii="Arial" w:hAnsi="Arial" w:eastAsia="PMingLiU" w:cs="Arial"/>
          <w:vanish/>
          <w:szCs w:val="20"/>
          <w:specVanish/>
        </w:rPr>
      </w:pPr>
      <w:bookmarkStart w:name="_Toc212475661" w:id="86"/>
      <w:bookmarkStart w:name="_Toc227838360" w:id="87"/>
      <w:r>
        <w:rPr>
          <w:rFonts w:ascii="Arial" w:hAnsi="Arial" w:cs="Arial"/>
          <w:szCs w:val="20"/>
        </w:rPr>
        <w:t>Delivery of Eligible Collateral for Performance Security.</w:t>
      </w:r>
      <w:bookmarkEnd w:id="86"/>
      <w:bookmarkEnd w:id="87"/>
    </w:p>
    <w:p w:rsidRPr="00860390" w:rsidR="00D96326" w:rsidP="00D96326" w:rsidRDefault="00D96326" w14:paraId="23E61BE3" w14:textId="6CCEC941">
      <w:pPr>
        <w:pStyle w:val="zGNormal"/>
      </w:pPr>
      <w:r>
        <w:t xml:space="preserve"> Seller must </w:t>
      </w:r>
      <w:proofErr w:type="gramStart"/>
      <w:r>
        <w:t>provide to</w:t>
      </w:r>
      <w:proofErr w:type="gramEnd"/>
      <w:r>
        <w:t xml:space="preserve"> GPC Eligible Collateral to meet any of the Performance Security requirements under this PPA by delivering, as applicable: (</w:t>
      </w:r>
      <w:proofErr w:type="spellStart"/>
      <w:r>
        <w:t>i</w:t>
      </w:r>
      <w:proofErr w:type="spellEnd"/>
      <w:r>
        <w:t xml:space="preserve">) cash wired to </w:t>
      </w:r>
      <w:r w:rsidR="0043125B">
        <w:t>a</w:t>
      </w:r>
      <w:r>
        <w:t xml:space="preserve"> GPC</w:t>
      </w:r>
      <w:r w:rsidR="0043125B">
        <w:t xml:space="preserve"> Security Account</w:t>
      </w:r>
      <w:r>
        <w:t>; or (ii) Letter of Credit or Seller Guaranty to the address indicated in Exhibit M (</w:t>
      </w:r>
      <w:r>
        <w:rPr>
          <w:i/>
          <w:iCs/>
        </w:rPr>
        <w:t>Notices</w:t>
      </w:r>
      <w:r>
        <w:t>).</w:t>
      </w:r>
    </w:p>
    <w:p w:rsidRPr="00860390" w:rsidR="00D96326" w:rsidP="00D96326" w:rsidRDefault="00D96326" w14:paraId="4DC89660" w14:textId="49EA8F71">
      <w:pPr>
        <w:pStyle w:val="zGTC01"/>
        <w:rPr>
          <w:rFonts w:ascii="Arial" w:hAnsi="Arial"/>
          <w:szCs w:val="20"/>
        </w:rPr>
      </w:pPr>
      <w:bookmarkStart w:name="_Toc149177591" w:id="88"/>
      <w:bookmarkStart w:name="_Toc149177592" w:id="89"/>
      <w:bookmarkStart w:name="_Toc149177593" w:id="90"/>
      <w:bookmarkStart w:name="_Toc149177594" w:id="91"/>
      <w:bookmarkStart w:name="_Toc149177595" w:id="92"/>
      <w:bookmarkStart w:name="_Toc149177596" w:id="93"/>
      <w:bookmarkStart w:name="_Toc212475662" w:id="94"/>
      <w:bookmarkStart w:name="_Toc227838361" w:id="95"/>
      <w:bookmarkEnd w:id="88"/>
      <w:bookmarkEnd w:id="89"/>
      <w:bookmarkEnd w:id="90"/>
      <w:bookmarkEnd w:id="91"/>
      <w:bookmarkEnd w:id="92"/>
      <w:bookmarkEnd w:id="93"/>
      <w:r>
        <w:rPr>
          <w:rFonts w:ascii="Arial" w:hAnsi="Arial"/>
          <w:szCs w:val="20"/>
        </w:rPr>
        <w:t>Facility Design and Construction; Achieving Commercial Operation</w:t>
      </w:r>
      <w:bookmarkEnd w:id="94"/>
      <w:bookmarkEnd w:id="95"/>
      <w:r>
        <w:rPr>
          <w:rFonts w:ascii="Arial" w:hAnsi="Arial"/>
          <w:szCs w:val="20"/>
        </w:rPr>
        <w:t xml:space="preserve"> </w:t>
      </w:r>
    </w:p>
    <w:p w:rsidRPr="00860390" w:rsidR="00D96326" w:rsidP="00D96326" w:rsidRDefault="00D96326" w14:paraId="233DC295" w14:textId="540BAA03">
      <w:pPr>
        <w:pStyle w:val="zGTC02"/>
        <w:rPr>
          <w:rFonts w:ascii="Arial" w:hAnsi="Arial" w:eastAsia="PMingLiU" w:cs="Arial"/>
          <w:vanish/>
          <w:szCs w:val="20"/>
          <w:specVanish/>
        </w:rPr>
      </w:pPr>
      <w:bookmarkStart w:name="_Toc212475663" w:id="96"/>
      <w:bookmarkStart w:name="_Toc227838362" w:id="97"/>
      <w:r>
        <w:rPr>
          <w:rFonts w:ascii="Arial" w:hAnsi="Arial" w:cs="Arial"/>
          <w:szCs w:val="20"/>
        </w:rPr>
        <w:t>Design and Construction of the Facility.</w:t>
      </w:r>
      <w:bookmarkEnd w:id="96"/>
      <w:bookmarkEnd w:id="97"/>
    </w:p>
    <w:p w:rsidRPr="00860390" w:rsidR="00D96326" w:rsidP="00D96326" w:rsidRDefault="00D96326" w14:paraId="135EA293" w14:textId="77777777">
      <w:pPr>
        <w:pStyle w:val="zGTC02"/>
        <w:numPr>
          <w:ilvl w:val="0"/>
          <w:numId w:val="0"/>
        </w:numPr>
        <w:rPr>
          <w:rFonts w:ascii="Arial" w:hAnsi="Arial" w:cs="Arial"/>
          <w:szCs w:val="20"/>
        </w:rPr>
      </w:pPr>
    </w:p>
    <w:p w:rsidR="00D96326" w:rsidP="00B7441B" w:rsidRDefault="001A29D5" w14:paraId="308FB014" w14:textId="1F523769">
      <w:pPr>
        <w:pStyle w:val="zGTC03"/>
        <w:rPr>
          <w:rFonts w:cs="Arial"/>
        </w:rPr>
      </w:pPr>
      <w:r>
        <w:rPr>
          <w:rFonts w:cs="Arial"/>
          <w:b/>
          <w:bCs/>
        </w:rPr>
        <w:t xml:space="preserve">Facility Design. </w:t>
      </w:r>
      <w:r>
        <w:rPr>
          <w:u w:color="0000FF"/>
        </w:rPr>
        <w:t>Seller must design and construct the Facility</w:t>
      </w:r>
      <w:r w:rsidR="005A0A6B">
        <w:rPr>
          <w:u w:color="0000FF"/>
        </w:rPr>
        <w:t>, including the Unit(s),</w:t>
      </w:r>
      <w:r>
        <w:rPr>
          <w:u w:color="0000FF"/>
        </w:rPr>
        <w:t xml:space="preserve"> in accordance with the applicable specifications set forth in </w:t>
      </w:r>
      <w:r>
        <w:rPr>
          <w:bCs/>
          <w:u w:color="0000FF"/>
        </w:rPr>
        <w:t>this PPA.</w:t>
      </w:r>
      <w:r>
        <w:rPr>
          <w:u w:color="0000FF"/>
        </w:rPr>
        <w:t xml:space="preserve"> Despite any other provision in this PPA, the actual capacity of the Facility (i.e., the total capacity of the Unit(</w:t>
      </w:r>
      <w:proofErr w:type="gramStart"/>
      <w:r>
        <w:rPr>
          <w:u w:color="0000FF"/>
        </w:rPr>
        <w:t>s))</w:t>
      </w:r>
      <w:proofErr w:type="gramEnd"/>
      <w:r>
        <w:rPr>
          <w:u w:color="0000FF"/>
        </w:rPr>
        <w:t xml:space="preserve"> must be at least 50 MW. The Facility must be designed to meet the requirements of Exhibit B (</w:t>
      </w:r>
      <w:r>
        <w:rPr>
          <w:i/>
          <w:iCs/>
          <w:u w:color="0000FF"/>
        </w:rPr>
        <w:t>Capacity; Capacity Payments</w:t>
      </w:r>
      <w:r>
        <w:rPr>
          <w:i/>
        </w:rPr>
        <w:t xml:space="preserve"> and Payment Reductions; Buydown</w:t>
      </w:r>
      <w:r>
        <w:rPr>
          <w:u w:color="0000FF"/>
        </w:rPr>
        <w:t>) and Exhibit C (</w:t>
      </w:r>
      <w:r>
        <w:rPr>
          <w:i/>
          <w:iCs/>
          <w:u w:color="0000FF"/>
        </w:rPr>
        <w:t>Energy Payment Calculation</w:t>
      </w:r>
      <w:r>
        <w:rPr>
          <w:u w:color="0000FF"/>
        </w:rPr>
        <w:t xml:space="preserve">). </w:t>
      </w:r>
      <w:r>
        <w:rPr>
          <w:rFonts w:cs="Arial"/>
        </w:rPr>
        <w:t xml:space="preserve">The Project must be completed in accordance with Prudent Industry Practices and all applicable law. </w:t>
      </w:r>
      <w:r>
        <w:t>The Facility must comply with applicable EOP-012-</w:t>
      </w:r>
      <w:r w:rsidR="00FB0DA7">
        <w:t>3</w:t>
      </w:r>
      <w:r>
        <w:t xml:space="preserve"> (Extreme Cold Weather Preparedness and Operations) requirements, including Requirements R1 (applicable to New Facilities), R2 (applicable to Existing Facilities), R3, R4, R5, R6, and R7</w:t>
      </w:r>
      <w:r w:rsidR="0084440A">
        <w:t>, and any successor reliability standard</w:t>
      </w:r>
      <w:r>
        <w:t>.</w:t>
      </w:r>
      <w:r w:rsidR="00285B4E">
        <w:t xml:space="preserve"> </w:t>
      </w:r>
      <w:r w:rsidRPr="00285B4E" w:rsidR="00285B4E">
        <w:t>EOP-012-</w:t>
      </w:r>
      <w:r w:rsidR="00FB0DA7">
        <w:t>3</w:t>
      </w:r>
      <w:r w:rsidRPr="00285B4E" w:rsidR="00285B4E">
        <w:t xml:space="preserve"> is published by NERC and available at:</w:t>
      </w:r>
      <w:r w:rsidR="00D33EED">
        <w:t xml:space="preserve"> </w:t>
      </w:r>
      <w:hyperlink w:history="1" r:id="rId21">
        <w:r w:rsidRPr="003E5660" w:rsidR="00F863EE">
          <w:rPr>
            <w:rStyle w:val="Hyperlink"/>
          </w:rPr>
          <w:t>https://www.nerc.com/pa/Stand/Reliability%20Standards/EOP-012-3.pdf</w:t>
        </w:r>
      </w:hyperlink>
      <w:r w:rsidRPr="00285B4E" w:rsidR="00285B4E">
        <w:t>.  </w:t>
      </w:r>
    </w:p>
    <w:p w:rsidRPr="00F07DFA" w:rsidR="00D96326" w:rsidP="00B7441B" w:rsidRDefault="00D96326" w14:paraId="4E31B4D8" w14:textId="77777777">
      <w:pPr>
        <w:pStyle w:val="zGTC03"/>
      </w:pPr>
      <w:r>
        <w:rPr>
          <w:b/>
          <w:bCs/>
        </w:rPr>
        <w:t>RCOD and Facility Construction Key Milestones.</w:t>
      </w:r>
      <w:r>
        <w:t xml:space="preserve"> Seller must progress Facility construction in accordance with applicable Key Milestone Dates, including achievement of Commercial Operation by the RCOD.</w:t>
      </w:r>
    </w:p>
    <w:p w:rsidRPr="00860390" w:rsidR="00D96326" w:rsidP="00B7441B" w:rsidRDefault="00D96326" w14:paraId="63F3A599" w14:textId="4BE99254">
      <w:pPr>
        <w:pStyle w:val="zGTC03"/>
      </w:pPr>
      <w:r>
        <w:rPr>
          <w:b/>
          <w:bCs/>
        </w:rPr>
        <w:t xml:space="preserve">Commercial Operation. </w:t>
      </w:r>
      <w:r>
        <w:t xml:space="preserve">The Facility will be deemed to have achieved Commercial Operation under this PPA when Seller demonstrates, to GPC’s reasonable satisfaction, that the following </w:t>
      </w:r>
      <w:r w:rsidR="0024311D">
        <w:t xml:space="preserve">listed </w:t>
      </w:r>
      <w:r>
        <w:t>criteria are fulfilled. GPC is entitled, but not required, to verify achievement of these criteria before GPC’s acceptance of Commercial Operation.</w:t>
      </w:r>
    </w:p>
    <w:p w:rsidRPr="00860390" w:rsidR="00D96326" w:rsidP="00D96326" w:rsidRDefault="00D96326" w14:paraId="1524C456" w14:textId="30247809">
      <w:pPr>
        <w:pStyle w:val="zGTC04"/>
      </w:pPr>
      <w:r>
        <w:t xml:space="preserve"> The </w:t>
      </w:r>
      <w:r w:rsidR="00AE67B1">
        <w:t>Facility</w:t>
      </w:r>
      <w:r>
        <w:t xml:space="preserve"> </w:t>
      </w:r>
      <w:proofErr w:type="gramStart"/>
      <w:r>
        <w:t>is capable of producing and delivering</w:t>
      </w:r>
      <w:proofErr w:type="gramEnd"/>
      <w:r>
        <w:t>, on a reliable basis, energy</w:t>
      </w:r>
      <w:r>
        <w:rPr>
          <w:b/>
          <w:bCs/>
          <w:i/>
          <w:iCs/>
        </w:rPr>
        <w:t xml:space="preserve"> </w:t>
      </w:r>
      <w:r>
        <w:t xml:space="preserve">to the Electric System and meets GPC’s AGC </w:t>
      </w:r>
      <w:proofErr w:type="gramStart"/>
      <w:r>
        <w:t>requirements;</w:t>
      </w:r>
      <w:proofErr w:type="gramEnd"/>
      <w:r>
        <w:t xml:space="preserve"> </w:t>
      </w:r>
    </w:p>
    <w:p w:rsidRPr="00860390" w:rsidR="00D96326" w:rsidP="00D96326" w:rsidRDefault="00D96326" w14:paraId="3E8CE458" w14:textId="28806B57">
      <w:pPr>
        <w:pStyle w:val="zGTC04"/>
      </w:pPr>
      <w:r>
        <w:t xml:space="preserve">(a) Seller has satisfied all IA requirements that are conditions to commercial operation (as defined in the IA); (b) the Facility otherwise </w:t>
      </w:r>
      <w:proofErr w:type="gramStart"/>
      <w:r>
        <w:t>is in compliance with</w:t>
      </w:r>
      <w:proofErr w:type="gramEnd"/>
      <w:r>
        <w:t xml:space="preserve"> the IA; and (c) the Facility has demonstrated the reliability of its communication systems with the Scheduling </w:t>
      </w:r>
      <w:proofErr w:type="gramStart"/>
      <w:r>
        <w:t>Center;</w:t>
      </w:r>
      <w:proofErr w:type="gramEnd"/>
      <w:r>
        <w:t xml:space="preserve"> </w:t>
      </w:r>
    </w:p>
    <w:p w:rsidRPr="00860390" w:rsidR="00D96326" w:rsidP="00D96326" w:rsidRDefault="00D96326" w14:paraId="3E20DA49" w14:textId="4800B124">
      <w:pPr>
        <w:pStyle w:val="zGTC04"/>
      </w:pPr>
      <w:r>
        <w:t>Seller has successfully completed Performance Testing in accordance with Section 9.1 (</w:t>
      </w:r>
      <w:r>
        <w:rPr>
          <w:i/>
          <w:iCs/>
        </w:rPr>
        <w:t>Tested Reliable Capacity and Declared Capacity</w:t>
      </w:r>
      <w:r>
        <w:t xml:space="preserve">) including a Tested Standard Reliable Capacity higher than 70% of the Nominal Standard Capability and a Tested Winter Reliable Capacity higher than 70% of the Nominal Winter Capability, each under </w:t>
      </w:r>
      <w:r>
        <w:rPr>
          <w:u w:color="0000FF"/>
        </w:rPr>
        <w:t>Exhibit B (</w:t>
      </w:r>
      <w:r>
        <w:rPr>
          <w:i/>
          <w:iCs/>
          <w:u w:color="0000FF"/>
        </w:rPr>
        <w:t>Capacity; Capacity Payments</w:t>
      </w:r>
      <w:r>
        <w:rPr>
          <w:i/>
        </w:rPr>
        <w:t xml:space="preserve"> and Payment Reductions; Buydown</w:t>
      </w:r>
      <w:r>
        <w:rPr>
          <w:u w:color="0000FF"/>
        </w:rPr>
        <w:t>)</w:t>
      </w:r>
      <w:r>
        <w:t>, Section 1.4 (</w:t>
      </w:r>
      <w:r>
        <w:rPr>
          <w:i/>
          <w:iCs/>
        </w:rPr>
        <w:t>Tested Reliable Capacity Below Contracted Capacity Range; Capacity Buydown</w:t>
      </w:r>
      <w:r>
        <w:t>), or GPC will have determined to its reasonable satisfaction through any combination of testing and examination of Facility</w:t>
      </w:r>
      <w:r w:rsidR="005A0A6B">
        <w:t xml:space="preserve"> data</w:t>
      </w:r>
      <w:r>
        <w:t xml:space="preserve"> that the Facility</w:t>
      </w:r>
      <w:r w:rsidR="005A0A6B">
        <w:t>, including the</w:t>
      </w:r>
      <w:r>
        <w:t xml:space="preserve"> Unit</w:t>
      </w:r>
      <w:r w:rsidR="007265C8">
        <w:t>(s),</w:t>
      </w:r>
      <w:r>
        <w:t xml:space="preserve"> is fully capable of successfully completing a Performance Test; </w:t>
      </w:r>
    </w:p>
    <w:p w:rsidR="00D96326" w:rsidP="00D96326" w:rsidRDefault="00D96326" w14:paraId="0D6305F4" w14:textId="4B57733C">
      <w:pPr>
        <w:pStyle w:val="zGTC04"/>
      </w:pPr>
      <w:r>
        <w:t xml:space="preserve">Seller must have provided GPC </w:t>
      </w:r>
      <w:r w:rsidR="00721209">
        <w:t xml:space="preserve">with </w:t>
      </w:r>
      <w:r>
        <w:t xml:space="preserve">a certificate from a responsible officer of Seller reasonably acceptable to GPC, stating that the Facility has been designed, engineered, constructed, and tested in accordance with Prudent Industry Practices and </w:t>
      </w:r>
      <w:proofErr w:type="gramStart"/>
      <w:r w:rsidR="001D14FD">
        <w:t>is capable of</w:t>
      </w:r>
      <w:r>
        <w:t xml:space="preserve"> perform</w:t>
      </w:r>
      <w:r w:rsidR="001D14FD">
        <w:t>ing</w:t>
      </w:r>
      <w:proofErr w:type="gramEnd"/>
      <w:r>
        <w:t xml:space="preserve"> in accordance with the terms of this </w:t>
      </w:r>
      <w:proofErr w:type="gramStart"/>
      <w:r>
        <w:t>PPA;</w:t>
      </w:r>
      <w:proofErr w:type="gramEnd"/>
      <w:r>
        <w:t xml:space="preserve"> </w:t>
      </w:r>
    </w:p>
    <w:p w:rsidR="00E657B2" w:rsidP="00D96326" w:rsidRDefault="00D96326" w14:paraId="71EC2890" w14:textId="2A13A481">
      <w:pPr>
        <w:pStyle w:val="zGTC04"/>
      </w:pPr>
      <w:r>
        <w:t xml:space="preserve">Seller must have delivered to GPC a certificate from a responsible officer of Seller reasonably acceptable to GPC certifying that Seller has obtained all </w:t>
      </w:r>
      <w:r>
        <w:rPr>
          <w:rFonts w:cs="Arial"/>
        </w:rPr>
        <w:t xml:space="preserve">licenses, permits, franchises, agreements, approvals, authorizations, Consents, waivers, rights, exemptions, releases, variances, exceptions, or orders of or issued by, or filing with, or notice to, any </w:t>
      </w:r>
      <w:r>
        <w:t xml:space="preserve">Governmental </w:t>
      </w:r>
      <w:r>
        <w:lastRenderedPageBreak/>
        <w:t>Authority required under applicable law (“</w:t>
      </w:r>
      <w:r>
        <w:rPr>
          <w:b/>
        </w:rPr>
        <w:t>Governmental Approvals</w:t>
      </w:r>
      <w:r>
        <w:t xml:space="preserve">”) for the construction, ownership, operation, and maintenance of the Facility in accordance with this PPA; </w:t>
      </w:r>
    </w:p>
    <w:p w:rsidR="00D96326" w:rsidP="00D96326" w:rsidRDefault="007E5EA4" w14:paraId="2AE8168B" w14:textId="29D694F4">
      <w:pPr>
        <w:pStyle w:val="zGTC04"/>
      </w:pPr>
      <w:r>
        <w:rPr>
          <w:rFonts w:cs="Arial"/>
          <w:szCs w:val="20"/>
        </w:rPr>
        <w:t>If the Facility is interconnected to an Electric System outside the SBAA, Seller has delivered to GPC a certificate from a responsible officer of Seller that is reasonably acceptable to GPC confirming that Firm Transmission Service has been procured from the COD throughout the Term</w:t>
      </w:r>
      <w:r>
        <w:t>; and</w:t>
      </w:r>
    </w:p>
    <w:p w:rsidR="00F51110" w:rsidP="001E6DFA" w:rsidRDefault="00F51110" w14:paraId="3D05809A" w14:textId="1CDF01AA">
      <w:pPr>
        <w:pStyle w:val="zGTC04"/>
      </w:pPr>
      <w:r>
        <w:t xml:space="preserve">Any </w:t>
      </w:r>
      <w:r>
        <w:rPr>
          <w:rFonts w:cs="Arial"/>
          <w:szCs w:val="20"/>
        </w:rPr>
        <w:t>additional criteria set forth in the Commercial Operation Completion Certificate.</w:t>
      </w:r>
    </w:p>
    <w:p w:rsidRPr="00860390" w:rsidR="00940110" w:rsidP="00940110" w:rsidRDefault="00940110" w14:paraId="7AAFC2E8" w14:textId="071416C8">
      <w:pPr>
        <w:pStyle w:val="zGTC03"/>
        <w:numPr>
          <w:ilvl w:val="0"/>
          <w:numId w:val="0"/>
        </w:numPr>
        <w:ind w:left="720"/>
      </w:pPr>
      <w:r>
        <w:t>For the avoidance of doubt, the Facility may achieve commercial operation in accordance with the Interconnection Agreement, and may be considered operational for all other purposes, including tax purposes, but the Facility will not be deemed to have achieved Commercial Operation for purposes of this PPA until (a) subsections (</w:t>
      </w:r>
      <w:proofErr w:type="spellStart"/>
      <w:r>
        <w:t>i</w:t>
      </w:r>
      <w:proofErr w:type="spellEnd"/>
      <w:r>
        <w:t>) through (vii) of this Section 7.1.3 (</w:t>
      </w:r>
      <w:r>
        <w:rPr>
          <w:i/>
          <w:iCs/>
        </w:rPr>
        <w:t>Commercial Operation</w:t>
      </w:r>
      <w:r>
        <w:t>) are satisfied, and (b) GPC has reasonably determined Commercial Operation has been achieved in accordance with Section 7.1.4 (</w:t>
      </w:r>
      <w:r>
        <w:rPr>
          <w:i/>
          <w:iCs/>
        </w:rPr>
        <w:t>Commercial Operation Completion Certificate</w:t>
      </w:r>
      <w:r>
        <w:t>).</w:t>
      </w:r>
    </w:p>
    <w:p w:rsidRPr="00E777E1" w:rsidR="00D96326" w:rsidP="0050484B" w:rsidRDefault="00D96326" w14:paraId="0B99090B" w14:textId="4ECECBD7">
      <w:pPr>
        <w:pStyle w:val="zGTC03"/>
      </w:pPr>
      <w:r>
        <w:rPr>
          <w:b/>
        </w:rPr>
        <w:t xml:space="preserve">Commercial Operation </w:t>
      </w:r>
      <w:r>
        <w:rPr>
          <w:b/>
          <w:bCs/>
        </w:rPr>
        <w:t xml:space="preserve">Completion </w:t>
      </w:r>
      <w:r>
        <w:rPr>
          <w:b/>
        </w:rPr>
        <w:t>Certificate.</w:t>
      </w:r>
      <w:r>
        <w:rPr>
          <w:b/>
          <w:bCs/>
        </w:rPr>
        <w:t xml:space="preserve"> </w:t>
      </w:r>
      <w:r>
        <w:t>When Seller believes the Facility achieved the Commercial Operation requirements set forth in Section 7.1.3 (</w:t>
      </w:r>
      <w:r>
        <w:rPr>
          <w:i/>
        </w:rPr>
        <w:t>Commercial Operation</w:t>
      </w:r>
      <w:r>
        <w:t>), Seller must complete and submit to GPC the Commercial Operation Completion Certificate. Upon receipt of the Commercial Operation Completion Certificate, GPC will have the right, but not the obligation, to inspect the Facility or review inspection-related information before acceptance</w:t>
      </w:r>
      <w:r w:rsidR="000E4089">
        <w:t xml:space="preserve">, as </w:t>
      </w:r>
      <w:r w:rsidR="006F518C">
        <w:t xml:space="preserve">such inspection-related information may be </w:t>
      </w:r>
      <w:r w:rsidR="000E4089">
        <w:t>reasonably requested by GPC</w:t>
      </w:r>
      <w:r>
        <w:t xml:space="preserve">. Within </w:t>
      </w:r>
      <w:r w:rsidR="001743D0">
        <w:t xml:space="preserve">20 </w:t>
      </w:r>
      <w:r>
        <w:t xml:space="preserve">Days after receipt, GPC will review the Commercial Operation Completion Certificate and notify Seller whether GPC agrees in its reasonable discretion that Commercial Operation was achieved. If GPC agrees in its reasonable discretion that Commercial Operation was achieved, the date that Seller submitted the Commercial Operation Completion Certificate will be the Commercial Operation Date. However, if GPC determines in its reasonable discretion that the Facility has not actually achieved Commercial Operation, GPC will notify Seller of </w:t>
      </w:r>
      <w:r w:rsidR="007E46AE">
        <w:t>any</w:t>
      </w:r>
      <w:r>
        <w:t xml:space="preserve"> issue </w:t>
      </w:r>
      <w:r w:rsidR="007E46AE">
        <w:t>and</w:t>
      </w:r>
      <w:r>
        <w:t xml:space="preserve"> deficiency and Seller must</w:t>
      </w:r>
      <w:r w:rsidR="00891686">
        <w:t xml:space="preserve"> promptly</w:t>
      </w:r>
      <w:r>
        <w:t>: (</w:t>
      </w:r>
      <w:proofErr w:type="spellStart"/>
      <w:r>
        <w:t>i</w:t>
      </w:r>
      <w:proofErr w:type="spellEnd"/>
      <w:r>
        <w:t>) resolve any issue or deficiency and then resubmit the Commercial Operation Completion Certificate; or (ii) demonstrate to GPC’s reasonable satisfaction why the Facility has actually achieved Commercial Operation. This process will repeat until Commercial Operation (as determined by GPC in its reasonable discretion) is achieved. Seller will be liable for delay liquidated damages under Section 7.4 (</w:t>
      </w:r>
      <w:r>
        <w:rPr>
          <w:i/>
        </w:rPr>
        <w:t xml:space="preserve">Failure to Achieve </w:t>
      </w:r>
      <w:r>
        <w:rPr>
          <w:i/>
          <w:iCs/>
        </w:rPr>
        <w:t xml:space="preserve">Commercial Operation by </w:t>
      </w:r>
      <w:r>
        <w:rPr>
          <w:i/>
        </w:rPr>
        <w:t>RCOD</w:t>
      </w:r>
      <w:r>
        <w:t xml:space="preserve">) if GPC determines </w:t>
      </w:r>
      <w:r w:rsidR="00E128B9">
        <w:t xml:space="preserve">in its reasonable discretion </w:t>
      </w:r>
      <w:r>
        <w:t xml:space="preserve">that Seller did not timely achieve Commercial Operation. </w:t>
      </w:r>
    </w:p>
    <w:p w:rsidRPr="00860390" w:rsidR="002D3688" w:rsidP="002D3688" w:rsidRDefault="00D96326" w14:paraId="1E16A51E" w14:textId="77777777">
      <w:pPr>
        <w:pStyle w:val="zGTC02"/>
        <w:rPr>
          <w:rFonts w:ascii="Arial" w:hAnsi="Arial" w:eastAsia="PMingLiU" w:cs="Arial"/>
          <w:vanish/>
          <w:szCs w:val="20"/>
          <w:specVanish/>
        </w:rPr>
      </w:pPr>
      <w:bookmarkStart w:name="_Toc212475664" w:id="98"/>
      <w:bookmarkStart w:name="_Toc227838363" w:id="99"/>
      <w:r>
        <w:rPr>
          <w:rFonts w:cs="Arial"/>
          <w:bCs/>
        </w:rPr>
        <w:t>Key Milestones and Milestone Schedule.</w:t>
      </w:r>
      <w:bookmarkEnd w:id="98"/>
      <w:bookmarkEnd w:id="99"/>
    </w:p>
    <w:p w:rsidRPr="00860390" w:rsidR="00D96326" w:rsidP="004D0AD6" w:rsidRDefault="00D96326" w14:paraId="08FC9A34" w14:textId="7DE19DCE">
      <w:pPr>
        <w:pStyle w:val="zGNormal"/>
      </w:pPr>
      <w:r>
        <w:rPr>
          <w:bCs/>
        </w:rPr>
        <w:t xml:space="preserve"> </w:t>
      </w:r>
      <w:r>
        <w:t>By no later than 10 Business Days after the date of the Commission Certificate, Seller must provide a Milestone Schedule. At a minimum, the Milestone Schedule must include the Key Milestones stated in Exhibit A-1 (</w:t>
      </w:r>
      <w:r>
        <w:rPr>
          <w:i/>
          <w:iCs/>
        </w:rPr>
        <w:t>Key Milestones and Required Key Milestone Dates</w:t>
      </w:r>
      <w:r>
        <w:t>) and supported by documentation, as applicable.</w:t>
      </w:r>
    </w:p>
    <w:p w:rsidRPr="00860390" w:rsidR="00D96326" w:rsidP="00B5790A" w:rsidRDefault="00D96326" w14:paraId="70C5BB1B" w14:textId="18B0C6B0">
      <w:pPr>
        <w:pStyle w:val="zGTC03"/>
      </w:pPr>
      <w:r>
        <w:rPr>
          <w:b/>
          <w:bCs/>
        </w:rPr>
        <w:t>Milestone Schedule Updates; Monthly Reports.</w:t>
      </w:r>
      <w:r>
        <w:t xml:space="preserve"> Until COD, Seller must submit to GPC a Monthly written status report that: (</w:t>
      </w:r>
      <w:proofErr w:type="spellStart"/>
      <w:r>
        <w:t>i</w:t>
      </w:r>
      <w:proofErr w:type="spellEnd"/>
      <w:r>
        <w:t xml:space="preserve">) covers the previous Month; (ii) is prepared in a manner and format (hard copy and electronic) </w:t>
      </w:r>
      <w:r w:rsidR="00E446A9">
        <w:t xml:space="preserve">reasonably </w:t>
      </w:r>
      <w:r>
        <w:t xml:space="preserve">acceptable to GPC; and (iii) includes a detailed summary of (a) Seller’s progress toward each of the Key Milestones and the Facility’s development and construction; (b) Seller’s adherence to the Milestone Schedule; (c) any significant event that is scheduled or expected to occur during the following 30 Days; and (d) any other information </w:t>
      </w:r>
      <w:r w:rsidR="00E446A9">
        <w:t xml:space="preserve">reasonably </w:t>
      </w:r>
      <w:r>
        <w:t xml:space="preserve">requested by GPC. Seller must promptly notify GPC of any significant change in the Milestone Schedule that may delay Commercial Operation or the status of construction as may occur from time to time (including the reason for the change). </w:t>
      </w:r>
    </w:p>
    <w:p w:rsidRPr="00860390" w:rsidR="00D96326" w:rsidP="00B5790A" w:rsidRDefault="00D96326" w14:paraId="04246A87" w14:textId="1F23B21E">
      <w:pPr>
        <w:pStyle w:val="zGTC03"/>
      </w:pPr>
      <w:r>
        <w:rPr>
          <w:b/>
          <w:bCs/>
        </w:rPr>
        <w:t>Recovery Plan.</w:t>
      </w:r>
      <w:r>
        <w:t xml:space="preserve"> </w:t>
      </w:r>
      <w:r w:rsidRPr="007D615C" w:rsidR="007D615C">
        <w:t xml:space="preserve">Promptly, but no later than 10 Business Days, after becoming aware of any event or circumstance that is reasonably expected to cause a delay in achieving any Key Milestone by its Key Milestone Date, Seller must provide to GPC </w:t>
      </w:r>
      <w:bookmarkStart w:name="_Hlk206618752" w:id="100"/>
      <w:r w:rsidRPr="007D615C" w:rsidR="007D615C">
        <w:t xml:space="preserve">for GPC’s review and approval </w:t>
      </w:r>
      <w:bookmarkEnd w:id="100"/>
      <w:r w:rsidRPr="007D615C" w:rsidR="007D615C">
        <w:t>a recovery plan setting forth in detail and with supporting documentation: (</w:t>
      </w:r>
      <w:proofErr w:type="spellStart"/>
      <w:r w:rsidRPr="007D615C" w:rsidR="007D615C">
        <w:t>i</w:t>
      </w:r>
      <w:proofErr w:type="spellEnd"/>
      <w:r w:rsidRPr="007D615C" w:rsidR="007D615C">
        <w:t xml:space="preserve">) the cause(s) of the event or circumstance and the expected length of delay; and (ii) Seller’s plan to recover the lost time and regain compliance with the Milestone Schedule to achieve Commercial Operation by the RCOD, or if not by the RCOD, then by no later than nine Months after the RCOD. GPC’s right to approve Seller’s recovery plan is limited solely to determining if the recovery plan demonstrates with sufficient particularity that Seller will regain compliance with the Milestone Schedule and achieve Commercial Operation by the RCOD or, if not by the RCOD, then by no later than nine Months after the RCOD, and these approval rights do not extend to the general </w:t>
      </w:r>
      <w:r w:rsidRPr="007D615C" w:rsidR="007D615C">
        <w:lastRenderedPageBreak/>
        <w:t>mode, manner, or cost of Seller’s performance of the recovery plan. If GPC does not approve Seller’s recovery plan, GPC will notify Seller of the specific deficiencies in the recovery plan by no later than 10 Days after GPC’s receipt of the recovery plan. By no later than 10 Days after receipt of GPC’s</w:t>
      </w:r>
      <w:r w:rsidRPr="007D615C" w:rsidDel="00346B68" w:rsidR="007D615C">
        <w:t xml:space="preserve"> </w:t>
      </w:r>
      <w:r w:rsidRPr="007D615C" w:rsidR="007D615C">
        <w:t>rejection, Seller must revise the recovery plan to address the deficiencies stated in GPC’s notice and resubmit the recovery plan to GPC. Additionally, nothing in this Section 7.2.2 (</w:t>
      </w:r>
      <w:r w:rsidRPr="007D615C" w:rsidR="007D615C">
        <w:rPr>
          <w:i/>
          <w:iCs/>
        </w:rPr>
        <w:t>Recovery Plan</w:t>
      </w:r>
      <w:r w:rsidRPr="007D615C" w:rsidR="007D615C">
        <w:t>) will be construed to relieve Seller of any of its PPA obligations. The delivery of a recovery plan meeting GPC’s approval as outlined in this Section 7.2.2 (</w:t>
      </w:r>
      <w:r w:rsidRPr="007D615C" w:rsidR="007D615C">
        <w:rPr>
          <w:i/>
          <w:iCs/>
        </w:rPr>
        <w:t>Recovery Plan</w:t>
      </w:r>
      <w:r w:rsidRPr="007D615C" w:rsidR="007D615C">
        <w:t>) will satisfy Seller’s obligation with respect to any delay in achieving a Key Milestone, except for: (</w:t>
      </w:r>
      <w:proofErr w:type="spellStart"/>
      <w:r w:rsidRPr="007D615C" w:rsidR="007D615C">
        <w:t>i</w:t>
      </w:r>
      <w:proofErr w:type="spellEnd"/>
      <w:r w:rsidRPr="007D615C" w:rsidR="007D615C">
        <w:t>) a delay in obtaining the Air Permit as set forth in Section 7.3 (</w:t>
      </w:r>
      <w:r w:rsidRPr="007D615C" w:rsidR="007D615C">
        <w:rPr>
          <w:i/>
          <w:iCs/>
        </w:rPr>
        <w:t>Permitting</w:t>
      </w:r>
      <w:r w:rsidRPr="007D615C" w:rsidR="007D615C">
        <w:t>); (ii) a delay in achieving Commercial Operation as set forth in Section 7.4 (</w:t>
      </w:r>
      <w:r w:rsidRPr="007D615C" w:rsidR="007D615C">
        <w:rPr>
          <w:i/>
          <w:iCs/>
        </w:rPr>
        <w:t>Failure to Achieve Commercial Operation by RCOD</w:t>
      </w:r>
      <w:r w:rsidRPr="007D615C" w:rsidR="007D615C">
        <w:t>); or (iii) a delay caused by an FME as set forth in Part 15 (</w:t>
      </w:r>
      <w:r w:rsidRPr="007D615C" w:rsidR="007D615C">
        <w:rPr>
          <w:i/>
          <w:iCs/>
        </w:rPr>
        <w:t>Force Majeure</w:t>
      </w:r>
      <w:r w:rsidRPr="007D615C" w:rsidR="007D615C">
        <w:t>).</w:t>
      </w:r>
    </w:p>
    <w:p w:rsidRPr="00860390" w:rsidR="00D96326" w:rsidP="00B5790A" w:rsidRDefault="00D96326" w14:paraId="0417814E" w14:textId="18947EA7">
      <w:pPr>
        <w:pStyle w:val="zGTC03"/>
      </w:pPr>
      <w:r>
        <w:rPr>
          <w:b/>
          <w:bCs/>
        </w:rPr>
        <w:t>Requested Information and Physical Inspections.</w:t>
      </w:r>
      <w:r>
        <w:t xml:space="preserve"> GPC </w:t>
      </w:r>
      <w:proofErr w:type="gramStart"/>
      <w:r>
        <w:t>may reasonably</w:t>
      </w:r>
      <w:proofErr w:type="gramEnd"/>
      <w:r>
        <w:t xml:space="preserve"> request information regarding the status of the Facility and inspect the Facility’s construction, startup, and testing. Seller must provide, or cause to be provided, </w:t>
      </w:r>
      <w:proofErr w:type="gramStart"/>
      <w:r>
        <w:t>to GPC</w:t>
      </w:r>
      <w:proofErr w:type="gramEnd"/>
      <w:r>
        <w:t xml:space="preserve"> the requested information. Additionally, Seller must coordinate physical inspection of the Facility as GPC may reasonably request during or after completion of construction. GPC will provide Seller reasonable prior notice regarding an inspection. All GPC or GPC-Representative activities at the Site will be subject to Seller’s reasonable rules and procedures (including those related to health and safety).</w:t>
      </w:r>
    </w:p>
    <w:p w:rsidRPr="00860390" w:rsidR="00D96326" w:rsidP="00D96326" w:rsidRDefault="00D96326" w14:paraId="14C85306" w14:textId="5503FE77">
      <w:pPr>
        <w:pStyle w:val="zGTC02"/>
        <w:rPr>
          <w:rFonts w:ascii="Arial" w:hAnsi="Arial" w:eastAsia="PMingLiU" w:cs="Arial"/>
          <w:vanish/>
          <w:szCs w:val="20"/>
          <w:specVanish/>
        </w:rPr>
      </w:pPr>
      <w:bookmarkStart w:name="_Toc212475665" w:id="101"/>
      <w:bookmarkStart w:name="_Toc227838364" w:id="102"/>
      <w:r>
        <w:rPr>
          <w:rFonts w:ascii="Arial" w:hAnsi="Arial" w:cs="Arial"/>
        </w:rPr>
        <w:t>Permitting.</w:t>
      </w:r>
      <w:bookmarkEnd w:id="101"/>
      <w:bookmarkEnd w:id="102"/>
    </w:p>
    <w:p w:rsidRPr="00860390" w:rsidR="00D96326" w:rsidP="00B336B3" w:rsidRDefault="00D96326" w14:paraId="6425BDCE" w14:textId="61B0A747">
      <w:pPr>
        <w:pStyle w:val="zGTC03"/>
      </w:pPr>
      <w:r>
        <w:t xml:space="preserve"> A Seller Event of Default will arise under Section 16.1.12 (</w:t>
      </w:r>
      <w:r>
        <w:rPr>
          <w:i/>
          <w:iCs/>
        </w:rPr>
        <w:t xml:space="preserve">Failure to Obtain Air Permit by Air Permit </w:t>
      </w:r>
      <w:r w:rsidR="00B464F9">
        <w:rPr>
          <w:i/>
          <w:iCs/>
        </w:rPr>
        <w:t xml:space="preserve">Milestone </w:t>
      </w:r>
      <w:r>
        <w:rPr>
          <w:i/>
          <w:iCs/>
        </w:rPr>
        <w:t>Date</w:t>
      </w:r>
      <w:r>
        <w:t xml:space="preserve">) </w:t>
      </w:r>
      <w:bookmarkStart w:name="_Hlk26528383" w:id="103"/>
      <w:r>
        <w:t>if Seller: (</w:t>
      </w:r>
      <w:proofErr w:type="spellStart"/>
      <w:r>
        <w:t>i</w:t>
      </w:r>
      <w:proofErr w:type="spellEnd"/>
      <w:r>
        <w:t xml:space="preserve">) does not obtain the Air Permit by the Air Permit </w:t>
      </w:r>
      <w:r w:rsidR="00B464F9">
        <w:t xml:space="preserve">Milestone </w:t>
      </w:r>
      <w:r>
        <w:t xml:space="preserve">Date; or (ii) reasonably determines that Seller will not obtain the Air Permit by the Air Permit </w:t>
      </w:r>
      <w:bookmarkEnd w:id="103"/>
      <w:r w:rsidR="00B464F9">
        <w:t xml:space="preserve">Milestone </w:t>
      </w:r>
      <w:r>
        <w:t>Date. In either case, Seller must promptly deliver to GPC notice  regarding the event. If GPC terminates this PPA in accordance with Section 16.3.1 (</w:t>
      </w:r>
      <w:r>
        <w:rPr>
          <w:i/>
          <w:iCs/>
        </w:rPr>
        <w:t>Remedies for Event of Default</w:t>
      </w:r>
      <w:r>
        <w:t>) for a Seller Event of Default under Section 16.1.12, Seller must pay to GPC the Termination Payment under Section 16.3 (</w:t>
      </w:r>
      <w:r>
        <w:rPr>
          <w:i/>
          <w:iCs/>
        </w:rPr>
        <w:t>Remedies</w:t>
      </w:r>
      <w:bookmarkStart w:name="_Hlk32828506" w:id="104"/>
      <w:r>
        <w:t xml:space="preserve">). Seller must also reimburse GPC for the total costs incurred by GPC for modifications to the Electric System associated with the Facility and the delivery of energy from the </w:t>
      </w:r>
      <w:r w:rsidR="00AE67B1">
        <w:t xml:space="preserve">Facility </w:t>
      </w:r>
      <w:r>
        <w:t>to GPC’s customers</w:t>
      </w:r>
      <w:bookmarkEnd w:id="104"/>
      <w:r>
        <w:t>. Following any such termination and Seller’s payment to GPC of all required damages under this Section 7.3 (</w:t>
      </w:r>
      <w:r>
        <w:rPr>
          <w:i/>
          <w:iCs/>
        </w:rPr>
        <w:t>Permitting</w:t>
      </w:r>
      <w:r>
        <w:t>), neither Party will have any other liability to the other Party under this PPA.</w:t>
      </w:r>
    </w:p>
    <w:p w:rsidRPr="00860390" w:rsidR="00D96326" w:rsidP="00D96326" w:rsidRDefault="00D96326" w14:paraId="16EF839F" w14:textId="77777777">
      <w:pPr>
        <w:pStyle w:val="zGTC02"/>
        <w:rPr>
          <w:rFonts w:ascii="Arial" w:hAnsi="Arial" w:eastAsia="PMingLiU" w:cs="Arial"/>
        </w:rPr>
      </w:pPr>
      <w:bookmarkStart w:name="_Toc212475666" w:id="105"/>
      <w:bookmarkStart w:name="_Toc227838365" w:id="106"/>
      <w:r>
        <w:rPr>
          <w:rFonts w:ascii="Arial" w:hAnsi="Arial" w:cs="Arial"/>
        </w:rPr>
        <w:t>Failure to Achieve Commercial Operation by RCOD.</w:t>
      </w:r>
      <w:bookmarkEnd w:id="105"/>
      <w:bookmarkEnd w:id="106"/>
    </w:p>
    <w:p w:rsidRPr="00860390" w:rsidR="00D96326" w:rsidP="00340065" w:rsidRDefault="00D96326" w14:paraId="7D9920EE" w14:textId="6B95F194">
      <w:pPr>
        <w:pStyle w:val="zGTC03"/>
      </w:pPr>
      <w:r>
        <w:rPr>
          <w:b/>
          <w:bCs/>
        </w:rPr>
        <w:t>Delay Liquidated Damages.</w:t>
      </w:r>
      <w:r>
        <w:t xml:space="preserve"> If Seller fails to </w:t>
      </w:r>
      <w:bookmarkStart w:name="_Hlk16781251" w:id="107"/>
      <w:r>
        <w:t>achieve Commercial Operation by the RCOD</w:t>
      </w:r>
      <w:bookmarkEnd w:id="107"/>
      <w:r>
        <w:t>, Seller must pay to GPC delay liquidated damages calculated in accordance with Part 2 (</w:t>
      </w:r>
      <w:r>
        <w:rPr>
          <w:i/>
          <w:iCs/>
        </w:rPr>
        <w:t>Liquidated Damages</w:t>
      </w:r>
      <w:r>
        <w:t>) of Exhibit A-2 (</w:t>
      </w:r>
      <w:r>
        <w:rPr>
          <w:i/>
          <w:iCs/>
        </w:rPr>
        <w:t>Performance Security and Liquidated Damages</w:t>
      </w:r>
      <w:r>
        <w:t>), prorated daily, until the earlier of: (</w:t>
      </w:r>
      <w:proofErr w:type="spellStart"/>
      <w:r>
        <w:t>i</w:t>
      </w:r>
      <w:proofErr w:type="spellEnd"/>
      <w:r>
        <w:t xml:space="preserve">) COD; (ii) the Day GPC receives notice from Seller that Commercial Operation will not be achieved; or (iii) termination of this PPA </w:t>
      </w:r>
      <w:r w:rsidR="001B088B">
        <w:t>for an Event of Default by Seller</w:t>
      </w:r>
      <w:r>
        <w:t>.</w:t>
      </w:r>
    </w:p>
    <w:p w:rsidRPr="00860390" w:rsidR="00D96326" w:rsidP="00B7441B" w:rsidRDefault="00D96326" w14:paraId="4888B533" w14:textId="5EB795E0">
      <w:pPr>
        <w:pStyle w:val="zGTC03"/>
      </w:pPr>
      <w:r>
        <w:rPr>
          <w:b/>
          <w:bCs/>
        </w:rPr>
        <w:t>No Payment to Seller during Delay.</w:t>
      </w:r>
      <w:r>
        <w:t xml:space="preserve"> GPC will not owe any Monthly Capacity Payment to Seller during any period of delay in achieving Commercial Operation.</w:t>
      </w:r>
    </w:p>
    <w:p w:rsidRPr="00860390" w:rsidR="00D96326" w:rsidP="00340065" w:rsidRDefault="00D96326" w14:paraId="3F9C407E" w14:textId="4A61BA50">
      <w:pPr>
        <w:pStyle w:val="zGTC03"/>
      </w:pPr>
      <w:r>
        <w:rPr>
          <w:b/>
          <w:bCs/>
        </w:rPr>
        <w:t xml:space="preserve">Seller Payment of Delay Liquidated </w:t>
      </w:r>
      <w:proofErr w:type="gramStart"/>
      <w:r>
        <w:rPr>
          <w:b/>
          <w:bCs/>
        </w:rPr>
        <w:t>Damages;</w:t>
      </w:r>
      <w:proofErr w:type="gramEnd"/>
      <w:r>
        <w:rPr>
          <w:b/>
          <w:bCs/>
        </w:rPr>
        <w:t xml:space="preserve"> </w:t>
      </w:r>
      <w:r>
        <w:rPr>
          <w:b/>
          <w:w w:val="0"/>
        </w:rPr>
        <w:t xml:space="preserve">Pre-COD </w:t>
      </w:r>
      <w:r>
        <w:rPr>
          <w:b/>
          <w:bCs/>
        </w:rPr>
        <w:t>Termination Damages.</w:t>
      </w:r>
      <w:r>
        <w:t xml:space="preserve"> Seller must pay GPC on a Monthly basis by no later than 10 Days after the end of the applicable Month delay liquidated damages </w:t>
      </w:r>
      <w:r w:rsidR="009349FB">
        <w:t xml:space="preserve">that accrued </w:t>
      </w:r>
      <w:r>
        <w:t>under this Section 7.4 (</w:t>
      </w:r>
      <w:r>
        <w:rPr>
          <w:i/>
          <w:iCs/>
        </w:rPr>
        <w:t>Failure to Achieve Commercial Operation by RCOD</w:t>
      </w:r>
      <w:r>
        <w:t>)</w:t>
      </w:r>
      <w:r w:rsidR="009349FB">
        <w:t xml:space="preserve"> during the preceding Month</w:t>
      </w:r>
      <w:r>
        <w:t xml:space="preserve">. </w:t>
      </w:r>
      <w:r w:rsidR="00CB202C">
        <w:t>In accordance with Section 6.3 (</w:t>
      </w:r>
      <w:r w:rsidRPr="00CB202C" w:rsidR="00CB202C">
        <w:rPr>
          <w:i/>
          <w:iCs/>
        </w:rPr>
        <w:t>Draws; Replenishment</w:t>
      </w:r>
      <w:r w:rsidR="00CB202C">
        <w:t>): (</w:t>
      </w:r>
      <w:proofErr w:type="spellStart"/>
      <w:r w:rsidR="00CB202C">
        <w:t>i</w:t>
      </w:r>
      <w:proofErr w:type="spellEnd"/>
      <w:r w:rsidR="00CB202C">
        <w:t xml:space="preserve">) GPC may draw upon the Performance Security to recover delay liquidated damages owed under </w:t>
      </w:r>
      <w:proofErr w:type="gramStart"/>
      <w:r w:rsidR="00CB202C">
        <w:t>this Section</w:t>
      </w:r>
      <w:proofErr w:type="gramEnd"/>
      <w:r w:rsidR="00CB202C">
        <w:t xml:space="preserve"> 7.</w:t>
      </w:r>
      <w:r w:rsidR="002D33ED">
        <w:t>4</w:t>
      </w:r>
      <w:r w:rsidR="00CB202C">
        <w:t xml:space="preserve"> to the extent not paid when due; and (ii) Seller must replenish the Performance Security. </w:t>
      </w:r>
      <w:r>
        <w:t>The Parties will resolve any dispute regarding delay liquidated damages under this Section 7.4 in accordance with Section 5.2 (</w:t>
      </w:r>
      <w:r>
        <w:rPr>
          <w:i/>
          <w:iCs/>
        </w:rPr>
        <w:t>Billing Disputes and Final Accounting</w:t>
      </w:r>
      <w:r>
        <w:t xml:space="preserve">). </w:t>
      </w:r>
      <w:r w:rsidR="000324A2">
        <w:t>I</w:t>
      </w:r>
      <w:r w:rsidR="004D6537">
        <w:t xml:space="preserve">f Seller notifies GPC that </w:t>
      </w:r>
      <w:r w:rsidR="00E61CB1">
        <w:t>Seller</w:t>
      </w:r>
      <w:r w:rsidR="004D6537">
        <w:t xml:space="preserve"> has reasonably determined that </w:t>
      </w:r>
      <w:r w:rsidR="007F0563">
        <w:t>it</w:t>
      </w:r>
      <w:r w:rsidR="004D6537">
        <w:t xml:space="preserve"> will not achieve Commercial Operation and GPC does not terminate this PPA within 30 Days </w:t>
      </w:r>
      <w:r w:rsidR="00D0279C">
        <w:t>after</w:t>
      </w:r>
      <w:r w:rsidR="004D6537">
        <w:t xml:space="preserve"> </w:t>
      </w:r>
      <w:r w:rsidR="00D0279C">
        <w:t>GPC’</w:t>
      </w:r>
      <w:r w:rsidR="004D6537">
        <w:t xml:space="preserve">s receipt of Seller’s notice, Seller will have the right to terminate this PPA </w:t>
      </w:r>
      <w:r w:rsidR="00F22B08">
        <w:t>on notice to GPC</w:t>
      </w:r>
      <w:r w:rsidR="00017490">
        <w:t>. A Seller termination in accordance with the preceding sentence will constitute a Seller Event of Default under Section 16.1.1</w:t>
      </w:r>
      <w:r w:rsidR="00AF559D">
        <w:t>1</w:t>
      </w:r>
      <w:r w:rsidR="00C5503D">
        <w:t xml:space="preserve"> (</w:t>
      </w:r>
      <w:r w:rsidRPr="00C5503D" w:rsidR="00C5503D">
        <w:rPr>
          <w:i/>
          <w:iCs/>
        </w:rPr>
        <w:t>Abandonment or Failure to Achieve RCOD</w:t>
      </w:r>
      <w:r w:rsidR="00C5503D">
        <w:t>)</w:t>
      </w:r>
      <w:r w:rsidR="00017490">
        <w:t xml:space="preserve">. </w:t>
      </w:r>
      <w:r>
        <w:t>If GPC terminates this PPA for a Seller Event of Default under Section 16.1.11,</w:t>
      </w:r>
      <w:r w:rsidR="00017490">
        <w:t xml:space="preserve"> or if Seller terminates this PPA in accordance with the preceding sentence</w:t>
      </w:r>
      <w:r w:rsidR="002D4368">
        <w:t>s</w:t>
      </w:r>
      <w:r w:rsidR="00017490">
        <w:t>,</w:t>
      </w:r>
      <w:r>
        <w:t xml:space="preserve"> then, in addition to Seller’s payment of the delay liquidated damages that accrue under Section 7.4, Seller must pay to GPC </w:t>
      </w:r>
      <w:r w:rsidR="00CA311D">
        <w:t xml:space="preserve">as </w:t>
      </w:r>
      <w:r>
        <w:t>the Termination Payment</w:t>
      </w:r>
      <w:r w:rsidR="00CA311D">
        <w:t xml:space="preserve">, </w:t>
      </w:r>
      <w:r w:rsidRPr="005C37FD" w:rsidR="005C37FD">
        <w:t>termination liquidated damages in an amount equal to the applicable Performance Security amount shown in Part 1 (</w:t>
      </w:r>
      <w:r w:rsidRPr="00B36ACC" w:rsidR="005C37FD">
        <w:rPr>
          <w:i/>
          <w:iCs/>
        </w:rPr>
        <w:t>Performance Security</w:t>
      </w:r>
      <w:r w:rsidRPr="005C37FD" w:rsidR="005C37FD">
        <w:t>) of Exhibit A-2 (</w:t>
      </w:r>
      <w:r w:rsidRPr="00B36ACC" w:rsidR="005C37FD">
        <w:rPr>
          <w:i/>
          <w:iCs/>
        </w:rPr>
        <w:t>Performance Security and Liquidated Damages</w:t>
      </w:r>
      <w:r w:rsidRPr="005C37FD" w:rsidR="005C37FD">
        <w:t>)</w:t>
      </w:r>
      <w:r w:rsidDel="00965A21">
        <w:rPr>
          <w:i/>
          <w:iCs/>
        </w:rPr>
        <w:t>t</w:t>
      </w:r>
      <w:r>
        <w:t xml:space="preserve">. </w:t>
      </w:r>
      <w:r w:rsidR="00B752F6">
        <w:t xml:space="preserve">Seller must also reimburse </w:t>
      </w:r>
      <w:r w:rsidR="00554BFE">
        <w:t xml:space="preserve">GPC for the total costs GPC incurred for modifications to the Electric System associated with the Facility and the delivery of energy from the Facility to GPC’s customers, subject to </w:t>
      </w:r>
      <w:r w:rsidR="007909D7">
        <w:t xml:space="preserve">any applicable requirement of </w:t>
      </w:r>
      <w:r w:rsidR="007909D7">
        <w:lastRenderedPageBreak/>
        <w:t xml:space="preserve">the Southern OATT. </w:t>
      </w:r>
      <w:r>
        <w:t>Following termination, as described in the preceding sentences, and Seller’s payment to GPC of all required damages in accordance with this Section 7.4.3 (</w:t>
      </w:r>
      <w:r>
        <w:rPr>
          <w:i/>
          <w:iCs/>
        </w:rPr>
        <w:t>Seller Payment of Delay Liquidated Damages; Pre-COD Termination Damages</w:t>
      </w:r>
      <w:r>
        <w:t>) and Section 16.3.2, neither Party will have any other liability to the other Party under this PPA.</w:t>
      </w:r>
    </w:p>
    <w:p w:rsidRPr="00860390" w:rsidR="00D96326" w:rsidP="00340065" w:rsidRDefault="00D96326" w14:paraId="6862E8E1" w14:textId="61BBABF2">
      <w:pPr>
        <w:pStyle w:val="zGTC03"/>
      </w:pPr>
      <w:r>
        <w:rPr>
          <w:b/>
          <w:bCs/>
        </w:rPr>
        <w:t>RCOD Exceptions.</w:t>
      </w:r>
      <w:r>
        <w:t xml:space="preserve"> If Seller’s failure to achieve Commercial Operation by the RCOD is solely caused by: (</w:t>
      </w:r>
      <w:proofErr w:type="spellStart"/>
      <w:r>
        <w:t>i</w:t>
      </w:r>
      <w:proofErr w:type="spellEnd"/>
      <w:r>
        <w:t>) an FME under Section 15.3 (</w:t>
      </w:r>
      <w:r>
        <w:rPr>
          <w:i/>
        </w:rPr>
        <w:t>No Breach or Liability</w:t>
      </w:r>
      <w:r>
        <w:t>); or (ii) if one of the Southern Companies is the Interconnection Provider, a delay in the construction by Interconnection provider of Interconnection Facilities, so long as Seller has complied with Section 8.1.3 (</w:t>
      </w:r>
      <w:r>
        <w:rPr>
          <w:i/>
        </w:rPr>
        <w:t>Interconnection Projected Completion Date</w:t>
      </w:r>
      <w:r>
        <w:t xml:space="preserve">), and the delay is not caused by any action or inaction on the part of Seller, the RCOD will be extended, in each case, </w:t>
      </w:r>
      <w:r w:rsidR="000259FB">
        <w:t xml:space="preserve">by the number of days supported by </w:t>
      </w:r>
      <w:r w:rsidR="00130F09">
        <w:t>a</w:t>
      </w:r>
      <w:r w:rsidR="000259FB">
        <w:t xml:space="preserve"> critical path analysis</w:t>
      </w:r>
      <w:r>
        <w:t xml:space="preserve">. In the case of (ii), if Seller has not met all IA obligations in a timely manner, Seller’s failure to achieve Commercial Operation by the RCOD will not be excused, the RCOD will not be extended, and, while </w:t>
      </w:r>
      <w:r w:rsidR="00BF7D40">
        <w:t xml:space="preserve">the Interconnection Provider </w:t>
      </w:r>
      <w:r>
        <w:t>completes construction of the Interconnection Facilities, Seller will owe delay liquidated damages for each Day of delay after RCOD as set forth in Section 6.3 (</w:t>
      </w:r>
      <w:r>
        <w:rPr>
          <w:i/>
          <w:iCs/>
        </w:rPr>
        <w:t>Draws; Replenishment</w:t>
      </w:r>
      <w:r>
        <w:t>).</w:t>
      </w:r>
    </w:p>
    <w:p w:rsidRPr="00860390" w:rsidR="00D96326" w:rsidP="00340065" w:rsidRDefault="00D96326" w14:paraId="358CE80A" w14:textId="4CA09CB6">
      <w:pPr>
        <w:pStyle w:val="zGTC03"/>
      </w:pPr>
      <w:r>
        <w:rPr>
          <w:b/>
          <w:bCs/>
        </w:rPr>
        <w:t>Liability Following Termination.</w:t>
      </w:r>
      <w:r>
        <w:t xml:space="preserve"> If GPC terminates this PPA in accordance with Section 16.3 (</w:t>
      </w:r>
      <w:r>
        <w:rPr>
          <w:i/>
          <w:iCs/>
        </w:rPr>
        <w:t>Remedies</w:t>
      </w:r>
      <w:r>
        <w:t>) for a Seller Event of Default under Section 16.1.11 (</w:t>
      </w:r>
      <w:bookmarkStart w:name="_Hlk159963871" w:id="108"/>
      <w:r>
        <w:rPr>
          <w:i/>
          <w:iCs/>
        </w:rPr>
        <w:t>Abandonment or Failure to Achieve RCOD</w:t>
      </w:r>
      <w:r>
        <w:t xml:space="preserve">), </w:t>
      </w:r>
      <w:bookmarkEnd w:id="108"/>
      <w:r>
        <w:t>Seller will owe the Termination Payment under Section 16.3.2 (</w:t>
      </w:r>
      <w:r>
        <w:rPr>
          <w:i/>
          <w:iCs/>
        </w:rPr>
        <w:t>Termination Payment</w:t>
      </w:r>
      <w:r>
        <w:t xml:space="preserve">) in addition to the delay liquidated damages that accrue before termination. After the termination, other than the requirement for Seller to pay the damages that accrue under </w:t>
      </w:r>
      <w:proofErr w:type="gramStart"/>
      <w:r>
        <w:t>this Section</w:t>
      </w:r>
      <w:proofErr w:type="gramEnd"/>
      <w:r>
        <w:t xml:space="preserve"> 7.4 (</w:t>
      </w:r>
      <w:r>
        <w:rPr>
          <w:i/>
          <w:iCs/>
        </w:rPr>
        <w:t>Failure to Achieve Commercial Operation by RCOD</w:t>
      </w:r>
      <w:r>
        <w:t>)</w:t>
      </w:r>
      <w:r w:rsidR="0072320D">
        <w:t xml:space="preserve"> and Section 16.3.2 (</w:t>
      </w:r>
      <w:r w:rsidRPr="0072320D" w:rsidR="0072320D">
        <w:rPr>
          <w:i/>
          <w:iCs/>
        </w:rPr>
        <w:t>Termination Payment</w:t>
      </w:r>
      <w:r>
        <w:t>), neither Party will have any further liability to the other Party under this PPA.</w:t>
      </w:r>
    </w:p>
    <w:p w:rsidRPr="00860390" w:rsidR="00623B1E" w:rsidP="00340065" w:rsidRDefault="00FA2843" w14:paraId="6BD0CD81" w14:textId="052FFABA">
      <w:pPr>
        <w:pStyle w:val="zGTC03"/>
        <w:rPr>
          <w:rStyle w:val="zGNormalChar"/>
          <w:rFonts w:cs="Times New Roman"/>
          <w:b/>
          <w:bCs/>
        </w:rPr>
      </w:pPr>
      <w:r>
        <w:rPr>
          <w:rStyle w:val="zGNormalChar"/>
          <w:rFonts w:cs="Times New Roman"/>
          <w:b/>
          <w:bCs/>
        </w:rPr>
        <w:t>Commercial Operation Delay Caused by Southern Company Transmission System Capability or Natural Gas Supply Transportation Capability.</w:t>
      </w:r>
    </w:p>
    <w:p w:rsidRPr="006E0A0D" w:rsidR="00477308" w:rsidP="00477308" w:rsidRDefault="00477308" w14:paraId="43AFCD68" w14:textId="69394DD0">
      <w:pPr>
        <w:pStyle w:val="zGTC04"/>
      </w:pPr>
      <w:r>
        <w:rPr>
          <w:b/>
          <w:bCs/>
        </w:rPr>
        <w:t xml:space="preserve">RCOD Extensions to Accommodate Start-Up and Testing. </w:t>
      </w:r>
      <w:r>
        <w:t>If Seller’s start-up and testing activities for the Facility are delayed, as a critical path item on the Milestone Schedule, solely and directly by: (a) if the Facility is interconnected to the Southern Company Transmission System, a delay in the construction of Interconnection Facilities in accordance with the IA schedule for which delay the Interconnection Provider is responsible; or (b) a delay by the Natural Gas transportation provider(s) in timely constructing the requisite Natural Gas metering and interconnection facilities to reasonably accommodate Seller’s start-up and testing activities for the Facility under the Milestone Schedule, and because of the delay in Seller’s start-up and testing activities for the Facility, Seller is prevented from achieving Commercial Operation by the RCOD, then the RCOD will be extended to a date that will reasonably accommodate Seller’s start-up and testing activities based on the impact to the critical path of the Milestone Schedule, so long as, as a condition to the extension, Seller undertakes all commercially reasonable efforts to avoid, overcome, or otherwise mitigate the impact to the critical path of the Milestone Schedule. Despite any provision in this PPA, this Section 7.4.6 (</w:t>
      </w:r>
      <w:r>
        <w:rPr>
          <w:i/>
          <w:iCs/>
        </w:rPr>
        <w:t>Commercial Operation Delay Caused by Southern Company Transmission System Capability or Natural Gas Supply Transportation Capability</w:t>
      </w:r>
      <w:r>
        <w:t>) will not apply, and there will be no extension of the RCOD: (I) in the case of any delay in the construction of Interconnection Facilities if Seller has not timely complied with Section 8.1 (</w:t>
      </w:r>
      <w:r>
        <w:rPr>
          <w:i/>
          <w:iCs/>
        </w:rPr>
        <w:t>Interconnection</w:t>
      </w:r>
      <w:r>
        <w:t>), including timely performance of its obligations under the IA; or (II) in the case of any other delay that is caused, in whole or in part, by any action or inaction on the part of Seller.</w:t>
      </w:r>
    </w:p>
    <w:p w:rsidRPr="006E0A0D" w:rsidR="00477308" w:rsidP="00477308" w:rsidRDefault="00477308" w14:paraId="0D123E6F" w14:textId="55C4044C">
      <w:pPr>
        <w:pStyle w:val="zGTC04"/>
        <w:rPr>
          <w:szCs w:val="20"/>
        </w:rPr>
      </w:pPr>
      <w:r>
        <w:rPr>
          <w:b/>
          <w:bCs/>
          <w:szCs w:val="20"/>
        </w:rPr>
        <w:t xml:space="preserve">Exclusive Remedies. </w:t>
      </w:r>
      <w:r>
        <w:rPr>
          <w:szCs w:val="20"/>
        </w:rPr>
        <w:t>Seller understands and acknowledges that extension of RCOD in accordance with Section 7.4.6(</w:t>
      </w:r>
      <w:proofErr w:type="spellStart"/>
      <w:r>
        <w:rPr>
          <w:szCs w:val="20"/>
        </w:rPr>
        <w:t>i</w:t>
      </w:r>
      <w:proofErr w:type="spellEnd"/>
      <w:r>
        <w:rPr>
          <w:szCs w:val="20"/>
        </w:rPr>
        <w:t xml:space="preserve">) </w:t>
      </w:r>
      <w:r>
        <w:t>(</w:t>
      </w:r>
      <w:r>
        <w:rPr>
          <w:i/>
          <w:iCs/>
        </w:rPr>
        <w:t>RCOD Extensions to Accommodate Start-Up and Testing</w:t>
      </w:r>
      <w:r>
        <w:t>)</w:t>
      </w:r>
      <w:r>
        <w:rPr>
          <w:szCs w:val="20"/>
        </w:rPr>
        <w:t xml:space="preserve"> will be Seller’s exclusive remedy for any delay described in items (a) or (b) in Section 7.4.6(</w:t>
      </w:r>
      <w:proofErr w:type="spellStart"/>
      <w:r>
        <w:rPr>
          <w:szCs w:val="20"/>
        </w:rPr>
        <w:t>i</w:t>
      </w:r>
      <w:proofErr w:type="spellEnd"/>
      <w:r>
        <w:rPr>
          <w:szCs w:val="20"/>
        </w:rPr>
        <w:t>).</w:t>
      </w:r>
    </w:p>
    <w:p w:rsidRPr="006E0A0D" w:rsidR="00477308" w:rsidP="00477308" w:rsidRDefault="00477308" w14:paraId="0FF1E8FE" w14:textId="72539C94">
      <w:pPr>
        <w:pStyle w:val="zGTC04"/>
        <w:rPr>
          <w:szCs w:val="20"/>
        </w:rPr>
      </w:pPr>
      <w:r>
        <w:rPr>
          <w:b/>
          <w:bCs/>
          <w:szCs w:val="20"/>
        </w:rPr>
        <w:t xml:space="preserve">No PPA Term Extension. </w:t>
      </w:r>
      <w:r>
        <w:rPr>
          <w:szCs w:val="20"/>
        </w:rPr>
        <w:t>Despite any other provision in this PPA, an extension of RCOD under Section 7.4.6(</w:t>
      </w:r>
      <w:proofErr w:type="spellStart"/>
      <w:r>
        <w:rPr>
          <w:szCs w:val="20"/>
        </w:rPr>
        <w:t>i</w:t>
      </w:r>
      <w:proofErr w:type="spellEnd"/>
      <w:r>
        <w:rPr>
          <w:szCs w:val="20"/>
        </w:rPr>
        <w:t xml:space="preserve">) </w:t>
      </w:r>
      <w:r>
        <w:t>(</w:t>
      </w:r>
      <w:r>
        <w:rPr>
          <w:i/>
          <w:iCs/>
        </w:rPr>
        <w:t>RCOD Extensions to Accommodate Start-Up and Testing</w:t>
      </w:r>
      <w:r>
        <w:t>)</w:t>
      </w:r>
      <w:r>
        <w:rPr>
          <w:szCs w:val="20"/>
        </w:rPr>
        <w:t xml:space="preserve"> will not cause an extension of the Term, and no delay described in items (a) or (b) of Section 7.4.6(</w:t>
      </w:r>
      <w:proofErr w:type="spellStart"/>
      <w:r>
        <w:rPr>
          <w:szCs w:val="20"/>
        </w:rPr>
        <w:t>i</w:t>
      </w:r>
      <w:proofErr w:type="spellEnd"/>
      <w:r>
        <w:rPr>
          <w:szCs w:val="20"/>
        </w:rPr>
        <w:t>) will otherwise extend this PPA beyond its stated Term.</w:t>
      </w:r>
    </w:p>
    <w:p w:rsidRPr="00F10071" w:rsidR="00D96326" w:rsidP="00D96326" w:rsidRDefault="00D96326" w14:paraId="57B5BF71" w14:textId="4E1CE680">
      <w:pPr>
        <w:pStyle w:val="zGTC01"/>
        <w:rPr>
          <w:rFonts w:ascii="Arial" w:hAnsi="Arial"/>
          <w:szCs w:val="20"/>
        </w:rPr>
      </w:pPr>
      <w:bookmarkStart w:name="_Toc212475667" w:id="109"/>
      <w:bookmarkStart w:name="_Toc227838366" w:id="110"/>
      <w:r>
        <w:rPr>
          <w:rFonts w:ascii="Arial" w:hAnsi="Arial"/>
          <w:szCs w:val="20"/>
        </w:rPr>
        <w:t>Interconnection and Metering</w:t>
      </w:r>
      <w:bookmarkEnd w:id="109"/>
      <w:bookmarkEnd w:id="110"/>
    </w:p>
    <w:p w:rsidRPr="00F10071" w:rsidR="00D96326" w:rsidP="00D96326" w:rsidRDefault="00D96326" w14:paraId="727E3F4B" w14:textId="77777777">
      <w:pPr>
        <w:pStyle w:val="zGTC02"/>
        <w:rPr>
          <w:rFonts w:ascii="Arial" w:hAnsi="Arial" w:eastAsia="PMingLiU" w:cs="Arial"/>
          <w:vanish/>
          <w:szCs w:val="20"/>
          <w:specVanish/>
        </w:rPr>
      </w:pPr>
      <w:bookmarkStart w:name="_Toc212475668" w:id="111"/>
      <w:bookmarkStart w:name="_Toc227838367" w:id="112"/>
      <w:r>
        <w:rPr>
          <w:rFonts w:ascii="Arial" w:hAnsi="Arial" w:cs="Arial"/>
          <w:szCs w:val="20"/>
        </w:rPr>
        <w:t>Interconnection.</w:t>
      </w:r>
      <w:bookmarkEnd w:id="111"/>
      <w:bookmarkEnd w:id="112"/>
    </w:p>
    <w:p w:rsidR="00D96326" w:rsidRDefault="00D96326" w14:paraId="704F1A00" w14:textId="77777777">
      <w:pPr>
        <w:pStyle w:val="zGNormal"/>
      </w:pPr>
      <w:r>
        <w:t xml:space="preserve"> </w:t>
      </w:r>
    </w:p>
    <w:p w:rsidRPr="006E0A0D" w:rsidR="00D96326" w:rsidP="00B7441B" w:rsidRDefault="00D96326" w14:paraId="25A578A6" w14:textId="34288C13">
      <w:pPr>
        <w:pStyle w:val="zGTC03"/>
      </w:pPr>
      <w:r>
        <w:rPr>
          <w:b/>
          <w:bCs/>
        </w:rPr>
        <w:lastRenderedPageBreak/>
        <w:t xml:space="preserve">Interconnection Study and Entry into IA. </w:t>
      </w:r>
      <w:r>
        <w:t xml:space="preserve">Seller must (a) have </w:t>
      </w:r>
      <w:proofErr w:type="gramStart"/>
      <w:r>
        <w:t>entered into</w:t>
      </w:r>
      <w:proofErr w:type="gramEnd"/>
      <w:r>
        <w:t xml:space="preserve"> an IA with the Interconnection Provider on or before the Effective Date, or</w:t>
      </w:r>
      <w:r w:rsidRPr="005D091F">
        <w:t xml:space="preserve"> (b) </w:t>
      </w:r>
      <w:proofErr w:type="gramStart"/>
      <w:r>
        <w:t>enter into</w:t>
      </w:r>
      <w:proofErr w:type="gramEnd"/>
      <w:r>
        <w:t xml:space="preserve"> an IA with the Interconnection Provider by no later than 30 Days after the Interconnection Provider presents Seller with the IA for execution, unless GPC agrees otherwise in writing. Seller must timely comply with all obligations under the Interconnection Study Agreement and IA, including timely submission of required data, documentation, and payment, as applicable. The Interconnection Study Agreement must address the full seasonal capability of the Facility. The IA must be maintained </w:t>
      </w:r>
      <w:r w:rsidR="00916DB2">
        <w:t xml:space="preserve">in effect </w:t>
      </w:r>
      <w:r>
        <w:t xml:space="preserve">throughout the Term (or, if </w:t>
      </w:r>
      <w:proofErr w:type="gramStart"/>
      <w:r>
        <w:t>entered into</w:t>
      </w:r>
      <w:proofErr w:type="gramEnd"/>
      <w:r>
        <w:t xml:space="preserve"> after the Effective Date, throughout the remainder of the Term). Seller must promptly provide </w:t>
      </w:r>
      <w:r w:rsidR="00E71AE5">
        <w:t>notice</w:t>
      </w:r>
      <w:r>
        <w:t xml:space="preserve"> to GPC </w:t>
      </w:r>
      <w:r w:rsidR="00E71AE5">
        <w:t>of</w:t>
      </w:r>
      <w:r>
        <w:t xml:space="preserve"> the </w:t>
      </w:r>
      <w:r w:rsidR="00E71AE5">
        <w:t>execution of</w:t>
      </w:r>
      <w:r>
        <w:t xml:space="preserve"> the IA </w:t>
      </w:r>
      <w:r w:rsidR="007F4BC1">
        <w:t>or any amendment to the IA, including a copy of the</w:t>
      </w:r>
      <w:r w:rsidR="00AB12B5">
        <w:t xml:space="preserve"> </w:t>
      </w:r>
      <w:proofErr w:type="gramStart"/>
      <w:r w:rsidR="00AB12B5">
        <w:t>executed</w:t>
      </w:r>
      <w:proofErr w:type="gramEnd"/>
      <w:r w:rsidR="007F4BC1">
        <w:t xml:space="preserve"> IA or amendment.</w:t>
      </w:r>
      <w:r>
        <w:t xml:space="preserve"> </w:t>
      </w:r>
    </w:p>
    <w:p w:rsidR="00D96326" w:rsidP="00B7441B" w:rsidRDefault="00D96326" w14:paraId="58123B84" w14:textId="7E475F55">
      <w:pPr>
        <w:pStyle w:val="zGTC03"/>
      </w:pPr>
      <w:r>
        <w:rPr>
          <w:b/>
          <w:bCs/>
        </w:rPr>
        <w:t xml:space="preserve">Interconnection Costs and Expenses. </w:t>
      </w:r>
      <w:r>
        <w:t>GPC will not be responsible under this PPA for any cost or expense (including overheads and administrative costs) or risk incurred concerning: (</w:t>
      </w:r>
      <w:proofErr w:type="spellStart"/>
      <w:r>
        <w:t>i</w:t>
      </w:r>
      <w:proofErr w:type="spellEnd"/>
      <w:r>
        <w:t>) the Interconnection Study; or (ii) the design, construction, installation, modification, or maintenance of the Interconnection Facilities. Seller is responsible for determining all transmission- and interconnection-related rules, practices, and policies with which Seller must comply. Seller also is responsible for satisfying the payment or security requirements of the Interconnection Provider and any Affected System or Transmission Service Provider. For the avoidance of doubt, if the POD is a Southern Transmission Interface, Seller is responsible for the cost and risk for both interconnection and delivery to the Southern Transmission Interface.</w:t>
      </w:r>
    </w:p>
    <w:p w:rsidRPr="006E0A0D" w:rsidR="00D96326" w:rsidP="00B7441B" w:rsidRDefault="00D96326" w14:paraId="4E820E2B" w14:textId="3B07E734">
      <w:pPr>
        <w:pStyle w:val="zGTC03"/>
      </w:pPr>
      <w:r>
        <w:rPr>
          <w:b/>
        </w:rPr>
        <w:t xml:space="preserve">Interconnection Projected Completion Date. </w:t>
      </w:r>
      <w:r>
        <w:t xml:space="preserve">The IA must reflect a projected completion date for construction or modification of the Interconnection Facilities, including a reasonable schedule between initial synchronization and the </w:t>
      </w:r>
      <w:r w:rsidR="00CE6271">
        <w:t>R</w:t>
      </w:r>
      <w:r>
        <w:t xml:space="preserve">COD to allow for operations verification and testing consistent with the Interconnection Provider’s current practices. Seller must, in a timely manner, execute and perform under the IA, including providing timely notice to proceed, timely submission of required data and documentation, and timely payment or security. Seller acknowledges that before entering any IA concerning the Southern Company Transmission System, Seller may need to enter an engineering, procurement, and construction agreement to provide timely notice to proceed. </w:t>
      </w:r>
    </w:p>
    <w:p w:rsidRPr="006E0A0D" w:rsidR="00D96326" w:rsidP="00B7441B" w:rsidRDefault="00D96326" w14:paraId="6E6671F1" w14:textId="12B400E0">
      <w:pPr>
        <w:pStyle w:val="zGTC03"/>
      </w:pPr>
      <w:r>
        <w:rPr>
          <w:b/>
          <w:bCs/>
        </w:rPr>
        <w:t>Interconnection to Southern Company Transmission System</w:t>
      </w:r>
      <w:r>
        <w:t>. If the Facility is interconnected to the Southern Company Transmission System, the IA will be read in conjunction with this Part 8 (</w:t>
      </w:r>
      <w:r>
        <w:rPr>
          <w:i/>
          <w:iCs/>
        </w:rPr>
        <w:t>Interconnection and Metering</w:t>
      </w:r>
      <w:r>
        <w:t>) and any contradictory provision related to Facility interconnection will be resolved in favor of the IA.</w:t>
      </w:r>
    </w:p>
    <w:p w:rsidRPr="006E0A0D" w:rsidR="00D96326" w:rsidP="00D96326" w:rsidRDefault="00D96326" w14:paraId="63B8309E" w14:textId="4C5AD569">
      <w:pPr>
        <w:pStyle w:val="zGTC02"/>
        <w:rPr>
          <w:rFonts w:ascii="Arial" w:hAnsi="Arial" w:eastAsia="PMingLiU" w:cs="Arial"/>
          <w:vanish/>
          <w:szCs w:val="20"/>
          <w:specVanish/>
        </w:rPr>
      </w:pPr>
      <w:bookmarkStart w:name="_Toc212475669" w:id="113"/>
      <w:bookmarkStart w:name="_Toc227838368" w:id="114"/>
      <w:r>
        <w:rPr>
          <w:rFonts w:ascii="Arial" w:hAnsi="Arial" w:cs="Arial"/>
          <w:szCs w:val="20"/>
        </w:rPr>
        <w:t>Metering and Telemetry.</w:t>
      </w:r>
      <w:bookmarkEnd w:id="113"/>
      <w:bookmarkEnd w:id="114"/>
    </w:p>
    <w:p w:rsidRPr="006E0A0D" w:rsidR="00D96326" w:rsidRDefault="00D96326" w14:paraId="2C2DFF55" w14:textId="77777777">
      <w:pPr>
        <w:pStyle w:val="zGTC02"/>
        <w:numPr>
          <w:ilvl w:val="0"/>
          <w:numId w:val="0"/>
        </w:numPr>
        <w:rPr>
          <w:rFonts w:ascii="Arial" w:hAnsi="Arial" w:cs="Arial"/>
          <w:szCs w:val="20"/>
        </w:rPr>
      </w:pPr>
    </w:p>
    <w:p w:rsidRPr="00F10071" w:rsidR="00D96326" w:rsidP="00B7441B" w:rsidRDefault="00D96326" w14:paraId="7BA922DD" w14:textId="3E260C41">
      <w:pPr>
        <w:pStyle w:val="zGTC03"/>
      </w:pPr>
      <w:r>
        <w:rPr>
          <w:b/>
          <w:bCs/>
        </w:rPr>
        <w:t xml:space="preserve">Metering System. </w:t>
      </w:r>
      <w:r>
        <w:t xml:space="preserve">Seller must ensure the Metering System is designed, located, constructed, installed, owned, operated, and maintained in accordance with the IA and Prudent Industry Practices to measure and record the energy delivered from the </w:t>
      </w:r>
      <w:r w:rsidR="00AE67B1">
        <w:t xml:space="preserve">Facility </w:t>
      </w:r>
      <w:r>
        <w:t>to the POD, to: (</w:t>
      </w:r>
      <w:proofErr w:type="spellStart"/>
      <w:r>
        <w:t>i</w:t>
      </w:r>
      <w:proofErr w:type="spellEnd"/>
      <w:r>
        <w:t xml:space="preserve">) determine the </w:t>
      </w:r>
      <w:r w:rsidR="00AE67B1">
        <w:t xml:space="preserve">Facility </w:t>
      </w:r>
      <w:r>
        <w:t xml:space="preserve">capacity; and (ii) measure the availability of the </w:t>
      </w:r>
      <w:r w:rsidR="00AE67B1">
        <w:t xml:space="preserve">Facility </w:t>
      </w:r>
      <w:r>
        <w:t xml:space="preserve">in meeting GPC’s Schedules. The Metering System will be of a mutually acceptable accuracy range and type, including audit capabilities. Seller, Seller’s Affiliates or the employees, subcontractors, or contractors of any of them must not adjust the Metering System without GPC’s written consent. GPC, at its own cost, </w:t>
      </w:r>
      <w:r w:rsidR="00D376DB">
        <w:t xml:space="preserve">may </w:t>
      </w:r>
      <w:r>
        <w:t xml:space="preserve">install additional meters or other such facilities, equipment, or devices as GPC deems necessary or appropriate to monitor the measurements of the Metering System. Seller must install, at its own expense, all </w:t>
      </w:r>
      <w:proofErr w:type="gramStart"/>
      <w:r>
        <w:t>needed metering support equipment</w:t>
      </w:r>
      <w:proofErr w:type="gramEnd"/>
      <w:r>
        <w:t xml:space="preserve"> on its side of the POI to facilitate GPC’s dispatch of the Facility via AGC signals. Seller must, at Seller’s expense, install or upgrade the Facility’s control systems to allow GPC’s AGC dispatch of the </w:t>
      </w:r>
      <w:r w:rsidR="00AE67B1">
        <w:t>Facility</w:t>
      </w:r>
      <w:r>
        <w:t xml:space="preserve">. GPC will reasonably establish the telemetering equipment and systems that are necessary to control the </w:t>
      </w:r>
      <w:r w:rsidR="00AE67B1">
        <w:t xml:space="preserve">Facility </w:t>
      </w:r>
      <w:r>
        <w:t>from the Scheduling Center and Seller, at Seller’s expense,</w:t>
      </w:r>
      <w:r w:rsidR="00347257">
        <w:t xml:space="preserve"> must</w:t>
      </w:r>
      <w:r>
        <w:t xml:space="preserve"> install or cause the installation of </w:t>
      </w:r>
      <w:r w:rsidR="00347257">
        <w:t>such</w:t>
      </w:r>
      <w:r>
        <w:t xml:space="preserve"> telemetering equipment. Seller must deliver to GPC all the telemetered data and any other data GPC requests.</w:t>
      </w:r>
    </w:p>
    <w:p w:rsidRPr="00F10071" w:rsidR="00D96326" w:rsidP="00B7441B" w:rsidRDefault="00D96326" w14:paraId="22AB60F6" w14:textId="52E6F051">
      <w:pPr>
        <w:pStyle w:val="zGTC03"/>
      </w:pPr>
      <w:r>
        <w:rPr>
          <w:b/>
          <w:bCs/>
        </w:rPr>
        <w:t xml:space="preserve">Inspection. </w:t>
      </w:r>
      <w:r>
        <w:t xml:space="preserve">Seller must inspect and test all meters at </w:t>
      </w:r>
      <w:r w:rsidR="007E379D">
        <w:t xml:space="preserve">such </w:t>
      </w:r>
      <w:r>
        <w:t>times as will conform to Prudent Industry Practices, but not less often than once biennially. Seller will be responsible for all costs and expenses incurred in connection with such inspections or tests.</w:t>
      </w:r>
    </w:p>
    <w:p w:rsidRPr="006E0A0D" w:rsidR="00D96326" w:rsidP="00B7441B" w:rsidRDefault="00D96326" w14:paraId="23B38DC4" w14:textId="4CA40774">
      <w:pPr>
        <w:pStyle w:val="zGTC03"/>
      </w:pPr>
      <w:r>
        <w:rPr>
          <w:b/>
          <w:bCs/>
        </w:rPr>
        <w:t>Adjustments.</w:t>
      </w:r>
      <w:r>
        <w:t xml:space="preserve"> </w:t>
      </w:r>
      <w:r w:rsidR="007E379D">
        <w:t>If the Metering System</w:t>
      </w:r>
      <w:r w:rsidR="00EA5304">
        <w:t>, including any meter or measuring component of the Metering System,</w:t>
      </w:r>
      <w:r w:rsidR="007E379D">
        <w:t xml:space="preserve"> fails to register, </w:t>
      </w:r>
      <w:r w:rsidR="00663BC7">
        <w:t>is</w:t>
      </w:r>
      <w:r w:rsidR="00133023">
        <w:t xml:space="preserve"> broken,</w:t>
      </w:r>
      <w:r w:rsidR="005C007E">
        <w:t xml:space="preserve"> </w:t>
      </w:r>
      <w:r>
        <w:t xml:space="preserve">or upon testing </w:t>
      </w:r>
      <w:r w:rsidR="00FA1E06">
        <w:t>provides a measurement that</w:t>
      </w:r>
      <w:r>
        <w:t xml:space="preserve"> var</w:t>
      </w:r>
      <w:r w:rsidR="00FA1E06">
        <w:t>ies</w:t>
      </w:r>
      <w:r>
        <w:t xml:space="preserve"> by more than</w:t>
      </w:r>
      <w:r w:rsidR="00FA1E06">
        <w:t xml:space="preserve"> the lesser of: (</w:t>
      </w:r>
      <w:proofErr w:type="spellStart"/>
      <w:r w:rsidR="00FA1E06">
        <w:t>i</w:t>
      </w:r>
      <w:proofErr w:type="spellEnd"/>
      <w:r w:rsidR="00FA1E06">
        <w:t>)</w:t>
      </w:r>
      <w:r>
        <w:t xml:space="preserve"> 0.5% </w:t>
      </w:r>
      <w:r w:rsidR="00FA1E06">
        <w:t xml:space="preserve">relative to </w:t>
      </w:r>
      <w:r>
        <w:t>the measurement made by the standard meter used in the test,</w:t>
      </w:r>
      <w:r w:rsidR="007B6C39">
        <w:t xml:space="preserve"> or (ii) 1.0% relative to the manufacturer’s accuracy specification for the standard meter used in the test, then Seller must</w:t>
      </w:r>
      <w:r w:rsidR="006321C1">
        <w:t xml:space="preserve">, at its sole cost and expense, repair or replace the affected portion(s) of the Metering System </w:t>
      </w:r>
      <w:r w:rsidR="006321C1">
        <w:lastRenderedPageBreak/>
        <w:t xml:space="preserve">within a reasonable period </w:t>
      </w:r>
      <w:r w:rsidR="006B4ACB">
        <w:t>after</w:t>
      </w:r>
      <w:r w:rsidR="006321C1">
        <w:t xml:space="preserve"> </w:t>
      </w:r>
      <w:r w:rsidR="002E17B6">
        <w:t>the</w:t>
      </w:r>
      <w:r w:rsidR="006321C1">
        <w:t xml:space="preserve"> test. Further, if the Metering System or component provides a measurement that varies by more than 1.0% relative to the measurement made by the standard meter used in the test, then</w:t>
      </w:r>
      <w:r>
        <w:t xml:space="preserve"> all measurements of energy made by the Metering System during the Adjustment Period</w:t>
      </w:r>
      <w:r w:rsidR="00155312">
        <w:t xml:space="preserve"> will be adjusted to address </w:t>
      </w:r>
      <w:r w:rsidR="0022523F">
        <w:t>any inaccuracies</w:t>
      </w:r>
      <w:r w:rsidR="00DC1D4D">
        <w:t xml:space="preserve">, and </w:t>
      </w:r>
      <w:r w:rsidR="004F3A4B">
        <w:t xml:space="preserve">all amounts previously invoiced or paid for </w:t>
      </w:r>
      <w:r w:rsidR="004E490B">
        <w:t xml:space="preserve">that energy </w:t>
      </w:r>
      <w:r w:rsidR="004F3A4B">
        <w:t>will be reconciled</w:t>
      </w:r>
      <w:r>
        <w:t>. “</w:t>
      </w:r>
      <w:r>
        <w:rPr>
          <w:b/>
          <w:u w:color="0000FF"/>
        </w:rPr>
        <w:t>Adjustment Period</w:t>
      </w:r>
      <w:r>
        <w:rPr>
          <w:u w:color="0000FF"/>
        </w:rPr>
        <w:t xml:space="preserve">” means either: </w:t>
      </w:r>
      <w:r>
        <w:rPr>
          <w:bCs/>
          <w:u w:color="0000FF"/>
        </w:rPr>
        <w:t>(</w:t>
      </w:r>
      <w:proofErr w:type="spellStart"/>
      <w:r>
        <w:rPr>
          <w:bCs/>
          <w:u w:color="0000FF"/>
        </w:rPr>
        <w:t>i</w:t>
      </w:r>
      <w:proofErr w:type="spellEnd"/>
      <w:r>
        <w:rPr>
          <w:bCs/>
          <w:u w:color="0000FF"/>
        </w:rPr>
        <w:t>) the actual period when inaccurate measurements were made by the Metering System, if that period can be determined to the mutual satisfaction of the Parties; or (ii) if the actual period cannot be determined to the mutual satisfaction of the Parties, the second half of the period from the date of the last test of the Metering System to the date the failure is discovered or the test is made</w:t>
      </w:r>
      <w:r>
        <w:rPr>
          <w:u w:color="0000FF"/>
        </w:rPr>
        <w:t>. I</w:t>
      </w:r>
      <w:r>
        <w:t>f the Parties are unable to agree on the adjustment to be applied to the Adjustment Period, the adjustment will be determined: (a) by correcting the error if the percentage of error is ascertainable by calibration, test, or mathematical calculation; or (b) if not so ascertainable, by estimating based on deliveries made under similar conditions during the period since the last test. Within 30 Days after the determination of any adjustment, GPC will pay Seller any additional amount then due for deliveries of energy or Declared Capacity during the Adjustment Period or GPC will be entitled to a credit against any subsequent payments for energy or Declared Capacity, as the case may be.</w:t>
      </w:r>
    </w:p>
    <w:p w:rsidRPr="006E0A0D" w:rsidR="00D96326" w:rsidP="00B7441B" w:rsidRDefault="00D96326" w14:paraId="3A526E39" w14:textId="4BBEBD9D">
      <w:pPr>
        <w:pStyle w:val="zGTC03"/>
      </w:pPr>
      <w:r>
        <w:rPr>
          <w:b/>
          <w:bCs/>
        </w:rPr>
        <w:t>Notice of Testing.</w:t>
      </w:r>
      <w:r>
        <w:t xml:space="preserve"> GPC and its Representatives may be present at any test, inspection, maintenance, adjustment, </w:t>
      </w:r>
      <w:r w:rsidR="00F90934">
        <w:t>or</w:t>
      </w:r>
      <w:r>
        <w:t xml:space="preserve"> replacement of any part of the Metering System relating to obligations under this PPA. Seller must provide GPC with reasonable prior notice regarding an activity described in the preceding sentence. </w:t>
      </w:r>
    </w:p>
    <w:p w:rsidRPr="006E0A0D" w:rsidR="002C1654" w:rsidP="002C1654" w:rsidRDefault="00D96326" w14:paraId="3C49892F" w14:textId="02E09A70">
      <w:pPr>
        <w:pStyle w:val="zGTC03"/>
        <w:rPr>
          <w:rStyle w:val="zGEditorNote"/>
          <w:rFonts w:ascii="Arial" w:hAnsi="Arial"/>
          <w:b w:val="0"/>
          <w:i w:val="0"/>
          <w:color w:val="auto"/>
          <w:sz w:val="20"/>
          <w:shd w:val="clear" w:color="auto" w:fill="auto"/>
        </w:rPr>
      </w:pPr>
      <w:r>
        <w:rPr>
          <w:b/>
          <w:bCs/>
        </w:rPr>
        <w:t>Loss Factor Adjustment.</w:t>
      </w:r>
      <w:r>
        <w:t xml:space="preserve"> For a Facility interconnected to the STT, if, and to the extent, the Metering System is not measuring deliveries of energy physically at the POI, the metered energy quantity will be adjusted for losses to or from the POI by a loss factor determined by GPC, in accordance with Prudent Industry Practices.</w:t>
      </w:r>
    </w:p>
    <w:p w:rsidRPr="006E0A0D" w:rsidR="00D96326" w:rsidP="00D96326" w:rsidRDefault="0001702A" w14:paraId="4F01C709" w14:textId="7D915BF4">
      <w:pPr>
        <w:pStyle w:val="zGTC01"/>
        <w:rPr>
          <w:rFonts w:ascii="Arial" w:hAnsi="Arial"/>
          <w:szCs w:val="20"/>
        </w:rPr>
      </w:pPr>
      <w:bookmarkStart w:name="_Toc212475670" w:id="115"/>
      <w:bookmarkStart w:name="_Toc227838369" w:id="116"/>
      <w:r>
        <w:rPr>
          <w:rFonts w:ascii="Arial" w:hAnsi="Arial"/>
          <w:szCs w:val="20"/>
        </w:rPr>
        <w:t>DECLARED Capacity and Performance Tests</w:t>
      </w:r>
      <w:bookmarkEnd w:id="115"/>
      <w:bookmarkEnd w:id="116"/>
    </w:p>
    <w:p w:rsidRPr="006E0A0D" w:rsidR="00D96326" w:rsidP="00D96326" w:rsidRDefault="00D96326" w14:paraId="123D7CC3" w14:textId="699E44D0">
      <w:pPr>
        <w:pStyle w:val="zGTC02"/>
        <w:rPr>
          <w:rFonts w:ascii="Arial" w:hAnsi="Arial" w:eastAsia="PMingLiU" w:cs="Arial"/>
          <w:vanish/>
          <w:szCs w:val="20"/>
          <w:specVanish/>
        </w:rPr>
      </w:pPr>
      <w:bookmarkStart w:name="_Toc212475671" w:id="117"/>
      <w:bookmarkStart w:name="_Toc227838370" w:id="118"/>
      <w:r>
        <w:rPr>
          <w:rFonts w:ascii="Arial" w:hAnsi="Arial" w:cs="Arial"/>
          <w:szCs w:val="20"/>
        </w:rPr>
        <w:t>Tested Reliable Capacity and Declared Capacity.</w:t>
      </w:r>
      <w:bookmarkEnd w:id="117"/>
      <w:bookmarkEnd w:id="118"/>
    </w:p>
    <w:p w:rsidRPr="006E0A0D" w:rsidR="00D96326" w:rsidRDefault="00D96326" w14:paraId="5BE80C2C" w14:textId="2B69629E">
      <w:pPr>
        <w:pStyle w:val="zGNormal"/>
      </w:pPr>
      <w:r>
        <w:t xml:space="preserve"> Before Commercial Operation, Seller must conduct, at its expense, Performance Testing as detailed in Exhibit E (</w:t>
      </w:r>
      <w:r>
        <w:rPr>
          <w:i/>
          <w:iCs/>
        </w:rPr>
        <w:t>Performance Testing Procedures</w:t>
      </w:r>
      <w:r>
        <w:t>) to establish the Tested Reliable Capacity and Declared Capacity in accordance with</w:t>
      </w:r>
      <w:r>
        <w:rPr>
          <w:bCs/>
        </w:rPr>
        <w:t xml:space="preserve"> Exhibit B (</w:t>
      </w:r>
      <w:r>
        <w:rPr>
          <w:bCs/>
          <w:i/>
          <w:iCs/>
        </w:rPr>
        <w:t>Capacity; Capacity Payments and Payment Reductions; Buydown</w:t>
      </w:r>
      <w:r>
        <w:rPr>
          <w:bCs/>
        </w:rPr>
        <w:t>)</w:t>
      </w:r>
      <w:r>
        <w:t xml:space="preserve">. </w:t>
      </w:r>
      <w:r>
        <w:rPr>
          <w:bCs/>
        </w:rPr>
        <w:t xml:space="preserve">Seller must notify GPC </w:t>
      </w:r>
      <w:r w:rsidR="00D872D9">
        <w:rPr>
          <w:bCs/>
        </w:rPr>
        <w:t>Representatives</w:t>
      </w:r>
      <w:r>
        <w:rPr>
          <w:bCs/>
        </w:rPr>
        <w:t xml:space="preserve"> in advance of </w:t>
      </w:r>
      <w:r w:rsidR="00D872D9">
        <w:rPr>
          <w:bCs/>
        </w:rPr>
        <w:t>Seller’s</w:t>
      </w:r>
      <w:r>
        <w:rPr>
          <w:bCs/>
        </w:rPr>
        <w:t xml:space="preserve"> Performance Testing and allow GPC to witness and participate in the </w:t>
      </w:r>
      <w:r w:rsidR="00D872D9">
        <w:rPr>
          <w:bCs/>
        </w:rPr>
        <w:t>Performance Testing</w:t>
      </w:r>
      <w:r>
        <w:rPr>
          <w:bCs/>
        </w:rPr>
        <w:t xml:space="preserve"> as GPC desires. Subject to Seller’s compliance with the previous sentence, Seller will not be required to delay or reschedule </w:t>
      </w:r>
      <w:r w:rsidR="00D872D9">
        <w:rPr>
          <w:bCs/>
        </w:rPr>
        <w:t>Performance Testing</w:t>
      </w:r>
      <w:r>
        <w:rPr>
          <w:bCs/>
        </w:rPr>
        <w:t xml:space="preserve"> solely due to GPC’s unavailability. Upon Seller’s completion of any Performance Test, Seller must promptly provide to GPC a complete written report</w:t>
      </w:r>
      <w:r w:rsidR="0066661D">
        <w:rPr>
          <w:bCs/>
        </w:rPr>
        <w:t xml:space="preserve">, </w:t>
      </w:r>
      <w:r w:rsidR="004224E1">
        <w:rPr>
          <w:bCs/>
        </w:rPr>
        <w:t xml:space="preserve">in </w:t>
      </w:r>
      <w:r>
        <w:rPr>
          <w:bCs/>
        </w:rPr>
        <w:t>accordance with Exhibit E,</w:t>
      </w:r>
      <w:r w:rsidR="004224E1">
        <w:rPr>
          <w:bCs/>
        </w:rPr>
        <w:t xml:space="preserve"> </w:t>
      </w:r>
      <w:r w:rsidR="00663E98">
        <w:rPr>
          <w:bCs/>
        </w:rPr>
        <w:t xml:space="preserve">of the Performance Test, </w:t>
      </w:r>
      <w:r>
        <w:rPr>
          <w:bCs/>
        </w:rPr>
        <w:t>certified by a responsible officer of Seller</w:t>
      </w:r>
      <w:r w:rsidR="00663E98">
        <w:rPr>
          <w:bCs/>
        </w:rPr>
        <w:t>, for GPC’s review and verification</w:t>
      </w:r>
      <w:r w:rsidR="00627C17">
        <w:rPr>
          <w:bCs/>
        </w:rPr>
        <w:t>.</w:t>
      </w:r>
      <w:r>
        <w:rPr>
          <w:bCs/>
        </w:rPr>
        <w:t xml:space="preserve"> Following the Delivery Commencement Date,</w:t>
      </w:r>
      <w:r>
        <w:t xml:space="preserve"> Seller must cooperate with GPC’s request for information concerning </w:t>
      </w:r>
      <w:r w:rsidR="00837342">
        <w:t>Facility</w:t>
      </w:r>
      <w:r w:rsidR="00207D10">
        <w:t xml:space="preserve"> </w:t>
      </w:r>
      <w:r>
        <w:t>performance that GPC may reasonably request from time to time.</w:t>
      </w:r>
    </w:p>
    <w:p w:rsidRPr="006E0A0D" w:rsidR="00D96326" w:rsidP="00D96326" w:rsidRDefault="00D96326" w14:paraId="7027CAD3" w14:textId="77777777">
      <w:pPr>
        <w:pStyle w:val="zGTC02"/>
        <w:rPr>
          <w:rFonts w:ascii="Arial" w:hAnsi="Arial" w:eastAsia="PMingLiU" w:cs="Arial"/>
          <w:vanish/>
          <w:szCs w:val="20"/>
          <w:specVanish/>
        </w:rPr>
      </w:pPr>
      <w:bookmarkStart w:name="_Toc212475672" w:id="119"/>
      <w:bookmarkStart w:name="_Toc227838371" w:id="120"/>
      <w:r>
        <w:rPr>
          <w:rFonts w:ascii="Arial" w:hAnsi="Arial" w:cs="Arial"/>
          <w:szCs w:val="20"/>
        </w:rPr>
        <w:t>Disputes Concerning Capacity Tests.</w:t>
      </w:r>
      <w:bookmarkEnd w:id="119"/>
      <w:bookmarkEnd w:id="120"/>
    </w:p>
    <w:p w:rsidRPr="00F10071" w:rsidR="00D96326" w:rsidRDefault="00D96326" w14:paraId="419CEE7F" w14:textId="48A4E1D9">
      <w:pPr>
        <w:pStyle w:val="zGNormal"/>
      </w:pPr>
      <w:r>
        <w:t xml:space="preserve"> If the Parties disagree regarding the Performance Test results, the Parties will resolve the dispute in accordance </w:t>
      </w:r>
      <w:r w:rsidR="002E71E3">
        <w:t>Section</w:t>
      </w:r>
      <w:r>
        <w:t xml:space="preserve"> 19</w:t>
      </w:r>
      <w:r w:rsidR="002E71E3">
        <w:t>.2</w:t>
      </w:r>
      <w:r>
        <w:t xml:space="preserve"> (</w:t>
      </w:r>
      <w:r w:rsidR="002E71E3">
        <w:rPr>
          <w:i/>
          <w:iCs/>
        </w:rPr>
        <w:t>Expert Arbitration</w:t>
      </w:r>
      <w:r>
        <w:t xml:space="preserve">). If the dispute is not resolved by the first Day of any Annual Period, the Tested Reliable Capacity and Declared Capacity in effect for the Annual Period may not exceed the Tested Reliable Capacity and Declared Capacity established under </w:t>
      </w:r>
      <w:r>
        <w:rPr>
          <w:bCs/>
        </w:rPr>
        <w:t>Exhibit B (</w:t>
      </w:r>
      <w:r>
        <w:rPr>
          <w:bCs/>
          <w:i/>
          <w:iCs/>
        </w:rPr>
        <w:t>Capacity; Capacity Payments</w:t>
      </w:r>
      <w:r>
        <w:rPr>
          <w:i/>
        </w:rPr>
        <w:t xml:space="preserve"> and Payment Reductions; Buydown</w:t>
      </w:r>
      <w:r>
        <w:rPr>
          <w:bCs/>
        </w:rPr>
        <w:t>)</w:t>
      </w:r>
      <w:r>
        <w:t xml:space="preserve"> by the most recent undisputed Performance Test, subject to the outcome of this dispute resolution process. Following the resolution of the dispute, an adjustment </w:t>
      </w:r>
      <w:r w:rsidR="007C742E">
        <w:t>may</w:t>
      </w:r>
      <w:r>
        <w:t xml:space="preserve"> be made to all Monthly Capacity Payments made regarding the Annual Period to account for any difference between the new Declared Capacity and the preceding Declared Capacity.</w:t>
      </w:r>
    </w:p>
    <w:p w:rsidRPr="00F10071" w:rsidR="00D96326" w:rsidP="00D96326" w:rsidRDefault="00D96326" w14:paraId="3C766311" w14:textId="274BB673">
      <w:pPr>
        <w:pStyle w:val="zGTC01"/>
        <w:rPr>
          <w:rFonts w:ascii="Arial" w:hAnsi="Arial"/>
          <w:szCs w:val="20"/>
        </w:rPr>
      </w:pPr>
      <w:bookmarkStart w:name="_Toc212475673" w:id="121"/>
      <w:bookmarkStart w:name="_Toc227838372" w:id="122"/>
      <w:r>
        <w:rPr>
          <w:rFonts w:ascii="Arial" w:hAnsi="Arial"/>
          <w:szCs w:val="20"/>
        </w:rPr>
        <w:t>Operation and Maintenance</w:t>
      </w:r>
      <w:bookmarkEnd w:id="121"/>
      <w:bookmarkEnd w:id="122"/>
    </w:p>
    <w:p w:rsidRPr="00F10071" w:rsidR="00D96326" w:rsidP="00D96326" w:rsidRDefault="00D96326" w14:paraId="24C3505B" w14:textId="77777777">
      <w:pPr>
        <w:pStyle w:val="zGTC02"/>
        <w:rPr>
          <w:rFonts w:ascii="Arial" w:hAnsi="Arial" w:eastAsia="PMingLiU" w:cs="Arial"/>
          <w:vanish/>
          <w:szCs w:val="20"/>
          <w:specVanish/>
        </w:rPr>
      </w:pPr>
      <w:bookmarkStart w:name="_Toc212475674" w:id="123"/>
      <w:bookmarkStart w:name="_Toc227838373" w:id="124"/>
      <w:r>
        <w:rPr>
          <w:rFonts w:ascii="Arial" w:hAnsi="Arial" w:cs="Arial"/>
          <w:szCs w:val="20"/>
        </w:rPr>
        <w:t>Operation and Maintenance.</w:t>
      </w:r>
      <w:bookmarkEnd w:id="123"/>
      <w:bookmarkEnd w:id="124"/>
    </w:p>
    <w:p w:rsidRPr="00F10071" w:rsidR="00D96326" w:rsidRDefault="00D96326" w14:paraId="73EE69FA" w14:textId="77777777">
      <w:pPr>
        <w:pStyle w:val="zGTC02"/>
        <w:numPr>
          <w:ilvl w:val="0"/>
          <w:numId w:val="0"/>
        </w:numPr>
        <w:rPr>
          <w:rFonts w:ascii="Arial" w:hAnsi="Arial" w:cs="Arial"/>
          <w:szCs w:val="20"/>
        </w:rPr>
      </w:pPr>
    </w:p>
    <w:p w:rsidRPr="006E0A0D" w:rsidR="00D96326" w:rsidP="00B7441B" w:rsidRDefault="00D96326" w14:paraId="1C64A17F" w14:textId="617A957D">
      <w:pPr>
        <w:pStyle w:val="zGTC03"/>
      </w:pPr>
      <w:r>
        <w:rPr>
          <w:b/>
          <w:bCs/>
        </w:rPr>
        <w:t xml:space="preserve">General Standards. </w:t>
      </w:r>
      <w:r>
        <w:t xml:space="preserve">Seller must manage, control, operate, and maintain all parts of the </w:t>
      </w:r>
      <w:r w:rsidR="00837342">
        <w:t xml:space="preserve">Facility </w:t>
      </w:r>
      <w:r>
        <w:t xml:space="preserve">in a manner consistent with Prudent Industry Practices, considering GPC’s right to Schedule the </w:t>
      </w:r>
      <w:r w:rsidR="00837342">
        <w:t>Facility</w:t>
      </w:r>
      <w:r>
        <w:t>, and in accordance with applicable planning standards and operating policies of SERC and NERC and in accordance with the Operating Procedures to be developed by the Operating Committee. The requirements of this Section 10.1.1 (</w:t>
      </w:r>
      <w:r>
        <w:rPr>
          <w:i/>
          <w:iCs/>
        </w:rPr>
        <w:t>General Standards</w:t>
      </w:r>
      <w:r>
        <w:t>) will not be interpreted to limit GPC’s Scheduling rights as provided for elsewhere in this PPA.</w:t>
      </w:r>
    </w:p>
    <w:p w:rsidRPr="00F10071" w:rsidR="00D96326" w:rsidP="00B7441B" w:rsidRDefault="00D96326" w14:paraId="5B943A69" w14:textId="79D6859B">
      <w:pPr>
        <w:pStyle w:val="zGTC03"/>
      </w:pPr>
      <w:r>
        <w:rPr>
          <w:b/>
        </w:rPr>
        <w:lastRenderedPageBreak/>
        <w:t>Written Operating Procedures.</w:t>
      </w:r>
      <w:r>
        <w:t xml:space="preserve"> Seller and GPC will mutually develop and agree upon written Operating Procedures no later than six Months before the Delivery Commencement Date. Topics covered will include: (</w:t>
      </w:r>
      <w:proofErr w:type="spellStart"/>
      <w:r>
        <w:t>i</w:t>
      </w:r>
      <w:proofErr w:type="spellEnd"/>
      <w:r>
        <w:t xml:space="preserve">) Performance Tests procedures, deliveries of energy during start-up and testing of the </w:t>
      </w:r>
      <w:r w:rsidR="00837342">
        <w:t>Facility</w:t>
      </w:r>
      <w:r>
        <w:t xml:space="preserve">; (ii) the method of Day-to-Day communications; (iii) clearance and switching practices; (iv) daily capacity availability and energy reports; (v) </w:t>
      </w:r>
      <w:r w:rsidR="00837342">
        <w:t xml:space="preserve">Facility </w:t>
      </w:r>
      <w:r>
        <w:t xml:space="preserve">operations log; (vi) reactive power output; (vii) Technical Limits regarding </w:t>
      </w:r>
      <w:r w:rsidR="00837342">
        <w:t xml:space="preserve">Facility </w:t>
      </w:r>
      <w:r>
        <w:t>operation (including minimum run times and Maximum Ramp Rate); (viii) minimum down times between starts, quick start capability, and other limits specified in Exhibit D (</w:t>
      </w:r>
      <w:r>
        <w:rPr>
          <w:i/>
        </w:rPr>
        <w:t>Technical Limits and Schedule Procedures</w:t>
      </w:r>
      <w:r>
        <w:t xml:space="preserve">)); (ix) ramp rates for the delivery of power to the Electric System; (x) coordination of maintenance scheduling; (xi) designation of Confidential Information; and (xii) any other matters as the Operating Representatives agree are appropriate. The Operating Representatives will be responsible for modifying, from time to time, the Operating Procedures in writing to </w:t>
      </w:r>
      <w:proofErr w:type="gramStart"/>
      <w:r>
        <w:t xml:space="preserve">reflect agreed </w:t>
      </w:r>
      <w:r w:rsidR="009165FE">
        <w:t xml:space="preserve">upon </w:t>
      </w:r>
      <w:r>
        <w:t>changes</w:t>
      </w:r>
      <w:proofErr w:type="gramEnd"/>
      <w:r>
        <w:t>. In the event of inconsistency or conflict between the Operating Procedures and specific terms of this PPA, the specific terms of this PPA will take precedence.</w:t>
      </w:r>
    </w:p>
    <w:p w:rsidRPr="00F10071" w:rsidR="00D96326" w:rsidP="00B7441B" w:rsidRDefault="00D96326" w14:paraId="6091AD9A" w14:textId="2EFA197E">
      <w:pPr>
        <w:pStyle w:val="zGTC03"/>
      </w:pPr>
      <w:r>
        <w:rPr>
          <w:b/>
          <w:bCs/>
        </w:rPr>
        <w:t xml:space="preserve">Safety Devices, Safety Practices, and Records. </w:t>
      </w:r>
      <w:r>
        <w:t xml:space="preserve">Seller must employ at the Facility all safety devices and safety practices required by Prudent Industry Practices. Seller must keep accurate records of any accident or other occurrence at the Site that results in injury to </w:t>
      </w:r>
      <w:proofErr w:type="gramStart"/>
      <w:r>
        <w:t>persons</w:t>
      </w:r>
      <w:proofErr w:type="gramEnd"/>
      <w:r>
        <w:t xml:space="preserve"> or damage to property. Seller must provide to GPC reasonable access to these records upon at least seven Days’ notice during normal business Hours, but Seller will not be required to provide access to employment records regarding Facility personnel.</w:t>
      </w:r>
    </w:p>
    <w:p w:rsidRPr="00F10071" w:rsidR="00D96326" w:rsidP="00B7441B" w:rsidRDefault="00D96326" w14:paraId="4FBDD685" w14:textId="1E5FCFC0">
      <w:pPr>
        <w:pStyle w:val="zGTC03"/>
      </w:pPr>
      <w:r>
        <w:rPr>
          <w:b/>
          <w:bCs/>
        </w:rPr>
        <w:t>Facility Personnel.</w:t>
      </w:r>
      <w:r>
        <w:t xml:space="preserve"> During the Term, Seller must employ qualified and trained personnel for management, operation, and maintenance of the Facility.</w:t>
      </w:r>
    </w:p>
    <w:p w:rsidRPr="00F10071" w:rsidR="00D96326" w:rsidP="00D96326" w:rsidRDefault="00D96326" w14:paraId="40DB8389" w14:textId="77777777">
      <w:pPr>
        <w:pStyle w:val="zGTC02"/>
        <w:rPr>
          <w:rFonts w:ascii="Arial" w:hAnsi="Arial" w:eastAsia="PMingLiU" w:cs="Arial"/>
          <w:vanish/>
          <w:szCs w:val="20"/>
          <w:specVanish/>
        </w:rPr>
      </w:pPr>
      <w:bookmarkStart w:name="_Toc212475675" w:id="125"/>
      <w:bookmarkStart w:name="_Toc227838374" w:id="126"/>
      <w:r>
        <w:rPr>
          <w:rFonts w:ascii="Arial" w:hAnsi="Arial" w:cs="Arial"/>
          <w:szCs w:val="20"/>
        </w:rPr>
        <w:t>Maintenance Scheduling.</w:t>
      </w:r>
      <w:bookmarkEnd w:id="125"/>
      <w:bookmarkEnd w:id="126"/>
    </w:p>
    <w:p w:rsidRPr="00F10071" w:rsidR="00D96326" w:rsidRDefault="00D96326" w14:paraId="4051E2BB" w14:textId="77777777">
      <w:pPr>
        <w:pStyle w:val="zGTC02"/>
        <w:numPr>
          <w:ilvl w:val="0"/>
          <w:numId w:val="0"/>
        </w:numPr>
        <w:rPr>
          <w:rFonts w:ascii="Arial" w:hAnsi="Arial" w:cs="Arial"/>
          <w:szCs w:val="20"/>
        </w:rPr>
      </w:pPr>
    </w:p>
    <w:p w:rsidRPr="006E0A0D" w:rsidR="00D96326" w:rsidP="00B7441B" w:rsidRDefault="00D96326" w14:paraId="2073F01C" w14:textId="72BE72C2">
      <w:pPr>
        <w:pStyle w:val="zGTC03"/>
      </w:pPr>
      <w:r>
        <w:rPr>
          <w:b/>
          <w:bCs/>
        </w:rPr>
        <w:t xml:space="preserve">Maintenance Schedule Reporting and Approvals. </w:t>
      </w:r>
      <w:r>
        <w:t xml:space="preserve">Commencing in the year before the year of the Delivery Commencement Date, and continuing throughout the Term, Seller must submit to GPC before September 1, Maintenance Schedules covering the next four Annual Periods or the number of Annual Periods remaining in the Term, whichever is less. Seller must not schedule any maintenance of the </w:t>
      </w:r>
      <w:r w:rsidR="00837342">
        <w:t xml:space="preserve">Facility </w:t>
      </w:r>
      <w:r>
        <w:t xml:space="preserve">during the </w:t>
      </w:r>
      <w:r w:rsidR="00325792">
        <w:t xml:space="preserve">Standard </w:t>
      </w:r>
      <w:r>
        <w:t xml:space="preserve">Seasonal Performance Period or the Winter Seasonal Performance Period of any Annual Period that would decrease the capacity output of the </w:t>
      </w:r>
      <w:r w:rsidR="00837342">
        <w:t xml:space="preserve">Facility </w:t>
      </w:r>
      <w:r>
        <w:t xml:space="preserve">below the applicable Declared Capacity for such Seasonal Performance Period without the prior written consent of GPC. GPC will have 30 Days to review the proposed Maintenance Schedules and may approve or reject (in whole or in part) the Maintenance Schedules. The Maintenance Schedules are subject to the approval of GPC, which approval GPC will not unreasonably withhold or delay. However, any determination by GPC to </w:t>
      </w:r>
      <w:proofErr w:type="gramStart"/>
      <w:r>
        <w:t>disapprove</w:t>
      </w:r>
      <w:proofErr w:type="gramEnd"/>
      <w:r>
        <w:t xml:space="preserve"> a Hot Gas Path Inspection or Major Inspection in May will not be considered unreasonable. If any portion of a Maintenance Schedule is rejected by GPC, Seller must resubmit a revised Maintenance Schedule to GPC within 30 Days after GPC’s rejection and GPC and Seller agree to use best efforts to promptly develop Maintenance Schedules that are mutually acceptable, considering the burdens that GPC’s changes impose on Seller compared to the burdens avoided by GPC because of </w:t>
      </w:r>
      <w:r w:rsidR="00CF0488">
        <w:t>such</w:t>
      </w:r>
      <w:r>
        <w:t xml:space="preserve"> changes. Any dispute concerning this Section 10.2.1 (</w:t>
      </w:r>
      <w:r>
        <w:rPr>
          <w:i/>
          <w:iCs/>
        </w:rPr>
        <w:t>Maintenance Schedule Reporting and Approvals</w:t>
      </w:r>
      <w:r>
        <w:t xml:space="preserve">) will be resolved in accordance with </w:t>
      </w:r>
      <w:r w:rsidR="00325792">
        <w:t xml:space="preserve">the provisions of </w:t>
      </w:r>
      <w:r>
        <w:t>Part 19 (</w:t>
      </w:r>
      <w:r>
        <w:rPr>
          <w:i/>
          <w:iCs/>
        </w:rPr>
        <w:t>Dispute Resolution</w:t>
      </w:r>
      <w:r>
        <w:t>) applicable to Maintenance Schedule disputes. The outages included in the final, approved Maintenance Schedule for the current Annual Period will be the Scheduled Outages for that Annual Period.</w:t>
      </w:r>
    </w:p>
    <w:p w:rsidRPr="006E0A0D" w:rsidR="00D96326" w:rsidP="00B7441B" w:rsidRDefault="00D96326" w14:paraId="1ACF234A" w14:textId="3C1A34D2">
      <w:pPr>
        <w:pStyle w:val="zGTC03"/>
      </w:pPr>
      <w:r>
        <w:rPr>
          <w:b/>
          <w:bCs/>
        </w:rPr>
        <w:t xml:space="preserve">Maintenance Outages. </w:t>
      </w:r>
      <w:r>
        <w:t xml:space="preserve">In addition to Scheduled Outages, Seller may request Maintenance Outages during any Annual Period. Seller must notify GPC (in writing, electronically, or orally) of each Maintenance Outage no less than 24 Hours in advance and at least one Business Day in advance of Seller’s proposed commencement of the Maintenance Outage. In Seller’s request, Seller must identify the equipment and applicable Declared Capacity that will not be available for delivery at the POD and the proposed start time and duration of the Maintenance Outage. GPC will respond to Seller’s request as soon as reasonably practicable. Seller must not take a Maintenance Outage without GPC’s prior written or telephonic consent, and GPC’ will not unreasonably withhold, condition, or delay its consent. Despite the preceding sentence, each Party acknowledges that it will be reasonable for GPC to deny any request for a Maintenance Outage if GPC reasonably believes that it may Schedule the </w:t>
      </w:r>
      <w:r w:rsidR="00837342">
        <w:t xml:space="preserve">Facility </w:t>
      </w:r>
      <w:r>
        <w:t>to a level that would require the availability of the equipment that is proposed to be Unavailable during the Maintenance Outage. GPC will have the right to revoke its consent to a Maintenance Outage if changed conditions require Scheduling of the Declared Capacity scheduled to be Unavailable during the Maintenance Outage. If GPC reasonably requests Seller to return to full Availability status all or part of that portion of the Facility that is affected by the Maintenance Outage, Seller must comply as soon as reasonably practical.</w:t>
      </w:r>
      <w:r>
        <w:rPr>
          <w:u w:color="0000FF"/>
        </w:rPr>
        <w:t xml:space="preserve"> GPC </w:t>
      </w:r>
      <w:r>
        <w:rPr>
          <w:u w:color="0000FF"/>
        </w:rPr>
        <w:lastRenderedPageBreak/>
        <w:t xml:space="preserve">will not dispatch the </w:t>
      </w:r>
      <w:r w:rsidR="00837342">
        <w:rPr>
          <w:u w:color="0000FF"/>
        </w:rPr>
        <w:t xml:space="preserve">Facility </w:t>
      </w:r>
      <w:r>
        <w:rPr>
          <w:u w:color="0000FF"/>
        </w:rPr>
        <w:t xml:space="preserve">to the extent that the </w:t>
      </w:r>
      <w:r w:rsidR="00837342">
        <w:rPr>
          <w:u w:color="0000FF"/>
        </w:rPr>
        <w:t xml:space="preserve">Facility </w:t>
      </w:r>
      <w:proofErr w:type="gramStart"/>
      <w:r>
        <w:rPr>
          <w:u w:color="0000FF"/>
        </w:rPr>
        <w:t>is not capable of delivering</w:t>
      </w:r>
      <w:proofErr w:type="gramEnd"/>
      <w:r>
        <w:rPr>
          <w:u w:color="0000FF"/>
        </w:rPr>
        <w:t xml:space="preserve"> energy as a direct result of a Scheduled Outage or a Maintenance Outage approved by GPC. For avoidance of doubt, GPC’s advanced consent is not required for Seller to take any action that Seller reasonably believes is necessary to prevent damage to person or property, but (</w:t>
      </w:r>
      <w:proofErr w:type="spellStart"/>
      <w:r>
        <w:rPr>
          <w:u w:color="0000FF"/>
        </w:rPr>
        <w:t>i</w:t>
      </w:r>
      <w:proofErr w:type="spellEnd"/>
      <w:r>
        <w:rPr>
          <w:u w:color="0000FF"/>
        </w:rPr>
        <w:t>) any resulting outage or derate will not be considered a Maintenance Outage or Scheduled Outage; and (ii) Seller must notify GPC of any resulting outage or derate as soon as practicable.</w:t>
      </w:r>
    </w:p>
    <w:p w:rsidRPr="006E0A0D" w:rsidR="00D96326" w:rsidP="00B7441B" w:rsidRDefault="00D96326" w14:paraId="17897B71" w14:textId="2351A67B">
      <w:pPr>
        <w:pStyle w:val="zGTC03"/>
      </w:pPr>
      <w:r>
        <w:rPr>
          <w:b/>
        </w:rPr>
        <w:t>Reporting of Forced Outages and Derates.</w:t>
      </w:r>
      <w:r>
        <w:t xml:space="preserve"> </w:t>
      </w:r>
      <w:r w:rsidR="002B3C10">
        <w:t xml:space="preserve">Through </w:t>
      </w:r>
      <w:r>
        <w:t xml:space="preserve">the method required by the Operating Procedures, </w:t>
      </w:r>
      <w:r w:rsidR="00EB72EF">
        <w:t xml:space="preserve">Seller must notify GPC promptly </w:t>
      </w:r>
      <w:r>
        <w:t>upon the occurrence of any Forced Outage or Forced Derate. As soon as practicable, but in any event not later than one Business Day after the beginning of the period of the Forced Outage or Forced Derate, Seller must notify GPC of: (</w:t>
      </w:r>
      <w:proofErr w:type="spellStart"/>
      <w:r>
        <w:t>i</w:t>
      </w:r>
      <w:proofErr w:type="spellEnd"/>
      <w:r>
        <w:t>) the cause of the outage or derate; (ii) the amount of capacity affected by the outage or derate; (iii) the proposed corrective action to address the outage or derate; and (iv) Seller’s reasonable estimate of the expected duration of the Forced Outage or Forced Derate and expected return to full operation.</w:t>
      </w:r>
    </w:p>
    <w:p w:rsidRPr="006E0A0D" w:rsidR="00D96326" w:rsidP="00B7441B" w:rsidRDefault="00D96326" w14:paraId="1D355CC0" w14:textId="78468C77">
      <w:pPr>
        <w:pStyle w:val="zGTC03"/>
        <w:rPr>
          <w:szCs w:val="20"/>
        </w:rPr>
      </w:pPr>
      <w:r>
        <w:rPr>
          <w:b/>
        </w:rPr>
        <w:t>System Emergencies.</w:t>
      </w:r>
      <w:r>
        <w:t xml:space="preserve"> If Seller has a Scheduled Outage or Maintenance Outage, and the Scheduled Outage or Maintenance Outage occurs or would occur coincident with a System Emergency, GPC will notify Seller of the System Emergency. GPC</w:t>
      </w:r>
      <w:r w:rsidR="0032017E">
        <w:t xml:space="preserve"> may</w:t>
      </w:r>
      <w:r>
        <w:t xml:space="preserve">, because of the System Emergency, request Seller to reschedule the Scheduled Outage or Maintenance Outage or, if the Scheduled Outage or Maintenance Outage has begun, to expedite </w:t>
      </w:r>
      <w:r w:rsidR="00445515">
        <w:t>its</w:t>
      </w:r>
      <w:r>
        <w:t xml:space="preserve"> completion, and Seller must comply with GPC’s request as soon as reasonably practical, subject to Prudent Industry Practices and any limitation or coordination requirement outlined in the Operating Procedures as necessary for Seller to preserve its equipment warranties.</w:t>
      </w:r>
    </w:p>
    <w:p w:rsidRPr="006E0A0D" w:rsidR="00D96326" w:rsidP="00D96326" w:rsidRDefault="00D96326" w14:paraId="2333E261" w14:textId="77777777">
      <w:pPr>
        <w:pStyle w:val="zGTC02"/>
        <w:rPr>
          <w:rFonts w:ascii="Arial" w:hAnsi="Arial" w:eastAsia="PMingLiU" w:cs="Arial"/>
          <w:vanish/>
          <w:szCs w:val="20"/>
          <w:specVanish/>
        </w:rPr>
      </w:pPr>
      <w:bookmarkStart w:name="_Toc212475676" w:id="127"/>
      <w:bookmarkStart w:name="_Toc227838375" w:id="128"/>
      <w:r>
        <w:rPr>
          <w:rFonts w:ascii="Arial" w:hAnsi="Arial" w:cs="Arial"/>
          <w:szCs w:val="20"/>
        </w:rPr>
        <w:t>Permits.</w:t>
      </w:r>
      <w:bookmarkEnd w:id="127"/>
      <w:bookmarkEnd w:id="128"/>
    </w:p>
    <w:p w:rsidRPr="006E0A0D" w:rsidR="00D96326" w:rsidRDefault="008274B3" w14:paraId="188078A9" w14:textId="57D8E41E">
      <w:pPr>
        <w:pStyle w:val="zGNormal"/>
      </w:pPr>
      <w:r>
        <w:t xml:space="preserve"> Seller must maintain, for the period required by applicable law during the Term, all Air Permits, including those necessary to operate the Facility up to the</w:t>
      </w:r>
      <w:r>
        <w:rPr>
          <w:b/>
          <w:iCs/>
        </w:rPr>
        <w:t xml:space="preserve"> </w:t>
      </w:r>
      <w:r>
        <w:t>Air Permit Operating Limits.</w:t>
      </w:r>
      <w:r>
        <w:rPr>
          <w:kern w:val="2"/>
          <w14:ligatures w14:val="standardContextual"/>
        </w:rPr>
        <w:t xml:space="preserve"> Subject to the provisions of Part 17 (</w:t>
      </w:r>
      <w:r>
        <w:rPr>
          <w:i/>
          <w:iCs/>
          <w:kern w:val="2"/>
          <w14:ligatures w14:val="standardContextual"/>
        </w:rPr>
        <w:t>Compliance with Law</w:t>
      </w:r>
      <w:r>
        <w:rPr>
          <w:kern w:val="2"/>
          <w14:ligatures w14:val="standardContextual"/>
        </w:rPr>
        <w:t>) concerning a Change of Law, Seller must ensure that, beginning on the Delivery Commencement Date and continuing throughout the remainder of the Term, Seller retains the capability to operate the Facility subject to then applicable Air Permit Operating Limits, the Operating Procedures, and Prudent Industry Practices. Seller must not affirmatively seek</w:t>
      </w:r>
      <w:r w:rsidR="00AF0659">
        <w:rPr>
          <w:kern w:val="2"/>
          <w14:ligatures w14:val="standardContextual"/>
        </w:rPr>
        <w:t>, except to the extent required by applicable law,</w:t>
      </w:r>
      <w:r>
        <w:rPr>
          <w:kern w:val="2"/>
          <w14:ligatures w14:val="standardContextual"/>
        </w:rPr>
        <w:t xml:space="preserve"> any (a) modification, renewal, or replacement of an Air Permit that imposes more stringent emissions limitations or operational constraints than those described in Table A-3 (</w:t>
      </w:r>
      <w:r>
        <w:rPr>
          <w:i/>
          <w:iCs/>
          <w:kern w:val="2"/>
          <w14:ligatures w14:val="standardContextual"/>
        </w:rPr>
        <w:t>Additional Facility and Operating Information</w:t>
      </w:r>
      <w:r>
        <w:rPr>
          <w:kern w:val="2"/>
          <w14:ligatures w14:val="standardContextual"/>
        </w:rPr>
        <w:t>) of Exhibit A (</w:t>
      </w:r>
      <w:r>
        <w:rPr>
          <w:i/>
          <w:iCs/>
          <w:kern w:val="2"/>
          <w14:ligatures w14:val="standardContextual"/>
        </w:rPr>
        <w:t>Facility Description and Additional Details</w:t>
      </w:r>
      <w:r>
        <w:rPr>
          <w:kern w:val="2"/>
          <w14:ligatures w14:val="standardContextual"/>
        </w:rPr>
        <w:t xml:space="preserve">) as in effect on the Effective Date, or (b) other conditions that would restrict or impair the ability of the Facility to deliver capacity or energy in accordance with this PPA </w:t>
      </w:r>
      <w:r>
        <w:t>However, the Facility’s inability to meet GPC’s Schedules within the Air Permit Operating Limits will not be deemed a Seller Event of Default so long as Seller completely covers for the remainder of the Term any shortfall by electing to provide physical Alternate Delivery from an Alternate Resource in accordance with Section 4.1.4(</w:t>
      </w:r>
      <w:proofErr w:type="spellStart"/>
      <w:r>
        <w:t>i</w:t>
      </w:r>
      <w:proofErr w:type="spellEnd"/>
      <w:r>
        <w:t>) (</w:t>
      </w:r>
      <w:r>
        <w:rPr>
          <w:i/>
          <w:iCs/>
        </w:rPr>
        <w:t>Scheduled Energy Delivery Using Alternate Resource</w:t>
      </w:r>
      <w:r>
        <w:t>). Seller must: (</w:t>
      </w:r>
      <w:proofErr w:type="spellStart"/>
      <w:r>
        <w:t>i</w:t>
      </w:r>
      <w:proofErr w:type="spellEnd"/>
      <w:r>
        <w:t xml:space="preserve">) </w:t>
      </w:r>
      <w:r w:rsidR="006F7CB6">
        <w:t xml:space="preserve">promptly </w:t>
      </w:r>
      <w:r>
        <w:t>provide GPC with</w:t>
      </w:r>
      <w:r w:rsidR="00942111">
        <w:t xml:space="preserve"> notice of Seller’s receipt of the Air Permit, including</w:t>
      </w:r>
      <w:r>
        <w:t xml:space="preserve"> a copy of the Air Permit; and (ii) promptly provide GPC with </w:t>
      </w:r>
      <w:r w:rsidR="00942111">
        <w:t>notice</w:t>
      </w:r>
      <w:r>
        <w:t xml:space="preserve"> of any Air Permit renewal or amendment</w:t>
      </w:r>
      <w:r w:rsidR="00942111">
        <w:t>, including a copy of the renewal or amendment</w:t>
      </w:r>
      <w:r>
        <w:t>.</w:t>
      </w:r>
    </w:p>
    <w:p w:rsidRPr="006E0A0D" w:rsidR="00D96326" w:rsidP="00B7441B" w:rsidRDefault="00D96326" w14:paraId="13A1A192" w14:textId="0D629B2A">
      <w:pPr>
        <w:pStyle w:val="zGTC03"/>
      </w:pPr>
      <w:r>
        <w:rPr>
          <w:b/>
          <w:bCs/>
        </w:rPr>
        <w:t>Alternative Determination of Capacity Payment.</w:t>
      </w:r>
      <w:r>
        <w:t xml:space="preserve"> For a Seller Event of Default caused by Seller’s inability to maintain the Air Permit Operating Limits, the capacity and energy that would be considered available to GPC under this PPA in calculating the Termination Payment in accordance with Section 16.3.3 (</w:t>
      </w:r>
      <w:r>
        <w:rPr>
          <w:i/>
          <w:iCs/>
        </w:rPr>
        <w:t>Determining Gains, Losses, and Costs</w:t>
      </w:r>
      <w:r>
        <w:t>) will be determined by utilizing the Air Permit Operating Limits in effect on the Early Termination Date.</w:t>
      </w:r>
    </w:p>
    <w:p w:rsidRPr="006E0A0D" w:rsidR="00D96326" w:rsidP="00D96326" w:rsidRDefault="00D96326" w14:paraId="3AC01E07" w14:textId="77777777">
      <w:pPr>
        <w:pStyle w:val="zGTC02"/>
        <w:rPr>
          <w:rFonts w:ascii="Arial" w:hAnsi="Arial" w:eastAsia="PMingLiU" w:cs="Arial"/>
          <w:vanish/>
          <w:szCs w:val="20"/>
          <w:specVanish/>
        </w:rPr>
      </w:pPr>
      <w:bookmarkStart w:name="_Toc212475677" w:id="129"/>
      <w:bookmarkStart w:name="_Toc227838376" w:id="130"/>
      <w:r>
        <w:rPr>
          <w:rFonts w:ascii="Arial" w:hAnsi="Arial" w:cs="Arial"/>
          <w:szCs w:val="20"/>
        </w:rPr>
        <w:t>Access to the Site and the Facility.</w:t>
      </w:r>
      <w:bookmarkEnd w:id="129"/>
      <w:bookmarkEnd w:id="130"/>
    </w:p>
    <w:p w:rsidRPr="006E0A0D" w:rsidR="00D96326" w:rsidRDefault="00D96326" w14:paraId="774CD106" w14:textId="5EDCB41E">
      <w:pPr>
        <w:pStyle w:val="zGNormal"/>
      </w:pPr>
      <w:r>
        <w:t xml:space="preserve"> Seller grants to GPC or GPC’s designated Representatives, with reasonable prior notice to Seller</w:t>
      </w:r>
      <w:r w:rsidR="00381636">
        <w:t>, the right to enter the Site</w:t>
      </w:r>
      <w:r>
        <w:t xml:space="preserve"> at reasonable times (including nights and weekends)</w:t>
      </w:r>
      <w:r w:rsidR="00381636">
        <w:t xml:space="preserve"> </w:t>
      </w:r>
      <w:r>
        <w:t>to: (</w:t>
      </w:r>
      <w:proofErr w:type="spellStart"/>
      <w:r>
        <w:t>i</w:t>
      </w:r>
      <w:proofErr w:type="spellEnd"/>
      <w:r>
        <w:t xml:space="preserve">) inspect, maintain, and test meters and other GPC equipment; (ii) monitor or measure energy generated by the </w:t>
      </w:r>
      <w:r w:rsidR="00837342">
        <w:t xml:space="preserve">Facility </w:t>
      </w:r>
      <w:r>
        <w:t xml:space="preserve">in accordance with this PPA and Prudent Industry Practices; (iii) monitor Performance Tests; (iv) inspect the Facility; </w:t>
      </w:r>
      <w:r w:rsidR="003B5F89">
        <w:t>or</w:t>
      </w:r>
      <w:r>
        <w:t xml:space="preserve"> (v) inspect and test facilities related to the supply of Natural Gas and Fuel Oil. Seller must cooperate in </w:t>
      </w:r>
      <w:r w:rsidR="0052107C">
        <w:t xml:space="preserve">the </w:t>
      </w:r>
      <w:r>
        <w:t xml:space="preserve">physical inspection of the Facility as GPC may reasonably require, so long as: (a) the inspection will not materially interfere with the Facility’s testing or operations; and (b) GPC complies with rules and regulations of Governmental Authorities having jurisdiction regarding the Facility and with Seller’s reasonable policies and procedures applicable to the Facility, including those regarding safety, and any requirement that Seller Representatives accompany GPC Representatives during Site visits. </w:t>
      </w:r>
      <w:r>
        <w:rPr>
          <w:b/>
          <w:bCs/>
          <w:u w:val="single"/>
        </w:rPr>
        <w:t>GPC’s technical review or inspection of the Facility,</w:t>
      </w:r>
      <w:r w:rsidR="00837342">
        <w:rPr>
          <w:b/>
          <w:bCs/>
          <w:u w:val="single"/>
        </w:rPr>
        <w:t xml:space="preserve"> including </w:t>
      </w:r>
      <w:r w:rsidR="007265C8">
        <w:rPr>
          <w:b/>
          <w:bCs/>
          <w:u w:val="single"/>
        </w:rPr>
        <w:t>the</w:t>
      </w:r>
      <w:r w:rsidR="00837342">
        <w:rPr>
          <w:b/>
          <w:bCs/>
          <w:u w:val="single"/>
        </w:rPr>
        <w:t xml:space="preserve"> Unit</w:t>
      </w:r>
      <w:r w:rsidR="007265C8">
        <w:rPr>
          <w:b/>
          <w:bCs/>
          <w:u w:val="single"/>
        </w:rPr>
        <w:t>(s)</w:t>
      </w:r>
      <w:r w:rsidR="00837342">
        <w:rPr>
          <w:b/>
          <w:bCs/>
          <w:u w:val="single"/>
        </w:rPr>
        <w:t>,</w:t>
      </w:r>
      <w:r>
        <w:rPr>
          <w:b/>
          <w:bCs/>
          <w:u w:val="single"/>
        </w:rPr>
        <w:t xml:space="preserve"> as applicable, will not be construed as endorsing </w:t>
      </w:r>
      <w:r w:rsidR="00837342">
        <w:rPr>
          <w:b/>
          <w:bCs/>
          <w:u w:val="single"/>
        </w:rPr>
        <w:t xml:space="preserve">the </w:t>
      </w:r>
      <w:r>
        <w:rPr>
          <w:b/>
          <w:bCs/>
          <w:u w:val="single"/>
        </w:rPr>
        <w:t xml:space="preserve">design or construction </w:t>
      </w:r>
      <w:r w:rsidR="00837342">
        <w:rPr>
          <w:b/>
          <w:bCs/>
          <w:u w:val="single"/>
        </w:rPr>
        <w:t>of the Facility</w:t>
      </w:r>
      <w:r w:rsidR="00297A60">
        <w:rPr>
          <w:b/>
          <w:bCs/>
          <w:u w:val="single"/>
        </w:rPr>
        <w:t xml:space="preserve">, including </w:t>
      </w:r>
      <w:r w:rsidR="00837342">
        <w:rPr>
          <w:b/>
          <w:bCs/>
          <w:u w:val="single"/>
        </w:rPr>
        <w:t>any Unit</w:t>
      </w:r>
      <w:r w:rsidR="00566640">
        <w:rPr>
          <w:b/>
          <w:bCs/>
          <w:u w:val="single"/>
        </w:rPr>
        <w:t>,</w:t>
      </w:r>
      <w:r w:rsidR="00837342">
        <w:rPr>
          <w:b/>
          <w:bCs/>
          <w:u w:val="single"/>
        </w:rPr>
        <w:t xml:space="preserve"> </w:t>
      </w:r>
      <w:r>
        <w:rPr>
          <w:b/>
          <w:bCs/>
          <w:u w:val="single"/>
        </w:rPr>
        <w:t>or as any warranty of the safety, durability, or reliability of the Facility</w:t>
      </w:r>
      <w:r w:rsidR="00297A60">
        <w:rPr>
          <w:b/>
          <w:bCs/>
          <w:u w:val="single"/>
        </w:rPr>
        <w:t>, including any Unit</w:t>
      </w:r>
      <w:r>
        <w:rPr>
          <w:b/>
          <w:bCs/>
          <w:u w:val="single"/>
        </w:rPr>
        <w:t>.</w:t>
      </w:r>
      <w:r>
        <w:t xml:space="preserve"> Seller must cooperate, and must cause its Representatives to cooperate, in: (I) </w:t>
      </w:r>
      <w:r>
        <w:lastRenderedPageBreak/>
        <w:t>providing the information GPC</w:t>
      </w:r>
      <w:r w:rsidR="002A6BDD">
        <w:t xml:space="preserve"> reasonably</w:t>
      </w:r>
      <w:r>
        <w:t xml:space="preserve"> requests; and (II) the physical inspections of the Facility as GPC may reasonably request during and after completion of construction. </w:t>
      </w:r>
    </w:p>
    <w:p w:rsidRPr="006E0A0D" w:rsidR="00D96326" w:rsidP="00D96326" w:rsidRDefault="00D96326" w14:paraId="58FBD541" w14:textId="77777777">
      <w:pPr>
        <w:pStyle w:val="zGTC02"/>
        <w:rPr>
          <w:rFonts w:ascii="Arial" w:hAnsi="Arial" w:eastAsia="PMingLiU" w:cs="Arial"/>
          <w:vanish/>
          <w:szCs w:val="20"/>
          <w:specVanish/>
        </w:rPr>
      </w:pPr>
      <w:bookmarkStart w:name="_Toc212475678" w:id="131"/>
      <w:bookmarkStart w:name="_Toc227838377" w:id="132"/>
      <w:r>
        <w:rPr>
          <w:rFonts w:ascii="Arial" w:hAnsi="Arial" w:cs="Arial"/>
        </w:rPr>
        <w:t>Availability of Records.</w:t>
      </w:r>
      <w:bookmarkEnd w:id="131"/>
      <w:bookmarkEnd w:id="132"/>
    </w:p>
    <w:p w:rsidRPr="006E0A0D" w:rsidR="00D96326" w:rsidRDefault="00D96326" w14:paraId="5031050A" w14:textId="66D62115">
      <w:pPr>
        <w:pStyle w:val="zGNormal6"/>
        <w:rPr>
          <w:rFonts w:eastAsia="PMingLiU"/>
        </w:rPr>
      </w:pPr>
      <w:r>
        <w:t xml:space="preserve"> Seller must keep complete and accurate records and all other data necessary for the purpose of proper </w:t>
      </w:r>
      <w:r w:rsidR="00A20E88">
        <w:t xml:space="preserve">PPA </w:t>
      </w:r>
      <w:r>
        <w:t>administration in accordance with the following guidelines:</w:t>
      </w:r>
    </w:p>
    <w:p w:rsidRPr="006E0A0D" w:rsidR="00D96326" w:rsidP="002C1654" w:rsidRDefault="00D96326" w14:paraId="039B3617" w14:textId="3E5924FA">
      <w:pPr>
        <w:pStyle w:val="zGTC03"/>
      </w:pPr>
      <w:r>
        <w:rPr>
          <w:b/>
          <w:bCs/>
        </w:rPr>
        <w:t>Holding Period.</w:t>
      </w:r>
      <w:r>
        <w:t xml:space="preserve"> Seller must maintain all records related to the </w:t>
      </w:r>
      <w:r w:rsidR="00297A60">
        <w:t xml:space="preserve">Facility </w:t>
      </w:r>
      <w:r>
        <w:t xml:space="preserve">and Seller’s performance under this PPA for a minimum of five years after the creation of the record or data and for any additional </w:t>
      </w:r>
      <w:proofErr w:type="gramStart"/>
      <w:r>
        <w:t>time period</w:t>
      </w:r>
      <w:proofErr w:type="gramEnd"/>
      <w:r>
        <w:t xml:space="preserve"> required by applicable law or a Governmental Authority. However, the records must be kept for as long as is necessary to complete any audit that began or was announced during the five-year period.</w:t>
      </w:r>
      <w:r>
        <w:rPr>
          <w:rFonts w:eastAsia="Calibri"/>
        </w:rPr>
        <w:t xml:space="preserve"> Despite any</w:t>
      </w:r>
      <w:r w:rsidR="00C410DE">
        <w:rPr>
          <w:rFonts w:eastAsia="Calibri"/>
        </w:rPr>
        <w:t xml:space="preserve"> other</w:t>
      </w:r>
      <w:r>
        <w:rPr>
          <w:rFonts w:eastAsia="Calibri"/>
        </w:rPr>
        <w:t xml:space="preserve"> PPA provision,</w:t>
      </w:r>
      <w:r w:rsidRPr="004929EF" w:rsidR="004929EF">
        <w:rPr>
          <w:rFonts w:eastAsia="Calibri"/>
        </w:rPr>
        <w:t xml:space="preserve"> </w:t>
      </w:r>
      <w:r w:rsidR="004929EF">
        <w:rPr>
          <w:rFonts w:eastAsia="Calibri"/>
        </w:rPr>
        <w:t>during the</w:t>
      </w:r>
      <w:r w:rsidR="008B4FD6">
        <w:rPr>
          <w:rFonts w:eastAsia="Calibri"/>
        </w:rPr>
        <w:t xml:space="preserve"> Term and </w:t>
      </w:r>
      <w:r w:rsidR="00600AC0">
        <w:rPr>
          <w:rFonts w:eastAsia="Calibri"/>
        </w:rPr>
        <w:t xml:space="preserve">for </w:t>
      </w:r>
      <w:r w:rsidR="009F1F3E">
        <w:rPr>
          <w:rFonts w:eastAsia="Calibri"/>
        </w:rPr>
        <w:t>six</w:t>
      </w:r>
      <w:r w:rsidR="00415CDC">
        <w:rPr>
          <w:rFonts w:eastAsia="Calibri"/>
        </w:rPr>
        <w:t xml:space="preserve"> </w:t>
      </w:r>
      <w:r w:rsidR="004929EF">
        <w:rPr>
          <w:rFonts w:eastAsia="Calibri"/>
        </w:rPr>
        <w:t>year</w:t>
      </w:r>
      <w:r w:rsidR="006A6660">
        <w:rPr>
          <w:rFonts w:eastAsia="Calibri"/>
        </w:rPr>
        <w:t>s</w:t>
      </w:r>
      <w:r w:rsidR="004929EF">
        <w:rPr>
          <w:rFonts w:eastAsia="Calibri"/>
        </w:rPr>
        <w:t xml:space="preserve"> </w:t>
      </w:r>
      <w:r w:rsidR="00600AC0">
        <w:rPr>
          <w:rFonts w:eastAsia="Calibri"/>
        </w:rPr>
        <w:t>after</w:t>
      </w:r>
      <w:r w:rsidR="004929EF">
        <w:rPr>
          <w:rFonts w:eastAsia="Calibri"/>
        </w:rPr>
        <w:t xml:space="preserve"> the </w:t>
      </w:r>
      <w:r w:rsidR="00600AC0">
        <w:rPr>
          <w:rFonts w:eastAsia="Calibri"/>
        </w:rPr>
        <w:t>Term</w:t>
      </w:r>
      <w:r w:rsidRPr="002D2A8F" w:rsidR="004929EF">
        <w:rPr>
          <w:rFonts w:eastAsia="Calibri"/>
        </w:rPr>
        <w:t xml:space="preserve">, </w:t>
      </w:r>
      <w:r>
        <w:rPr>
          <w:rFonts w:eastAsia="Calibri"/>
        </w:rPr>
        <w:t xml:space="preserve"> , Seller must provide </w:t>
      </w:r>
      <w:r>
        <w:t>GPC</w:t>
      </w:r>
      <w:r>
        <w:rPr>
          <w:rFonts w:eastAsia="Calibri"/>
        </w:rPr>
        <w:t xml:space="preserve"> with 30 Days’ prior notice</w:t>
      </w:r>
      <w:r w:rsidR="008573AB">
        <w:rPr>
          <w:rFonts w:eastAsia="Calibri"/>
        </w:rPr>
        <w:t xml:space="preserve"> before disposing of or destroying any record or data</w:t>
      </w:r>
      <w:r w:rsidR="006755A9">
        <w:rPr>
          <w:rFonts w:eastAsia="Calibri"/>
        </w:rPr>
        <w:t xml:space="preserve"> related to the Facility or Seller’s performance under this PPA</w:t>
      </w:r>
      <w:r>
        <w:rPr>
          <w:rFonts w:eastAsia="Calibri"/>
        </w:rPr>
        <w:t>.</w:t>
      </w:r>
    </w:p>
    <w:p w:rsidRPr="006E0A0D" w:rsidR="00D96326" w:rsidP="002C1654" w:rsidRDefault="00D96326" w14:paraId="7476C195" w14:textId="7CEC60E9">
      <w:pPr>
        <w:pStyle w:val="zGTC03"/>
      </w:pPr>
      <w:r>
        <w:rPr>
          <w:b/>
          <w:bCs/>
        </w:rPr>
        <w:t>Operating Logs.</w:t>
      </w:r>
      <w:r>
        <w:t xml:space="preserve"> Seller must maintain at the Facility an accurate and up-to-date operating log with records of: (</w:t>
      </w:r>
      <w:proofErr w:type="spellStart"/>
      <w:r>
        <w:t>i</w:t>
      </w:r>
      <w:proofErr w:type="spellEnd"/>
      <w:r>
        <w:t xml:space="preserve">) real and reactive power production for each Hour; (ii) changes in operating status and scheduled maintenance; (iii) Scheduled Outages, Maintenance Outages, Forced Outages, Forced Derates, and Force Majeure Events; (iv) any unusual condition found during an inspection; and (v) any significant event related to the operation of the </w:t>
      </w:r>
      <w:r w:rsidR="00297A60">
        <w:t>Facility</w:t>
      </w:r>
      <w:r>
        <w:t>.</w:t>
      </w:r>
    </w:p>
    <w:p w:rsidRPr="006E0A0D" w:rsidR="00D96326" w:rsidP="002C1654" w:rsidRDefault="00D96326" w14:paraId="0AED57EF" w14:textId="33D290C3">
      <w:pPr>
        <w:pStyle w:val="zGTC03"/>
      </w:pPr>
      <w:r>
        <w:rPr>
          <w:b/>
          <w:bCs/>
        </w:rPr>
        <w:t>GPC’s Access to Facility and PPA Records.</w:t>
      </w:r>
      <w:r>
        <w:t xml:space="preserve"> Upon reasonable advance notice and during normal business Hours, GPC will have the right from time to time to examine at the Facility, or at a location mutually agreed to by the Parties, the records and data relating to the </w:t>
      </w:r>
      <w:r w:rsidR="00297A60">
        <w:t xml:space="preserve">Facility </w:t>
      </w:r>
      <w:r>
        <w:t xml:space="preserve">and this PPA, including all historical test records relating to </w:t>
      </w:r>
      <w:r w:rsidR="00297A60">
        <w:t xml:space="preserve">each </w:t>
      </w:r>
      <w:r>
        <w:t>Unit, at the Facility.</w:t>
      </w:r>
    </w:p>
    <w:p w:rsidRPr="006E0A0D" w:rsidR="00D96326" w:rsidP="002C1654" w:rsidRDefault="00D96326" w14:paraId="4E532764" w14:textId="6CD30ED8">
      <w:pPr>
        <w:pStyle w:val="zGTC03"/>
      </w:pPr>
      <w:r>
        <w:rPr>
          <w:rFonts w:eastAsia="MS Mincho"/>
          <w:b/>
          <w:bCs/>
        </w:rPr>
        <w:t>G</w:t>
      </w:r>
      <w:r>
        <w:rPr>
          <w:b/>
          <w:bCs/>
        </w:rPr>
        <w:t>PC’s Access to Financial and Business Information.</w:t>
      </w:r>
      <w:r>
        <w:rPr>
          <w:rFonts w:eastAsia="MS Mincho"/>
        </w:rPr>
        <w:t xml:space="preserve"> At GPC’s request, throughout the Term, Seller </w:t>
      </w:r>
      <w:r>
        <w:t>must</w:t>
      </w:r>
      <w:r>
        <w:rPr>
          <w:rFonts w:eastAsia="MS Mincho"/>
        </w:rPr>
        <w:t xml:space="preserve"> </w:t>
      </w:r>
      <w:proofErr w:type="gramStart"/>
      <w:r>
        <w:rPr>
          <w:rFonts w:eastAsia="MS Mincho"/>
        </w:rPr>
        <w:t>provide to</w:t>
      </w:r>
      <w:proofErr w:type="gramEnd"/>
      <w:r>
        <w:rPr>
          <w:rFonts w:eastAsia="MS Mincho"/>
        </w:rPr>
        <w:t xml:space="preserve"> </w:t>
      </w:r>
      <w:r>
        <w:t>GPC</w:t>
      </w:r>
      <w:r>
        <w:rPr>
          <w:rFonts w:eastAsia="MS Mincho"/>
        </w:rPr>
        <w:t xml:space="preserve"> public and non-public financial and business information reasonably necessary for </w:t>
      </w:r>
      <w:r>
        <w:t>GPC</w:t>
      </w:r>
      <w:r>
        <w:rPr>
          <w:rFonts w:eastAsia="MS Mincho"/>
        </w:rPr>
        <w:t xml:space="preserve"> to make accounting determinations. Without limiting the preceding sentence, u</w:t>
      </w:r>
      <w:r>
        <w:rPr>
          <w:rFonts w:eastAsia="Calibri"/>
        </w:rPr>
        <w:t xml:space="preserve">pon reasonable notice to Seller, </w:t>
      </w:r>
      <w:r>
        <w:t>GPC</w:t>
      </w:r>
      <w:r>
        <w:rPr>
          <w:rFonts w:eastAsia="Calibri"/>
        </w:rPr>
        <w:t xml:space="preserve"> and GPC’s independent auditor will have the right to inspect, from time to time, Seller’s books and records as are reasonably necessary for </w:t>
      </w:r>
      <w:r>
        <w:t>GPC</w:t>
      </w:r>
      <w:r>
        <w:rPr>
          <w:rFonts w:eastAsia="Calibri"/>
        </w:rPr>
        <w:t xml:space="preserve"> to determine whether Seller constitutes a VIE or this PPA represents a VI. To the extent the inspection requires access to Seller’s Confidential Information, the information will constitute Confidential Information subject to Section 20.16 (</w:t>
      </w:r>
      <w:r>
        <w:rPr>
          <w:rFonts w:eastAsia="Calibri"/>
          <w:i/>
          <w:iCs/>
        </w:rPr>
        <w:t>Confidentiality</w:t>
      </w:r>
      <w:r>
        <w:rPr>
          <w:rFonts w:eastAsia="Calibri"/>
        </w:rPr>
        <w:t>).</w:t>
      </w:r>
    </w:p>
    <w:p w:rsidRPr="006E0A0D" w:rsidR="00D96326" w:rsidP="002C1654" w:rsidRDefault="00D96326" w14:paraId="671B10AD" w14:textId="30086B39">
      <w:pPr>
        <w:pStyle w:val="zGTC03"/>
      </w:pPr>
      <w:r>
        <w:rPr>
          <w:b/>
          <w:bCs/>
        </w:rPr>
        <w:t>GADS Data.</w:t>
      </w:r>
      <w:r>
        <w:t xml:space="preserve"> </w:t>
      </w:r>
      <w:r w:rsidRPr="00425E31" w:rsidR="00D12858">
        <w:t xml:space="preserve">Seller must </w:t>
      </w:r>
      <w:proofErr w:type="gramStart"/>
      <w:r w:rsidRPr="00425E31" w:rsidR="00D12858">
        <w:t>provide to</w:t>
      </w:r>
      <w:proofErr w:type="gramEnd"/>
      <w:r w:rsidRPr="00425E31" w:rsidR="00D12858">
        <w:t xml:space="preserve"> GPC, by no later than the 10</w:t>
      </w:r>
      <w:r w:rsidRPr="000E3C93" w:rsidR="00D12858">
        <w:rPr>
          <w:vertAlign w:val="superscript"/>
        </w:rPr>
        <w:t>th</w:t>
      </w:r>
      <w:r w:rsidRPr="00425E31" w:rsidR="00D12858">
        <w:t xml:space="preserve"> Day of each Month, all data for the preceding Month relating to the Facility that is required by applicable law to be reported to the NERC Generation Availability Data System (GADS) (or any successor system or other applicable system). Without limiting the previous sentence, Seller must use commercially reasonable efforts to obtain and </w:t>
      </w:r>
      <w:proofErr w:type="gramStart"/>
      <w:r w:rsidRPr="00425E31" w:rsidR="00D12858">
        <w:t>provide to</w:t>
      </w:r>
      <w:proofErr w:type="gramEnd"/>
      <w:r w:rsidRPr="00425E31" w:rsidR="00D12858">
        <w:t xml:space="preserve"> GPC any such data not in Seller’s possession or control.</w:t>
      </w:r>
    </w:p>
    <w:p w:rsidRPr="006E0A0D" w:rsidR="00D96326" w:rsidP="00D96326" w:rsidRDefault="00D96326" w14:paraId="145BA587" w14:textId="77777777">
      <w:pPr>
        <w:pStyle w:val="zGTC02"/>
        <w:rPr>
          <w:rFonts w:ascii="Arial" w:hAnsi="Arial" w:eastAsia="PMingLiU" w:cs="Arial"/>
          <w:vanish/>
          <w:szCs w:val="20"/>
          <w:specVanish/>
        </w:rPr>
      </w:pPr>
      <w:bookmarkStart w:name="_Toc212475679" w:id="133"/>
      <w:bookmarkStart w:name="_Toc227838378" w:id="134"/>
      <w:r>
        <w:rPr>
          <w:rFonts w:ascii="Arial" w:hAnsi="Arial" w:cs="Arial"/>
          <w:szCs w:val="20"/>
        </w:rPr>
        <w:t>Effect of GPC Action.</w:t>
      </w:r>
      <w:bookmarkEnd w:id="133"/>
      <w:bookmarkEnd w:id="134"/>
    </w:p>
    <w:p w:rsidRPr="00F10071" w:rsidR="00D96326" w:rsidRDefault="00D96326" w14:paraId="1AE9D601" w14:textId="2740C8D2">
      <w:pPr>
        <w:pStyle w:val="zGNormal"/>
      </w:pPr>
      <w:r>
        <w:t xml:space="preserve"> Seller understands and agrees that GPC’s receipt and review of any material related to the Project or any physical inspection of the Facility GPC conducts under any PPA provision is solely for GPC’s own information. </w:t>
      </w:r>
      <w:r>
        <w:rPr>
          <w:b/>
          <w:bCs/>
          <w:u w:val="single"/>
        </w:rPr>
        <w:t xml:space="preserve">By conducting the review or inspection, GPC makes no endorsement of the design or representation or warranty of the safety, durability, or reliability of the Facility, all of which are </w:t>
      </w:r>
      <w:r w:rsidR="00E668B3">
        <w:rPr>
          <w:b/>
          <w:bCs/>
          <w:u w:val="single"/>
        </w:rPr>
        <w:t>the</w:t>
      </w:r>
      <w:r>
        <w:rPr>
          <w:b/>
          <w:bCs/>
          <w:u w:val="single"/>
        </w:rPr>
        <w:t xml:space="preserve"> sole responsibility </w:t>
      </w:r>
      <w:r w:rsidR="00E668B3">
        <w:rPr>
          <w:b/>
          <w:bCs/>
          <w:u w:val="single"/>
        </w:rPr>
        <w:t xml:space="preserve">of Seller </w:t>
      </w:r>
      <w:r>
        <w:rPr>
          <w:b/>
          <w:bCs/>
          <w:u w:val="single"/>
        </w:rPr>
        <w:t>in accordance with the terms of this PPA, and GPC will not be deemed to have accepted any condition of the Facility that is not in full compliance with the terms of this PPA.</w:t>
      </w:r>
      <w:r>
        <w:t xml:space="preserve"> Seller must not represent to any third party that, because of GPC’s receipt </w:t>
      </w:r>
      <w:r w:rsidR="007A28AD">
        <w:t>or</w:t>
      </w:r>
      <w:r>
        <w:t xml:space="preserve"> review of any material or any inspection, GPC is in any way responsible for the engineering or construction soundness or operational practice of the Facility.</w:t>
      </w:r>
    </w:p>
    <w:p w:rsidRPr="00F10071" w:rsidR="00D96326" w:rsidP="00D96326" w:rsidRDefault="00D96326" w14:paraId="17C3B36A" w14:textId="77777777">
      <w:pPr>
        <w:pStyle w:val="zGTC02"/>
        <w:rPr>
          <w:rFonts w:ascii="Arial" w:hAnsi="Arial" w:eastAsia="PMingLiU" w:cs="Arial"/>
          <w:vanish/>
          <w:szCs w:val="20"/>
          <w:specVanish/>
        </w:rPr>
      </w:pPr>
      <w:bookmarkStart w:name="_Toc212475680" w:id="135"/>
      <w:bookmarkStart w:name="_Toc227838379" w:id="136"/>
      <w:r>
        <w:rPr>
          <w:rFonts w:ascii="Arial" w:hAnsi="Arial" w:cs="Arial"/>
          <w:szCs w:val="20"/>
        </w:rPr>
        <w:t>Operating Committee.</w:t>
      </w:r>
      <w:bookmarkEnd w:id="135"/>
      <w:bookmarkEnd w:id="136"/>
    </w:p>
    <w:p w:rsidRPr="00F10071" w:rsidR="00D96326" w:rsidRDefault="00D96326" w14:paraId="49C6B52F" w14:textId="77777777">
      <w:pPr>
        <w:pStyle w:val="zGTC02"/>
        <w:numPr>
          <w:ilvl w:val="0"/>
          <w:numId w:val="0"/>
        </w:numPr>
        <w:rPr>
          <w:rFonts w:ascii="Arial" w:hAnsi="Arial" w:cs="Arial"/>
          <w:szCs w:val="20"/>
        </w:rPr>
      </w:pPr>
    </w:p>
    <w:p w:rsidRPr="002C1654" w:rsidR="00D96326" w:rsidP="002C1654" w:rsidRDefault="00D96326" w14:paraId="6721B772" w14:textId="030EF8FE">
      <w:pPr>
        <w:pStyle w:val="zGTC03"/>
      </w:pPr>
      <w:r>
        <w:rPr>
          <w:b/>
          <w:bCs/>
        </w:rPr>
        <w:t xml:space="preserve">Appointments. </w:t>
      </w:r>
      <w:r>
        <w:t xml:space="preserve">The Parties will establish an Operating Committee comprised of two Operating Representatives, one appointed by each of Seller and GPC. Each Party will provide notice of the appointment to the other Party. Each Party may change </w:t>
      </w:r>
      <w:r w:rsidR="00145B5C">
        <w:t>its</w:t>
      </w:r>
      <w:r>
        <w:t xml:space="preserve"> Operating Representative appointment at any time by notice</w:t>
      </w:r>
      <w:r w:rsidR="005B16A6">
        <w:t xml:space="preserve"> to the other Party</w:t>
      </w:r>
      <w:r>
        <w:t xml:space="preserve">. The Operating Representatives will meet as necessary, but not less often than once each calendar year, at a mutually agreeable time and place upon prior notice. The Operating Representatives will represent the Parties in all matters arising under this PPA that </w:t>
      </w:r>
      <w:r w:rsidR="00145B5C">
        <w:t>are</w:t>
      </w:r>
      <w:r>
        <w:t xml:space="preserve"> delegated to them by mutual agreement of the Parties, but the Operating Representatives will not have any authority to modify or amend the terms of this PPA.</w:t>
      </w:r>
    </w:p>
    <w:p w:rsidRPr="002C1654" w:rsidR="00D96326" w:rsidP="002C1654" w:rsidRDefault="00D96326" w14:paraId="1387756C" w14:textId="42B5BCA9">
      <w:pPr>
        <w:pStyle w:val="zGTC03"/>
      </w:pPr>
      <w:r>
        <w:rPr>
          <w:b/>
          <w:bCs/>
        </w:rPr>
        <w:t>Cooperation.</w:t>
      </w:r>
      <w:r>
        <w:t xml:space="preserve"> Each Party will cooperate in providing the Operating </w:t>
      </w:r>
      <w:proofErr w:type="gramStart"/>
      <w:r>
        <w:t>Representatives</w:t>
      </w:r>
      <w:proofErr w:type="gramEnd"/>
      <w:r>
        <w:t xml:space="preserve"> all information required in the performance of their duties. If the Operating Representatives are unable to agree on any </w:t>
      </w:r>
      <w:r>
        <w:lastRenderedPageBreak/>
        <w:t>matter falling under their jurisdiction, the Operating Representatives will submit the matter to senior officers for discussion and resolution. All decisions and agreements made by the Operating Representatives or their principals must be evidenced in writing.</w:t>
      </w:r>
    </w:p>
    <w:p w:rsidRPr="00F10071" w:rsidR="003A1A4D" w:rsidP="003A1A4D" w:rsidRDefault="00D96326" w14:paraId="066BB4D2" w14:textId="7089AEE3">
      <w:pPr>
        <w:pStyle w:val="zGTC02"/>
        <w:rPr>
          <w:rFonts w:ascii="Arial" w:hAnsi="Arial" w:eastAsia="PMingLiU" w:cs="Arial"/>
          <w:vanish/>
          <w:szCs w:val="20"/>
          <w:specVanish/>
        </w:rPr>
      </w:pPr>
      <w:bookmarkStart w:name="_Toc212475681" w:id="137"/>
      <w:bookmarkStart w:name="_Toc227838380" w:id="138"/>
      <w:r>
        <w:t>Cyber Security.</w:t>
      </w:r>
      <w:bookmarkEnd w:id="137"/>
      <w:bookmarkEnd w:id="138"/>
    </w:p>
    <w:p w:rsidRPr="003C2E95" w:rsidR="00D96326" w:rsidP="003C2E95" w:rsidRDefault="00D96326" w14:paraId="5F13989E" w14:textId="7C43A684">
      <w:pPr>
        <w:pStyle w:val="zGNormal"/>
        <w:rPr>
          <w:rStyle w:val="zGNormalChar"/>
        </w:rPr>
      </w:pPr>
      <w:r>
        <w:t xml:space="preserve"> The </w:t>
      </w:r>
      <w:r>
        <w:rPr>
          <w:rStyle w:val="ui-provider"/>
        </w:rPr>
        <w:t xml:space="preserve">Facility must comply with </w:t>
      </w:r>
      <w:r>
        <w:t>the requirements for Bulk Electric System generation facilities in North America set forth in the NERC reliability standards (</w:t>
      </w:r>
      <w:r>
        <w:rPr>
          <w:i/>
          <w:iCs/>
        </w:rPr>
        <w:t>Cyber Security Standards</w:t>
      </w:r>
      <w:r>
        <w:t>) created pursuant to FERC Order 706 (</w:t>
      </w:r>
      <w:r>
        <w:rPr>
          <w:i/>
          <w:iCs/>
        </w:rPr>
        <w:t>Mandatory Reliability</w:t>
      </w:r>
      <w:r>
        <w:rPr>
          <w:i/>
        </w:rPr>
        <w:t xml:space="preserve"> Standards</w:t>
      </w:r>
      <w:r>
        <w:rPr>
          <w:i/>
          <w:iCs/>
        </w:rPr>
        <w:t xml:space="preserve"> for Critical Infrastructure Protection</w:t>
      </w:r>
      <w:r>
        <w:t xml:space="preserve">), other applicable </w:t>
      </w:r>
      <w:proofErr w:type="gramStart"/>
      <w:r>
        <w:t>law</w:t>
      </w:r>
      <w:proofErr w:type="gramEnd"/>
      <w:r>
        <w:t>, or Prudent Industry Practices</w:t>
      </w:r>
      <w:r>
        <w:rPr>
          <w:rStyle w:val="ui-provider"/>
        </w:rPr>
        <w:t xml:space="preserve">. </w:t>
      </w:r>
      <w:r>
        <w:t>With respect to any actual or suspected cyber security incident that compromises, disrupts, or constitutes an attempt to compromise or disrupt: (</w:t>
      </w:r>
      <w:proofErr w:type="spellStart"/>
      <w:r>
        <w:t>i</w:t>
      </w:r>
      <w:proofErr w:type="spellEnd"/>
      <w:r>
        <w:t>) Seller’s cyber security or physical security at the Facility; (ii) the performance of Seller’s obligations regarding the operation of the Facility; or (iii) products, software, hardware, or systems provided or to be provided by Seller under this PPA (a “</w:t>
      </w:r>
      <w:r>
        <w:rPr>
          <w:b/>
          <w:bCs/>
        </w:rPr>
        <w:t>Cyber Security Incident</w:t>
      </w:r>
      <w:r>
        <w:t>”), Seller must report any Cyber Security Incident to GPC within 24 Hours after discovery.</w:t>
      </w:r>
      <w:r>
        <w:rPr>
          <w:rStyle w:val="zGNormalChar"/>
        </w:rPr>
        <w:t xml:space="preserve"> Seller must take immediate steps to address any Cyber Security Incident</w:t>
      </w:r>
      <w:r w:rsidR="0037416D">
        <w:rPr>
          <w:rStyle w:val="zGNormalChar"/>
        </w:rPr>
        <w:t>,</w:t>
      </w:r>
      <w:r>
        <w:rPr>
          <w:rStyle w:val="zGNormalChar"/>
        </w:rPr>
        <w:t xml:space="preserve"> and to mitigate </w:t>
      </w:r>
      <w:r w:rsidR="0037416D">
        <w:rPr>
          <w:rStyle w:val="zGNormalChar"/>
        </w:rPr>
        <w:t>any</w:t>
      </w:r>
      <w:r>
        <w:rPr>
          <w:rStyle w:val="zGNormalChar"/>
        </w:rPr>
        <w:t xml:space="preserve"> impact to the Facility and GPC </w:t>
      </w:r>
      <w:proofErr w:type="gramStart"/>
      <w:r>
        <w:rPr>
          <w:rStyle w:val="zGNormalChar"/>
        </w:rPr>
        <w:t>as a result of</w:t>
      </w:r>
      <w:proofErr w:type="gramEnd"/>
      <w:r>
        <w:rPr>
          <w:rStyle w:val="zGNormalChar"/>
        </w:rPr>
        <w:t xml:space="preserve"> a Cyber Security Incident,</w:t>
      </w:r>
      <w:r w:rsidR="0037416D">
        <w:rPr>
          <w:rStyle w:val="zGNormalChar"/>
        </w:rPr>
        <w:t xml:space="preserve"> up to and</w:t>
      </w:r>
      <w:r>
        <w:rPr>
          <w:rStyle w:val="zGNormalChar"/>
        </w:rPr>
        <w:t xml:space="preserve"> including the replacement of</w:t>
      </w:r>
      <w:r w:rsidR="0037416D">
        <w:rPr>
          <w:rStyle w:val="zGNormalChar"/>
        </w:rPr>
        <w:t xml:space="preserve"> any</w:t>
      </w:r>
      <w:r>
        <w:rPr>
          <w:rStyle w:val="zGNormalChar"/>
        </w:rPr>
        <w:t xml:space="preserve"> affected equipment</w:t>
      </w:r>
      <w:r w:rsidR="003A58CE">
        <w:rPr>
          <w:rStyle w:val="zGNormalChar"/>
        </w:rPr>
        <w:t>, if applicable</w:t>
      </w:r>
      <w:r>
        <w:rPr>
          <w:rStyle w:val="zGNormalChar"/>
        </w:rPr>
        <w:t>.</w:t>
      </w:r>
    </w:p>
    <w:p w:rsidRPr="00F10071" w:rsidR="00D96326" w:rsidP="00D96326" w:rsidRDefault="00D96326" w14:paraId="0DD2C516" w14:textId="77777777">
      <w:pPr>
        <w:pStyle w:val="zGTC01"/>
        <w:rPr>
          <w:rFonts w:ascii="Arial" w:hAnsi="Arial"/>
          <w:szCs w:val="20"/>
        </w:rPr>
      </w:pPr>
      <w:bookmarkStart w:name="_Toc212475682" w:id="139"/>
      <w:bookmarkStart w:name="_Toc227838381" w:id="140"/>
      <w:r>
        <w:rPr>
          <w:rFonts w:ascii="Arial" w:hAnsi="Arial"/>
          <w:szCs w:val="20"/>
        </w:rPr>
        <w:t>Fuel Supply Allowances</w:t>
      </w:r>
      <w:bookmarkEnd w:id="139"/>
      <w:bookmarkEnd w:id="140"/>
    </w:p>
    <w:p w:rsidRPr="00F10071" w:rsidR="00D96326" w:rsidP="00D96326" w:rsidRDefault="00D96326" w14:paraId="69DF8EBE" w14:textId="77777777">
      <w:pPr>
        <w:pStyle w:val="zGTC02"/>
        <w:rPr>
          <w:rFonts w:ascii="Arial" w:hAnsi="Arial" w:eastAsia="PMingLiU" w:cs="Arial"/>
          <w:vanish/>
          <w:szCs w:val="20"/>
          <w:specVanish/>
        </w:rPr>
      </w:pPr>
      <w:bookmarkStart w:name="_Toc212475683" w:id="141"/>
      <w:bookmarkStart w:name="_Toc227838382" w:id="142"/>
      <w:r>
        <w:rPr>
          <w:rFonts w:ascii="Arial" w:hAnsi="Arial" w:cs="Arial"/>
          <w:szCs w:val="20"/>
        </w:rPr>
        <w:t>Overview.</w:t>
      </w:r>
      <w:bookmarkEnd w:id="141"/>
      <w:bookmarkEnd w:id="142"/>
    </w:p>
    <w:p w:rsidRPr="00F10071" w:rsidR="00D96326" w:rsidRDefault="00D96326" w14:paraId="4074003E" w14:textId="77777777">
      <w:pPr>
        <w:pStyle w:val="zGTC02"/>
        <w:numPr>
          <w:ilvl w:val="0"/>
          <w:numId w:val="0"/>
        </w:numPr>
        <w:rPr>
          <w:rFonts w:ascii="Arial" w:hAnsi="Arial" w:cs="Arial"/>
          <w:szCs w:val="20"/>
        </w:rPr>
      </w:pPr>
    </w:p>
    <w:p w:rsidRPr="006E0A0D" w:rsidR="00D96326" w:rsidP="00B7441B" w:rsidRDefault="00D96326" w14:paraId="3D3A0F9C" w14:textId="4B7088EC">
      <w:pPr>
        <w:pStyle w:val="zGTC03"/>
      </w:pPr>
      <w:r>
        <w:rPr>
          <w:b/>
          <w:bCs/>
        </w:rPr>
        <w:t xml:space="preserve">Natural Gas Availability; Gas Supply Plan; Fuel Oil. </w:t>
      </w:r>
      <w:r>
        <w:t xml:space="preserve">Before the Delivery Commencement Date, Seller must acquire and pay for any Natural Gas and Fuel Oil used at the </w:t>
      </w:r>
      <w:r w:rsidR="001B7A7B">
        <w:t>Facility</w:t>
      </w:r>
      <w:r>
        <w:t xml:space="preserve">. </w:t>
      </w:r>
      <w:r w:rsidRPr="003367DE" w:rsidR="003367DE">
        <w:t>At all times following the Delivery Commencement Date during the Term: (</w:t>
      </w:r>
      <w:proofErr w:type="spellStart"/>
      <w:r w:rsidRPr="003367DE" w:rsidR="003367DE">
        <w:t>i</w:t>
      </w:r>
      <w:proofErr w:type="spellEnd"/>
      <w:r w:rsidRPr="003367DE" w:rsidR="003367DE">
        <w:t xml:space="preserve">) the </w:t>
      </w:r>
      <w:r w:rsidR="001B7A7B">
        <w:t>Facility</w:t>
      </w:r>
      <w:r w:rsidRPr="003367DE" w:rsidR="003367DE">
        <w:t xml:space="preserve"> must be capable of utilizing Natural Gas meeting the Gas Quality Standards to produce the energy committed to GPC under this PPA, and (ii) Seller must use commercially reasonable efforts to maintain in </w:t>
      </w:r>
      <w:r w:rsidR="007265C8">
        <w:t>the</w:t>
      </w:r>
      <w:r w:rsidRPr="003367DE" w:rsidR="003367DE">
        <w:t xml:space="preserve"> Air Permit the ability to utilize Fuel Oil meeting the Fuel Oil Specifications to produce the energy committed to GPC under this PPA</w:t>
      </w:r>
      <w:r>
        <w:t>. GPC will develop a Gas Supply Plan.</w:t>
      </w:r>
    </w:p>
    <w:p w:rsidRPr="006E0A0D" w:rsidR="00D96326" w:rsidP="00B7441B" w:rsidRDefault="00D96326" w14:paraId="77759947" w14:textId="3741B11C">
      <w:pPr>
        <w:pStyle w:val="zGTC03"/>
      </w:pPr>
      <w:r>
        <w:rPr>
          <w:b/>
          <w:bCs/>
        </w:rPr>
        <w:t xml:space="preserve">Monthly Fuel Adjustments; Natural Gas Responsibility; Fuel Oil Responsibility. </w:t>
      </w:r>
      <w:r>
        <w:t>In accordance with Exhibit C (</w:t>
      </w:r>
      <w:r>
        <w:rPr>
          <w:i/>
          <w:iCs/>
        </w:rPr>
        <w:t>Energy Payment Calculation</w:t>
      </w:r>
      <w:r>
        <w:t>), Section 1.4 (</w:t>
      </w:r>
      <w:r>
        <w:rPr>
          <w:i/>
          <w:iCs/>
        </w:rPr>
        <w:t>Monthly Fuel Adjustment</w:t>
      </w:r>
      <w:r>
        <w:t>), GPC will receive or pay, as the case may be, a Monthly Fuel Adjustment based on the Guaranteed Heat Rate described in Exhibit F (</w:t>
      </w:r>
      <w:r>
        <w:rPr>
          <w:i/>
          <w:iCs/>
        </w:rPr>
        <w:t>Guaranteed Heat Rates</w:t>
      </w:r>
      <w:r>
        <w:t>) for all Natural Gas and Fuel Oil used to generate energy that is delivered to GPC in accordance with GPC’s Scheduling Instructions, including ramping: (</w:t>
      </w:r>
      <w:proofErr w:type="spellStart"/>
      <w:r>
        <w:t>i</w:t>
      </w:r>
      <w:proofErr w:type="spellEnd"/>
      <w:r>
        <w:t xml:space="preserve">) from synchronization to Minimum Capacity (Startup Energy); (ii) from Minimum Capacity to Base Operating Mode; (iii) from Base Operating Mode to Minimum Capacity; and (iv) from Minimum Capacity to offline. The ramping energy will be multiplied by the appropriate Guaranteed Heat Rates in accordance with Exhibit F to determine the Daily Guaranteed Fuel quantity during ramping. The Guaranteed Heat Rate for ramping from synchronization to Minimum Capacity will be the Guaranteed Heat Rate for Minimum Capacity. Seller will be responsible for the cost of Natural Gas and Fuel Oil for the </w:t>
      </w:r>
      <w:r w:rsidR="001B7A7B">
        <w:t xml:space="preserve">Facility </w:t>
      </w:r>
      <w:r>
        <w:t xml:space="preserve">start-up before synchronization. Each Party will be responsible in accordance with </w:t>
      </w:r>
      <w:r>
        <w:rPr>
          <w:bCs/>
        </w:rPr>
        <w:t>Exhibit B (</w:t>
      </w:r>
      <w:r>
        <w:rPr>
          <w:bCs/>
          <w:i/>
          <w:iCs/>
        </w:rPr>
        <w:t>Capacity; Capacity Payments</w:t>
      </w:r>
      <w:r>
        <w:rPr>
          <w:i/>
        </w:rPr>
        <w:t xml:space="preserve"> and Payment Reductions; Buydown</w:t>
      </w:r>
      <w:r>
        <w:rPr>
          <w:bCs/>
        </w:rPr>
        <w:t>), Section 1.2 (</w:t>
      </w:r>
      <w:r>
        <w:rPr>
          <w:bCs/>
          <w:i/>
          <w:iCs/>
        </w:rPr>
        <w:t>Tested Reliable Capacity; Performance Tests</w:t>
      </w:r>
      <w:r>
        <w:rPr>
          <w:bCs/>
        </w:rPr>
        <w:t>)</w:t>
      </w:r>
      <w:r>
        <w:t xml:space="preserve"> for the cost of Natural Gas and Fuel Oil, including transportation charges, required for Performance Testing.</w:t>
      </w:r>
    </w:p>
    <w:p w:rsidRPr="006E0A0D" w:rsidR="00D96326" w:rsidP="00D96326" w:rsidRDefault="00D96326" w14:paraId="75862F2D" w14:textId="77777777">
      <w:pPr>
        <w:pStyle w:val="zGTC02"/>
        <w:rPr>
          <w:rFonts w:ascii="Arial" w:hAnsi="Arial" w:eastAsia="PMingLiU" w:cs="Arial"/>
          <w:vanish/>
          <w:szCs w:val="20"/>
          <w:specVanish/>
        </w:rPr>
      </w:pPr>
      <w:bookmarkStart w:name="_Toc212475684" w:id="143"/>
      <w:bookmarkStart w:name="_Toc227838383" w:id="144"/>
      <w:r>
        <w:rPr>
          <w:rFonts w:ascii="Arial" w:hAnsi="Arial" w:cs="Arial"/>
          <w:szCs w:val="20"/>
        </w:rPr>
        <w:t>Natural Gas Transportation Capacity.</w:t>
      </w:r>
      <w:bookmarkEnd w:id="143"/>
      <w:bookmarkEnd w:id="144"/>
    </w:p>
    <w:p w:rsidRPr="006E0A0D" w:rsidR="00D96326" w:rsidRDefault="00D96326" w14:paraId="37CCD140" w14:textId="77777777">
      <w:pPr>
        <w:pStyle w:val="zGTC02"/>
        <w:numPr>
          <w:ilvl w:val="0"/>
          <w:numId w:val="0"/>
        </w:numPr>
        <w:rPr>
          <w:rFonts w:ascii="Arial" w:hAnsi="Arial" w:cs="Arial"/>
          <w:szCs w:val="20"/>
        </w:rPr>
      </w:pPr>
    </w:p>
    <w:p w:rsidRPr="006E0A0D" w:rsidR="00D96326" w:rsidP="00B7441B" w:rsidRDefault="00D96326" w14:paraId="4784607D" w14:textId="6E343DCF">
      <w:pPr>
        <w:pStyle w:val="zGTC03"/>
      </w:pPr>
      <w:r>
        <w:rPr>
          <w:b/>
          <w:bCs/>
        </w:rPr>
        <w:t xml:space="preserve">Gas Supply Plan Costs. </w:t>
      </w:r>
      <w:proofErr w:type="gramStart"/>
      <w:r>
        <w:t>Except</w:t>
      </w:r>
      <w:proofErr w:type="gramEnd"/>
      <w:r>
        <w:t xml:space="preserve"> as provided in this Part 11 (</w:t>
      </w:r>
      <w:r>
        <w:rPr>
          <w:i/>
          <w:iCs/>
        </w:rPr>
        <w:t>Fuel Supply Allowances</w:t>
      </w:r>
      <w:r>
        <w:t xml:space="preserve">), GPC will bear all costs incurred under the Gas Supply Plan. To the extent GPC desires to have or use storage capacity to better manage the Natural Gas requirements of the </w:t>
      </w:r>
      <w:r w:rsidR="001B7A7B">
        <w:t>Facility</w:t>
      </w:r>
      <w:r>
        <w:t>, GPC will obtain such capacity at its expense.</w:t>
      </w:r>
    </w:p>
    <w:p w:rsidRPr="006E0A0D" w:rsidR="00D96326" w:rsidP="00B7441B" w:rsidRDefault="00D96326" w14:paraId="3C7665E4" w14:textId="77ED604A">
      <w:pPr>
        <w:pStyle w:val="zGTC03"/>
      </w:pPr>
      <w:r>
        <w:rPr>
          <w:b/>
          <w:bCs/>
        </w:rPr>
        <w:t>Facilities, Infrastructure, and Property Interests.</w:t>
      </w:r>
      <w:r>
        <w:t xml:space="preserve"> At Seller’s expense, Seller must cause to be acquired, constructed, owned, operated, and maintained, all facilities, infrastructure, and property interests, including conditioning facilities (such as filtering, separation, and dehydration facilities), pressure regulation, and instrumentation, in each case that are necessary for Seller to receive, measure, and use Natural Gas delivered by GPC at the Gas Delivery Point so as to enable the Facility to produce energy as committed to GPC under this PPA, including all costs associated with the construction and operation of the gas pipeline lateral(s) necessary to connect the Facility to the fuel supplier’s (or suppliers’) gas pipeline(s). Seller is also responsible for all costs associated with the construction, operation, and maintenance of all infrastructure and equipment (including the infrastructure and equipment of any transporter or fuel supplier) associated with the interconnection of transporters’ and/or fuel supplier(s)’ gas pipeline lateral(s) or other piping and equipment with the Facility and the facilities and infrastructure </w:t>
      </w:r>
      <w:r>
        <w:lastRenderedPageBreak/>
        <w:t>and property interests required of Seller under this Section 11.2.2 (</w:t>
      </w:r>
      <w:r>
        <w:rPr>
          <w:i/>
          <w:iCs/>
        </w:rPr>
        <w:t>Facilities, Infrastructure, and Property Interests</w:t>
      </w:r>
      <w:r>
        <w:t>).</w:t>
      </w:r>
    </w:p>
    <w:p w:rsidRPr="006E0A0D" w:rsidR="00D96326" w:rsidP="00B7441B" w:rsidRDefault="00D96326" w14:paraId="252FA470" w14:textId="653428B4">
      <w:pPr>
        <w:pStyle w:val="zGTC03"/>
        <w:rPr>
          <w:rStyle w:val="DeltaViewInsertion"/>
          <w:rFonts w:cs="Arial"/>
          <w:color w:val="auto"/>
          <w:szCs w:val="20"/>
          <w:u w:val="none"/>
        </w:rPr>
      </w:pPr>
      <w:r>
        <w:rPr>
          <w:b/>
          <w:bCs/>
          <w:w w:val="0"/>
        </w:rPr>
        <w:t xml:space="preserve">Acceptance at Gas Delivery Point. </w:t>
      </w:r>
      <w:r>
        <w:rPr>
          <w:w w:val="0"/>
        </w:rPr>
        <w:t>Seller agrees to accept at the Gas Delivery Point any Natural Gas that: (</w:t>
      </w:r>
      <w:proofErr w:type="spellStart"/>
      <w:r>
        <w:rPr>
          <w:w w:val="0"/>
        </w:rPr>
        <w:t>i</w:t>
      </w:r>
      <w:proofErr w:type="spellEnd"/>
      <w:r>
        <w:rPr>
          <w:w w:val="0"/>
        </w:rPr>
        <w:t>) meets the gas quality standards for delivered Natural Gas under the applicable gas transportation provider’s</w:t>
      </w:r>
      <w:r>
        <w:rPr>
          <w:b/>
          <w:bCs/>
          <w:i/>
          <w:iCs/>
          <w:w w:val="0"/>
        </w:rPr>
        <w:t xml:space="preserve"> </w:t>
      </w:r>
      <w:r>
        <w:rPr>
          <w:w w:val="0"/>
        </w:rPr>
        <w:t xml:space="preserve">FERC gas tariff and the applicable transportation agreement(s); (ii) </w:t>
      </w:r>
      <w:r>
        <w:rPr>
          <w:rStyle w:val="DeltaViewInsertion"/>
          <w:rFonts w:cs="Arial"/>
          <w:color w:val="auto"/>
          <w:szCs w:val="20"/>
          <w:u w:val="none"/>
        </w:rPr>
        <w:t xml:space="preserve">does not meet the gas quality standards described in the immediately preceding provision, so long as the Natural Gas would not, in Seller’s reasonable discretion, have a material adverse effect on the </w:t>
      </w:r>
      <w:r w:rsidR="00D86478">
        <w:rPr>
          <w:rStyle w:val="DeltaViewInsertion"/>
          <w:rFonts w:cs="Arial"/>
          <w:color w:val="auto"/>
          <w:szCs w:val="20"/>
          <w:u w:val="none"/>
        </w:rPr>
        <w:t>Facility</w:t>
      </w:r>
      <w:r>
        <w:rPr>
          <w:rStyle w:val="DeltaViewInsertion"/>
          <w:rFonts w:cs="Arial"/>
          <w:color w:val="auto"/>
          <w:szCs w:val="20"/>
          <w:u w:val="none"/>
        </w:rPr>
        <w:t>; or (iii) Seller allows to flow beyond the Gas Delivery Point. If Seller refuses to accept delivery of Natural Gas that does not meet the gas quality standards described in item (</w:t>
      </w:r>
      <w:proofErr w:type="spellStart"/>
      <w:r>
        <w:rPr>
          <w:rStyle w:val="DeltaViewInsertion"/>
          <w:rFonts w:cs="Arial"/>
          <w:color w:val="auto"/>
          <w:szCs w:val="20"/>
          <w:u w:val="none"/>
        </w:rPr>
        <w:t>i</w:t>
      </w:r>
      <w:proofErr w:type="spellEnd"/>
      <w:r>
        <w:rPr>
          <w:rStyle w:val="DeltaViewInsertion"/>
          <w:rFonts w:cs="Arial"/>
          <w:color w:val="auto"/>
          <w:szCs w:val="20"/>
          <w:u w:val="none"/>
        </w:rPr>
        <w:t>) of this Section 11.2.3 (</w:t>
      </w:r>
      <w:r>
        <w:rPr>
          <w:rStyle w:val="DeltaViewInsertion"/>
          <w:rFonts w:cs="Arial"/>
          <w:i/>
          <w:iCs/>
          <w:color w:val="auto"/>
          <w:szCs w:val="20"/>
          <w:u w:val="none"/>
        </w:rPr>
        <w:t>Acceptance at Gas Delivery Point</w:t>
      </w:r>
      <w:r>
        <w:rPr>
          <w:rStyle w:val="DeltaViewInsertion"/>
          <w:rFonts w:cs="Arial"/>
          <w:color w:val="auto"/>
          <w:szCs w:val="20"/>
          <w:u w:val="none"/>
        </w:rPr>
        <w:t>), GPC will be deemed to have failed to deliver that Natural Gas.</w:t>
      </w:r>
    </w:p>
    <w:p w:rsidRPr="006E0A0D" w:rsidR="00D96326" w:rsidP="00B7441B" w:rsidRDefault="00D96326" w14:paraId="2FC4108A" w14:textId="370376ED">
      <w:pPr>
        <w:pStyle w:val="zGTC03"/>
      </w:pPr>
      <w:r>
        <w:rPr>
          <w:b/>
          <w:bCs/>
        </w:rPr>
        <w:t xml:space="preserve">Imbalance </w:t>
      </w:r>
      <w:r>
        <w:rPr>
          <w:b/>
          <w:bCs/>
          <w:w w:val="0"/>
        </w:rPr>
        <w:t xml:space="preserve">Charges. </w:t>
      </w:r>
      <w:r>
        <w:t xml:space="preserve">The Parties will exercise reasonable commercial efforts to minimize any Imbalance Charges. GPC will be responsible for all Imbalance Charges relating to delivery of Natural Gas to the </w:t>
      </w:r>
      <w:r w:rsidR="001B7A7B">
        <w:t xml:space="preserve">Facility </w:t>
      </w:r>
      <w:r>
        <w:t xml:space="preserve">to meet GPC’s Scheduling Instructions. </w:t>
      </w:r>
      <w:r w:rsidRPr="00CD59D5" w:rsidR="00CD59D5">
        <w:t xml:space="preserve">If GPC or Seller receives an invoice for Imbalance Charges from a transporter or supplier of Natural Gas, the receiving Party will notify the other Party within a reasonable period after receipt of the invoice and the Parties will determine the cause </w:t>
      </w:r>
      <w:proofErr w:type="gramStart"/>
      <w:r w:rsidRPr="00CD59D5" w:rsidR="00CD59D5">
        <w:t>for</w:t>
      </w:r>
      <w:proofErr w:type="gramEnd"/>
      <w:r w:rsidRPr="00CD59D5" w:rsidR="00CD59D5">
        <w:t xml:space="preserve"> the charges</w:t>
      </w:r>
      <w:r>
        <w:t>. To the extent that the Imbalance Charges were incurred because of GPC’s action or inaction, then GPC will pay the Imbalance Charges. To the extent that the Imbalance Charges were incurred because of Seller’s actions or inaction, or a Forced Derate associated with attempting to respond to GPC’s Schedule, then Seller must pay the Imbalance Charges. Imbalance Charges that are not due to the action or inaction of GPC or Seller or those for which a cause cannot be determined will be shared equally by GPC and Seller. Any disputes under this Section 11.2.4 (</w:t>
      </w:r>
      <w:r>
        <w:rPr>
          <w:i/>
          <w:iCs/>
        </w:rPr>
        <w:t>Imbalance Charges</w:t>
      </w:r>
      <w:r>
        <w:t>) will be resolved in accordance with Part 19 (</w:t>
      </w:r>
      <w:r>
        <w:rPr>
          <w:i/>
          <w:iCs/>
        </w:rPr>
        <w:t>Dispute Resolution</w:t>
      </w:r>
      <w:r>
        <w:t>) applicable to Imbalance Charges disputes.</w:t>
      </w:r>
    </w:p>
    <w:p w:rsidRPr="006E0A0D" w:rsidR="00D96326" w:rsidP="00B7441B" w:rsidRDefault="00D96326" w14:paraId="0FBB4C49" w14:textId="615F778C">
      <w:pPr>
        <w:pStyle w:val="zGTC03"/>
      </w:pPr>
      <w:r>
        <w:rPr>
          <w:b/>
          <w:bCs/>
        </w:rPr>
        <w:t>Measurements; Title.</w:t>
      </w:r>
      <w:r>
        <w:t xml:space="preserve"> </w:t>
      </w:r>
      <w:proofErr w:type="gramStart"/>
      <w:r>
        <w:t>All Natural</w:t>
      </w:r>
      <w:proofErr w:type="gramEnd"/>
      <w:r>
        <w:t xml:space="preserve"> Gas supplied by GPC in accordance with this PPA will be measured at the Gas Delivery Point. GPC will retain title to Natural Gas provided by GPC to meet GPC’s Schedules. The title to all energy generated by the </w:t>
      </w:r>
      <w:r w:rsidR="001B7A7B">
        <w:t xml:space="preserve">Facility </w:t>
      </w:r>
      <w:r>
        <w:t xml:space="preserve">because of the conversion of </w:t>
      </w:r>
      <w:proofErr w:type="gramStart"/>
      <w:r>
        <w:t>the Natural</w:t>
      </w:r>
      <w:proofErr w:type="gramEnd"/>
      <w:r>
        <w:t xml:space="preserve"> Gas to energy in the </w:t>
      </w:r>
      <w:r w:rsidR="001B7A7B">
        <w:t xml:space="preserve">Facility </w:t>
      </w:r>
      <w:r>
        <w:t xml:space="preserve">will vest in GPC immediately upon its generation and, in accordance with this tolling arrangement, Seller must make the </w:t>
      </w:r>
      <w:r w:rsidR="001B7A7B">
        <w:t xml:space="preserve">Facility </w:t>
      </w:r>
      <w:r>
        <w:t xml:space="preserve">Available to GPC to convert GPC’s Natural Gas to GPC’s energy. Despite the preceding sentences, risk of loss of Natural Gas GPC supplies in accordance with this PPA will transfer from GPC to Seller at the Gas Delivery Point and Seller must bear the risk of loss of energy generated at the </w:t>
      </w:r>
      <w:r w:rsidR="001B7A7B">
        <w:t xml:space="preserve">Facility </w:t>
      </w:r>
      <w:r>
        <w:t>until Seller transfers the energy to GPC at the POD.</w:t>
      </w:r>
    </w:p>
    <w:p w:rsidRPr="000A2525" w:rsidR="00D96326" w:rsidP="00D96326" w:rsidRDefault="00D96326" w14:paraId="1F6A514E" w14:textId="6AB5CEF6">
      <w:pPr>
        <w:pStyle w:val="zGTC02"/>
        <w:rPr>
          <w:rFonts w:ascii="Arial" w:hAnsi="Arial" w:eastAsia="PMingLiU" w:cs="Arial"/>
          <w:specVanish/>
        </w:rPr>
      </w:pPr>
      <w:bookmarkStart w:name="_Toc212475685" w:id="145"/>
      <w:bookmarkStart w:name="_Toc227838384" w:id="146"/>
      <w:r>
        <w:rPr>
          <w:rFonts w:cs="Arial"/>
        </w:rPr>
        <w:t>Fuel Oil.</w:t>
      </w:r>
      <w:bookmarkEnd w:id="145"/>
      <w:bookmarkEnd w:id="146"/>
    </w:p>
    <w:p w:rsidRPr="006E0A0D" w:rsidR="00D96326" w:rsidP="00D96326" w:rsidRDefault="00D96326" w14:paraId="2D4A9BD5" w14:textId="0711B5D6">
      <w:pPr>
        <w:pStyle w:val="zGTC03"/>
      </w:pPr>
      <w:r>
        <w:rPr>
          <w:b/>
          <w:bCs/>
        </w:rPr>
        <w:t xml:space="preserve">Ownership, Operation, and maintenance of Facilities, Infrastructure, and Property Interests. </w:t>
      </w:r>
      <w:r>
        <w:t>At Seller’s sole cost and expense, Seller must own, operate, and maintain all facilities, infrastructure, and property interests necessary for: (</w:t>
      </w:r>
      <w:proofErr w:type="spellStart"/>
      <w:r>
        <w:t>i</w:t>
      </w:r>
      <w:proofErr w:type="spellEnd"/>
      <w:r>
        <w:t>) the simultaneous delivery of at least two 7,500 gallon tractor-trailers containing Fuel Oil; and (ii) working storage for GPC’s sole use of a Fuel Oil storage capacity at Reference Conditions for the Winter Seasonal Performance Period (i.e., 40°F and 75% relative humidity) to supply the plant at full load for 72 Hours.</w:t>
      </w:r>
    </w:p>
    <w:p w:rsidRPr="005F47B3" w:rsidR="00D96326" w:rsidP="00B7441B" w:rsidRDefault="00D96326" w14:paraId="2249126C" w14:textId="6DEF837A">
      <w:pPr>
        <w:pStyle w:val="zGTC03"/>
        <w:rPr>
          <w:b/>
        </w:rPr>
      </w:pPr>
      <w:r>
        <w:rPr>
          <w:b/>
        </w:rPr>
        <w:t xml:space="preserve">Purchase and Sale of the Facility’s Fuel Oil Inventory. </w:t>
      </w:r>
    </w:p>
    <w:p w:rsidRPr="006E0A0D" w:rsidR="00D96326" w:rsidP="00D96326" w:rsidRDefault="00D96326" w14:paraId="68547D1E" w14:textId="7DBC0AAB">
      <w:pPr>
        <w:pStyle w:val="zGTC04"/>
      </w:pPr>
      <w:r>
        <w:rPr>
          <w:b/>
          <w:bCs/>
        </w:rPr>
        <w:t xml:space="preserve">Seller’s Sale to GPC of Fuel Oil Inventory. </w:t>
      </w:r>
      <w:r>
        <w:t>Seller must sell to GPC the number of gallons of the Fuel Oil inventory residing in the Facility’s Fuel Oil storage tank (as specified in Exhibit A (</w:t>
      </w:r>
      <w:r>
        <w:rPr>
          <w:i/>
          <w:iCs/>
        </w:rPr>
        <w:t>Facility Description and Additional Details</w:t>
      </w:r>
      <w:r>
        <w:t>)) as of the Delivery Commencement Date. GPC will pay Seller for the Fuel Oil inventory, within 10 Days after the date GPC receives Seller’s invoice for Seller’s Fuel Oil inventory, the amount equal to the product of: (</w:t>
      </w:r>
      <w:proofErr w:type="spellStart"/>
      <w:r>
        <w:t>i</w:t>
      </w:r>
      <w:proofErr w:type="spellEnd"/>
      <w:r>
        <w:t xml:space="preserve">) the quantity of the inventory; </w:t>
      </w:r>
      <w:r>
        <w:rPr>
          <w:bCs/>
          <w:i/>
          <w:iCs/>
        </w:rPr>
        <w:t>times</w:t>
      </w:r>
      <w:r>
        <w:t xml:space="preserve"> (ii) the average Daily Fuel Oil Replacement Price during the120-Day period immediately preceding the Delivery Commencement Date.  </w:t>
      </w:r>
    </w:p>
    <w:p w:rsidRPr="006E0A0D" w:rsidR="00D96326" w:rsidP="00D96326" w:rsidRDefault="00D96326" w14:paraId="0C50D778" w14:textId="6BE3BF81">
      <w:pPr>
        <w:pStyle w:val="zGTC04"/>
      </w:pPr>
      <w:r>
        <w:rPr>
          <w:b/>
          <w:bCs/>
        </w:rPr>
        <w:t xml:space="preserve">GPC’s Sale to Seller of GPC’s Fuel Oil Inventory. </w:t>
      </w:r>
      <w:r>
        <w:t>At the end of the Term, GPC will sell to Seller, and Seller must purchase from GPC, GPC’s Fuel Oil inventory residing in the Facility’s Fuel Oil storage tank (with capacity as specified in Exhibit A (</w:t>
      </w:r>
      <w:r>
        <w:rPr>
          <w:i/>
          <w:iCs/>
        </w:rPr>
        <w:t>Facility Description and Additional Details</w:t>
      </w:r>
      <w:r>
        <w:t xml:space="preserve">)) as of the last day of the Term. Seller must pay GPC for the inventory, no later than 10 Days after the date of GPC’s invoice for GPC’s Fuel Oil Inventory, the amount equal to the product of: (a) the quantity of the inventory; </w:t>
      </w:r>
      <w:r>
        <w:rPr>
          <w:bCs/>
          <w:i/>
          <w:iCs/>
        </w:rPr>
        <w:t>times</w:t>
      </w:r>
      <w:r>
        <w:t xml:space="preserve"> (b) the average Daily Fuel Oil Replacement Price during the 120-Day period immediately preceding the last day of the Term. </w:t>
      </w:r>
    </w:p>
    <w:p w:rsidRPr="006E0A0D" w:rsidR="00D96326" w:rsidP="00B7441B" w:rsidRDefault="00D96326" w14:paraId="1466DBD5" w14:textId="2B4FE671">
      <w:pPr>
        <w:pStyle w:val="zGTC03"/>
      </w:pPr>
      <w:r>
        <w:rPr>
          <w:b/>
          <w:bCs/>
        </w:rPr>
        <w:t xml:space="preserve">GPC’s Obligation to Procure Fuel Oil. </w:t>
      </w:r>
      <w:r>
        <w:t xml:space="preserve">GPC will be responsible for procuring </w:t>
      </w:r>
      <w:proofErr w:type="gramStart"/>
      <w:r>
        <w:t>sufficient quantities of</w:t>
      </w:r>
      <w:proofErr w:type="gramEnd"/>
      <w:r>
        <w:t xml:space="preserve"> Fuel Oil to meet its generating needs. GPC and Seller may agree to purchase or sell quantities of Fuel </w:t>
      </w:r>
      <w:r>
        <w:lastRenderedPageBreak/>
        <w:t xml:space="preserve">Oil to each other. Under no circumstance will Seller burn any quantity of GPC’s Fuel Oil inventory at the Facility except as required to generate energy in accordance with GPC’s Schedules. If Seller does not transfer and make available GPC’s Fuel Oil inventory to the Facility </w:t>
      </w:r>
      <w:proofErr w:type="gramStart"/>
      <w:r>
        <w:t>in order to</w:t>
      </w:r>
      <w:proofErr w:type="gramEnd"/>
      <w:r>
        <w:t xml:space="preserve"> meet GPC’s Schedules, then Seller will be responsible for supplying Natural Gas necessary to meet GPC’s Schedules or be subject to availability and replacement provisions of the Agreement. </w:t>
      </w:r>
    </w:p>
    <w:p w:rsidRPr="003655DA" w:rsidR="00D96326" w:rsidP="00D96326" w:rsidRDefault="00D96326" w14:paraId="490C278F" w14:textId="374B40B6">
      <w:pPr>
        <w:pStyle w:val="zGTC03"/>
        <w:rPr>
          <w:b/>
          <w:bCs/>
        </w:rPr>
      </w:pPr>
      <w:r>
        <w:rPr>
          <w:b/>
          <w:bCs/>
        </w:rPr>
        <w:t xml:space="preserve">Fuel Oil Delivery and Metering. </w:t>
      </w:r>
      <w:r>
        <w:t xml:space="preserve">Fuel Oil supplier’s delivery tickets will constitute conclusive evidence (absent manifest error) of the quantity and grade of Fuel Oil delivered at the Fuel Oil Delivery Point, including whether Fuel Oil meets the Fuel Oil Specifications. Seller must provide GPC with a copy of the delivery tickets on the next Business Day following any delivery of Fuel Oil and a copy of the original delivery tickets each month with Seller’s Monthly Invoice. The quantity of Fuel Oil consumed at the Facility will be determined by the </w:t>
      </w:r>
      <w:r w:rsidR="00D148EC">
        <w:t xml:space="preserve">Facility’s </w:t>
      </w:r>
      <w:r>
        <w:t xml:space="preserve">fuel oil metering system. If Seller refuses to accept delivery of Fuel Oil from GPC that does not conform to the Fuel Oil Specifications, GPC will be deemed to have failed to deliver Fuel Oil. </w:t>
      </w:r>
    </w:p>
    <w:p w:rsidRPr="00396F9B" w:rsidR="00D96326" w:rsidP="00D96326" w:rsidRDefault="00D96326" w14:paraId="72568717" w14:textId="6FC2C447">
      <w:pPr>
        <w:pStyle w:val="zGTC03"/>
      </w:pPr>
      <w:r>
        <w:t xml:space="preserve"> </w:t>
      </w:r>
      <w:r>
        <w:rPr>
          <w:b/>
          <w:bCs/>
        </w:rPr>
        <w:t xml:space="preserve">Risk of Loss. </w:t>
      </w:r>
      <w:r>
        <w:t xml:space="preserve">Seller will always bear the risk of loss of Fuel Oil after Fuel Oil passes through the Fuel Oil Delivery Point. </w:t>
      </w:r>
    </w:p>
    <w:p w:rsidRPr="00396F9B" w:rsidR="00D96326" w:rsidP="00D96326" w:rsidRDefault="00D96326" w14:paraId="7C897E01" w14:textId="41B13052">
      <w:pPr>
        <w:pStyle w:val="zGTC03"/>
      </w:pPr>
      <w:r>
        <w:t xml:space="preserve"> </w:t>
      </w:r>
      <w:r>
        <w:rPr>
          <w:b/>
          <w:bCs/>
        </w:rPr>
        <w:t xml:space="preserve">Inspections; Cost Responsibility. </w:t>
      </w:r>
      <w:r>
        <w:t xml:space="preserve">Seller and GPC have the right to order tank inspections for problematic conditions, including low stability, water, and bacteria, which can occur from having Fuel Oil sit in the tanks for a prolonged period of time, </w:t>
      </w:r>
      <w:r>
        <w:rPr>
          <w:rFonts w:eastAsia="MS Mincho"/>
          <w:color w:val="000000"/>
          <w:w w:val="0"/>
        </w:rPr>
        <w:t xml:space="preserve">the costs of which the Parties will share, </w:t>
      </w:r>
      <w:r>
        <w:t>and to the extent reasonably necessary to chemically treat Fuel Oil at GPC’s expense. GPC</w:t>
      </w:r>
      <w:r>
        <w:rPr>
          <w:rStyle w:val="DeltaViewInsertion"/>
          <w:rFonts w:eastAsia="MS Mincho"/>
          <w:color w:val="000000"/>
          <w:w w:val="0"/>
          <w:u w:val="none"/>
        </w:rPr>
        <w:t xml:space="preserve"> will be responsible for</w:t>
      </w:r>
      <w:bookmarkStart w:name="_DV_M575" w:id="147"/>
      <w:bookmarkEnd w:id="147"/>
      <w:r>
        <w:rPr>
          <w:rFonts w:eastAsia="MS Mincho"/>
          <w:color w:val="000000"/>
          <w:w w:val="0"/>
        </w:rPr>
        <w:t xml:space="preserve"> the costs of any treatment needed to bring the Fuel Oil in the Fuel Oil storage tank back within specification</w:t>
      </w:r>
      <w:bookmarkStart w:name="_DV_M576" w:id="148"/>
      <w:bookmarkEnd w:id="148"/>
      <w:r>
        <w:rPr>
          <w:rFonts w:eastAsia="MS Mincho"/>
          <w:color w:val="000000"/>
          <w:w w:val="0"/>
        </w:rPr>
        <w:t xml:space="preserve"> unless the </w:t>
      </w:r>
      <w:bookmarkStart w:name="_DV_M577" w:id="149"/>
      <w:bookmarkEnd w:id="149"/>
      <w:r>
        <w:rPr>
          <w:rStyle w:val="DeltaViewInsertion"/>
          <w:rFonts w:eastAsia="MS Mincho"/>
          <w:color w:val="000000"/>
          <w:w w:val="0"/>
          <w:u w:val="none"/>
        </w:rPr>
        <w:t xml:space="preserve">action or inaction of Seller </w:t>
      </w:r>
      <w:bookmarkStart w:name="_DV_M578" w:id="150"/>
      <w:bookmarkEnd w:id="150"/>
      <w:r>
        <w:rPr>
          <w:rFonts w:eastAsia="MS Mincho"/>
          <w:color w:val="000000"/>
          <w:w w:val="0"/>
        </w:rPr>
        <w:t xml:space="preserve">can be determined to be the cause of the out of spec condition, in which case </w:t>
      </w:r>
      <w:bookmarkStart w:name="_DV_M579" w:id="151"/>
      <w:bookmarkEnd w:id="151"/>
      <w:r>
        <w:rPr>
          <w:rStyle w:val="DeltaViewInsertion"/>
          <w:rFonts w:eastAsia="MS Mincho"/>
          <w:color w:val="000000"/>
          <w:w w:val="0"/>
          <w:u w:val="none"/>
        </w:rPr>
        <w:t>Seller</w:t>
      </w:r>
      <w:bookmarkStart w:name="_DV_M580" w:id="152"/>
      <w:bookmarkEnd w:id="152"/>
      <w:r>
        <w:rPr>
          <w:rFonts w:eastAsia="MS Mincho"/>
          <w:color w:val="000000"/>
          <w:w w:val="0"/>
        </w:rPr>
        <w:t xml:space="preserve"> will bear the full cost of treatment.</w:t>
      </w:r>
      <w:r>
        <w:rPr>
          <w:rFonts w:eastAsia="MS Mincho"/>
          <w:color w:val="000000" w:themeColor="text1"/>
        </w:rPr>
        <w:t xml:space="preserve"> S</w:t>
      </w:r>
      <w:r>
        <w:t>eller agrees to accept Fuel Oil that: (</w:t>
      </w:r>
      <w:proofErr w:type="spellStart"/>
      <w:r>
        <w:t>i</w:t>
      </w:r>
      <w:proofErr w:type="spellEnd"/>
      <w:r>
        <w:t xml:space="preserve">) meets Prudent Industry Practices and the Fuel Oil quality standards stated in this PPA; or (ii) does not meet Fuel Oil quality standards, so long as </w:t>
      </w:r>
      <w:r>
        <w:rPr>
          <w:rFonts w:cs="Arial"/>
        </w:rPr>
        <w:t>GPC delivers to Seller the supplier’s documentation specifying the grade and relevant properties of the fuel oil being delivered at least 48 Hours before delivery and, following Seller's reasonable review, Seller determines the fuel oil will have no material adverse effect on the Facility and approves such fuel oil delivery</w:t>
      </w:r>
      <w:r>
        <w:t xml:space="preserve">. </w:t>
      </w:r>
      <w:r>
        <w:rPr>
          <w:rFonts w:cs="Arial"/>
          <w:lang w:val="en"/>
        </w:rPr>
        <w:t>Seller will ensure fuel oil delivered by or on behalf of any Person other than GPC to the Fuel Oil storage tank meets the acceptance requirements of subpart (</w:t>
      </w:r>
      <w:proofErr w:type="spellStart"/>
      <w:r>
        <w:rPr>
          <w:rFonts w:cs="Arial"/>
          <w:lang w:val="en"/>
        </w:rPr>
        <w:t>i</w:t>
      </w:r>
      <w:proofErr w:type="spellEnd"/>
      <w:r>
        <w:rPr>
          <w:rFonts w:cs="Arial"/>
          <w:lang w:val="en"/>
        </w:rPr>
        <w:t>) or is accepted by Seller in a manner consistent with subpart (ii) of this Section 11.3.6 (</w:t>
      </w:r>
      <w:r>
        <w:rPr>
          <w:rFonts w:cs="Arial"/>
          <w:i/>
          <w:lang w:val="en"/>
        </w:rPr>
        <w:t>Inspections; Cost Responsibility</w:t>
      </w:r>
      <w:r>
        <w:rPr>
          <w:rFonts w:cs="Arial"/>
          <w:lang w:val="en"/>
        </w:rPr>
        <w:t>).</w:t>
      </w:r>
      <w:r>
        <w:t xml:space="preserve"> </w:t>
      </w:r>
    </w:p>
    <w:p w:rsidRPr="006E0A0D" w:rsidR="00D96326" w:rsidP="00D96326" w:rsidRDefault="00D96326" w14:paraId="2DD51071" w14:textId="7D2785BD">
      <w:pPr>
        <w:pStyle w:val="zGTC03"/>
      </w:pPr>
      <w:r>
        <w:rPr>
          <w:b/>
          <w:bCs/>
        </w:rPr>
        <w:t xml:space="preserve">Seller's Responsibility for Other Fuel Oil Costs. </w:t>
      </w:r>
      <w:r>
        <w:t>Seller will always be responsible for the cost of Fuel Oil that Seller utilizes for any purpose other than meeting GPC’s Schedules. Seller will not be excused from failing to satisfy GPC’s Schedule requests to operate on Fuel Oil to the extent the failure is due to Seller’s use of Fuel Oil for any purpose other than: (</w:t>
      </w:r>
      <w:proofErr w:type="spellStart"/>
      <w:r>
        <w:t>i</w:t>
      </w:r>
      <w:proofErr w:type="spellEnd"/>
      <w:r>
        <w:t>) to generate energy specified in GPC’s Schedules, or (</w:t>
      </w:r>
      <w:proofErr w:type="spellStart"/>
      <w:r>
        <w:t>i</w:t>
      </w:r>
      <w:proofErr w:type="spellEnd"/>
      <w:r>
        <w:t xml:space="preserve">) for testing to be conducted in accordance with Prudent Industry Practices. </w:t>
      </w:r>
    </w:p>
    <w:p w:rsidRPr="006E0A0D" w:rsidR="00D96326" w:rsidP="00D96326" w:rsidRDefault="00D96326" w14:paraId="61E4925F" w14:textId="19916058">
      <w:pPr>
        <w:pStyle w:val="zGTC03"/>
      </w:pPr>
      <w:r>
        <w:t xml:space="preserve"> </w:t>
      </w:r>
      <w:r>
        <w:rPr>
          <w:b/>
          <w:bCs/>
        </w:rPr>
        <w:t xml:space="preserve">GPC’s Right to Direct Seller to Maintain Specified Level Fuel Oil Inventory. </w:t>
      </w:r>
      <w:r>
        <w:t>GPC will have the ongoing right to direct Seller to maintain during specified time periods a specific level of Fuel Oil inventory at the Facility, not to exceed the upper limit fuel oil inventory level specified in Exhibit A (</w:t>
      </w:r>
      <w:r>
        <w:rPr>
          <w:i/>
          <w:iCs/>
        </w:rPr>
        <w:t>Facility Description and Additional Details</w:t>
      </w:r>
      <w:r>
        <w:t>).</w:t>
      </w:r>
    </w:p>
    <w:p w:rsidRPr="006E0A0D" w:rsidR="00D96326" w:rsidP="00D96326" w:rsidRDefault="00D96326" w14:paraId="18D01FC1" w14:textId="1C7C4F76">
      <w:pPr>
        <w:pStyle w:val="zGTC03"/>
      </w:pPr>
      <w:r>
        <w:t xml:space="preserve"> </w:t>
      </w:r>
      <w:r>
        <w:rPr>
          <w:b/>
          <w:bCs/>
        </w:rPr>
        <w:t xml:space="preserve">Development of Parameters Applicable to the </w:t>
      </w:r>
      <w:r w:rsidR="001B7A7B">
        <w:rPr>
          <w:b/>
          <w:bCs/>
        </w:rPr>
        <w:t xml:space="preserve">Facility’s </w:t>
      </w:r>
      <w:r>
        <w:rPr>
          <w:b/>
          <w:bCs/>
        </w:rPr>
        <w:t xml:space="preserve">Fuel Oil Utilization. </w:t>
      </w:r>
      <w:r>
        <w:t xml:space="preserve">The Parties recognize that the ability to Schedule the </w:t>
      </w:r>
      <w:r w:rsidR="001B7A7B">
        <w:t xml:space="preserve">Facility </w:t>
      </w:r>
      <w:r>
        <w:t>using Fuel Oil is limited by a number of factors including: (</w:t>
      </w:r>
      <w:proofErr w:type="spellStart"/>
      <w:r>
        <w:t>i</w:t>
      </w:r>
      <w:proofErr w:type="spellEnd"/>
      <w:r>
        <w:t>) the amount of Fuel Oil inventory at the Facility; (ii) the rate at which the inventory is being depleted in accordance with GPC’s Scheduling Instructions; (iii) Seller’s maximum Hourly replenishment capability of as specified in Exhibit A (</w:t>
      </w:r>
      <w:r>
        <w:rPr>
          <w:i/>
          <w:iCs/>
        </w:rPr>
        <w:t>Facility Description and Additional Details</w:t>
      </w:r>
      <w:r>
        <w:t xml:space="preserve">); (iv) the Air Permit; and (v) the availability of Fuel Oil and transportation for Fuel Oil to the Facility. Through their respective Operating Representatives, GPC and Seller agree to cooperate in the development of Operating Procedures establishing parameters applicable to utilization of Fuel Oil by the </w:t>
      </w:r>
      <w:r w:rsidR="001B7A7B">
        <w:t xml:space="preserve">Facility </w:t>
      </w:r>
      <w:r>
        <w:t xml:space="preserve">to optimize GPC’s right to Schedule the </w:t>
      </w:r>
      <w:r w:rsidR="001B7A7B">
        <w:t xml:space="preserve">Facility </w:t>
      </w:r>
      <w:r>
        <w:t>on Fuel Oil.</w:t>
      </w:r>
    </w:p>
    <w:p w:rsidRPr="006E0A0D" w:rsidR="00D96326" w:rsidP="00D96326" w:rsidRDefault="00D96326" w14:paraId="6C131669" w14:textId="0A74AB7F">
      <w:pPr>
        <w:pStyle w:val="zGTC03"/>
        <w:tabs>
          <w:tab w:val="left" w:pos="1530"/>
        </w:tabs>
      </w:pPr>
      <w:r>
        <w:rPr>
          <w:b/>
          <w:bCs/>
        </w:rPr>
        <w:t xml:space="preserve">Monthly Fuel Oil Tracking and Reporting. </w:t>
      </w:r>
      <w:r>
        <w:t xml:space="preserve">At Seller’s cost and expense, Seller must ensure that Fuel Oil storage equipment includes real-time inventory monitoring telemetering equipment that can </w:t>
      </w:r>
      <w:proofErr w:type="gramStart"/>
      <w:r>
        <w:t>be connected with</w:t>
      </w:r>
      <w:proofErr w:type="gramEnd"/>
      <w:r>
        <w:t xml:space="preserve"> GPC’s designated Fuel Oil carrier and supplier. Through Seller’s telemetering system, Seller must track and report monthly to GPC and its designated Fuel Oil carrier and supplier the level of GPC’s Fuel Oil inventory, the amount of Fuel Oil delivered that month, and the amount of Fuel Oil consumed that month. The Operating Committee will develop procedures for the </w:t>
      </w:r>
      <w:proofErr w:type="gramStart"/>
      <w:r>
        <w:t>real time</w:t>
      </w:r>
      <w:proofErr w:type="gramEnd"/>
      <w:r>
        <w:t xml:space="preserve"> reporting of Fuel Oil inventory and other operating protocols, including nomination, scheduling and delivery, inventory accounting, operations reporting, and quality control.</w:t>
      </w:r>
    </w:p>
    <w:p w:rsidR="00D96326" w:rsidP="005A6D4C" w:rsidRDefault="00D96326" w14:paraId="334FABBD" w14:textId="585BFA9F">
      <w:pPr>
        <w:pStyle w:val="zGTC03"/>
        <w:tabs>
          <w:tab w:val="left" w:pos="1530"/>
        </w:tabs>
        <w:spacing w:after="0"/>
      </w:pPr>
      <w:r>
        <w:rPr>
          <w:b/>
          <w:bCs/>
        </w:rPr>
        <w:lastRenderedPageBreak/>
        <w:t>Seller’s Responsibility to Decant.</w:t>
      </w:r>
      <w:r>
        <w:t xml:space="preserve"> Seller must decant the water off the bottom of each Fuel Oil storage tank twice per year, which must be performed in accordance with Prudent Industry Practices and the requirement of this Section 11.3.11 (</w:t>
      </w:r>
      <w:r>
        <w:rPr>
          <w:i/>
          <w:iCs/>
        </w:rPr>
        <w:t>Seller’s Responsibility to Decant</w:t>
      </w:r>
      <w:r>
        <w:t>). This process includes opening the valve on the small take-off pipe (typically located approximately 4 inches to 6 inches from the bottom of the tank) and draining off any water present. Without limitation of other safety measures that should be taken, Seller must install a new, threaded ball valve in front of the existing isolation valve, to isolate the Fuel Oil, should the original valve fail or remain open.</w:t>
      </w:r>
    </w:p>
    <w:p w:rsidRPr="00967AAE" w:rsidR="00D96326" w:rsidP="005A6D4C" w:rsidRDefault="00D96326" w14:paraId="127C333A" w14:textId="77777777">
      <w:pPr>
        <w:pStyle w:val="zGTC03"/>
        <w:numPr>
          <w:ilvl w:val="0"/>
          <w:numId w:val="0"/>
        </w:numPr>
        <w:tabs>
          <w:tab w:val="left" w:pos="1530"/>
        </w:tabs>
        <w:spacing w:before="0" w:after="0"/>
        <w:ind w:left="720"/>
      </w:pPr>
    </w:p>
    <w:p w:rsidRPr="00F10071" w:rsidR="00D96326" w:rsidP="005A6D4C" w:rsidRDefault="00D96326" w14:paraId="41C5E913" w14:textId="77777777">
      <w:pPr>
        <w:pStyle w:val="zGTC02"/>
        <w:spacing w:before="0"/>
        <w:rPr>
          <w:rFonts w:ascii="Arial" w:hAnsi="Arial" w:eastAsia="PMingLiU" w:cs="Arial"/>
          <w:vanish/>
          <w:szCs w:val="20"/>
          <w:specVanish/>
        </w:rPr>
      </w:pPr>
      <w:bookmarkStart w:name="_Toc212475686" w:id="153"/>
      <w:bookmarkStart w:name="_Toc227838385" w:id="154"/>
      <w:r>
        <w:rPr>
          <w:rFonts w:ascii="Arial" w:hAnsi="Arial" w:cs="Arial"/>
          <w:szCs w:val="20"/>
        </w:rPr>
        <w:t>Allowances.</w:t>
      </w:r>
      <w:bookmarkEnd w:id="153"/>
      <w:bookmarkEnd w:id="154"/>
    </w:p>
    <w:p w:rsidRPr="00F10071" w:rsidR="00D96326" w:rsidRDefault="00D96326" w14:paraId="608B4FCC" w14:textId="77777777">
      <w:pPr>
        <w:pStyle w:val="zGTC02"/>
        <w:numPr>
          <w:ilvl w:val="0"/>
          <w:numId w:val="0"/>
        </w:numPr>
        <w:rPr>
          <w:rFonts w:ascii="Arial" w:hAnsi="Arial" w:cs="Arial"/>
          <w:szCs w:val="20"/>
        </w:rPr>
      </w:pPr>
    </w:p>
    <w:p w:rsidRPr="007B3D88" w:rsidR="00D96326" w:rsidP="00B7441B" w:rsidRDefault="00D96326" w14:paraId="5B813367" w14:textId="115C8BF0">
      <w:pPr>
        <w:pStyle w:val="zGTC03"/>
      </w:pPr>
      <w:r>
        <w:rPr>
          <w:b/>
          <w:bCs/>
        </w:rPr>
        <w:t>NOx and SO2 Allowances.</w:t>
      </w:r>
      <w:r>
        <w:t xml:space="preserve"> Seller will reserve for GPC’s sole benefit all Unit NOx Allowances and Unit SO2 Allowances, and Seller must use, at no </w:t>
      </w:r>
      <w:proofErr w:type="gramStart"/>
      <w:r>
        <w:t>cost to</w:t>
      </w:r>
      <w:proofErr w:type="gramEnd"/>
      <w:r>
        <w:t xml:space="preserve"> GPC, all Unit NOx Allowances and Unit SO2 Allowances for </w:t>
      </w:r>
      <w:proofErr w:type="gramStart"/>
      <w:r>
        <w:t>NOx Emissions and SO2</w:t>
      </w:r>
      <w:proofErr w:type="gramEnd"/>
      <w:r>
        <w:t xml:space="preserve"> Emissions, respectively, from </w:t>
      </w:r>
      <w:r w:rsidR="001B7A7B">
        <w:t xml:space="preserve">each </w:t>
      </w:r>
      <w:r>
        <w:t xml:space="preserve">Unit resulting from energy generated to meet GPC’s Scheduling Instructions. </w:t>
      </w:r>
      <w:bookmarkStart w:name="_Hlk25149159" w:id="155"/>
      <w:r>
        <w:t xml:space="preserve">If NOx Emissions or SO2 Emissions resulting from energy generated by </w:t>
      </w:r>
      <w:r w:rsidR="001B7A7B">
        <w:t xml:space="preserve">each </w:t>
      </w:r>
      <w:r>
        <w:t xml:space="preserve">Unit to meet GPC’s Scheduling Instructions </w:t>
      </w:r>
      <w:r w:rsidRPr="00B92123">
        <w:t>exceed the Unit NOx Allowances or Unit SO2 Allowances, respectively, GPC will be required to obtain and supply, at GPC’s expense, additional NOx Allowances or SO2 Allowances, as applicable, required for the NOx Emissions or SO2 Emissions in excess of the Unit NOx Allowances or Unit SO2 Allowances, except that GPC will not be required to provide any NOx Allowances or SO2 Allowances that are needed due to Seller exceeding the emission rates allowed by the Air Permit, any Consent, or any other applicable law</w:t>
      </w:r>
      <w:r w:rsidRPr="00B92123">
        <w:rPr>
          <w:rFonts w:cs="Arial"/>
          <w:szCs w:val="20"/>
        </w:rPr>
        <w:t xml:space="preserve">, </w:t>
      </w:r>
      <w:r w:rsidRPr="00B92123" w:rsidR="009162F3">
        <w:rPr>
          <w:rFonts w:cs="Arial"/>
          <w:szCs w:val="20"/>
        </w:rPr>
        <w:t xml:space="preserve">unless the excess emissions are the result of </w:t>
      </w:r>
      <w:r w:rsidRPr="00B92123" w:rsidR="006C1EAB">
        <w:rPr>
          <w:rFonts w:cs="Arial"/>
          <w:szCs w:val="20"/>
        </w:rPr>
        <w:t xml:space="preserve">operating the Unit as required by order of a Governmental Authority exercising emergency authority, including an order under Section 202(c) </w:t>
      </w:r>
      <w:r w:rsidRPr="00B92123" w:rsidR="00AF6F0F">
        <w:rPr>
          <w:rFonts w:cs="Arial"/>
          <w:szCs w:val="20"/>
        </w:rPr>
        <w:t>o</w:t>
      </w:r>
      <w:r w:rsidRPr="00B92123" w:rsidR="006F51F3">
        <w:rPr>
          <w:rFonts w:cs="Arial"/>
          <w:szCs w:val="20"/>
        </w:rPr>
        <w:t xml:space="preserve">f the Federal Power Act, </w:t>
      </w:r>
      <w:r w:rsidRPr="00B92123">
        <w:rPr>
          <w:rFonts w:cs="Arial"/>
          <w:szCs w:val="20"/>
        </w:rPr>
        <w:t>except that, Seller will not be required to follow any instruction from GPC or take any action that would</w:t>
      </w:r>
      <w:r>
        <w:rPr>
          <w:rFonts w:cs="Arial"/>
          <w:szCs w:val="20"/>
        </w:rPr>
        <w:t xml:space="preserve"> result in Seller exceeding the emission rates allowed by the Air Permit, any Consent, or any other applicable law, and Seller will not have liability to GPC for failing to take any such action</w:t>
      </w:r>
      <w:r>
        <w:t xml:space="preserve">. </w:t>
      </w:r>
      <w:bookmarkEnd w:id="155"/>
      <w:r>
        <w:t>In no event will Seller transfer any Unit NOx Allowances or Unit SO2 Allowances to any Person other than GPC at any time or otherwise use Unit NOx Allowances or Unit SO2 Allowances for any purpose other than the NOx Emissions and SO2 Emissions from the Unit resulting from energy generated to meet GPC’s Scheduling Instructions.</w:t>
      </w:r>
    </w:p>
    <w:p w:rsidRPr="007B3D88" w:rsidR="00D96326" w:rsidP="00D96326" w:rsidRDefault="00D96326" w14:paraId="069DDEA6" w14:textId="40FD64BF">
      <w:pPr>
        <w:pStyle w:val="zGTC04"/>
        <w:rPr>
          <w:rFonts w:cs="Arial"/>
        </w:rPr>
      </w:pPr>
      <w:r>
        <w:rPr>
          <w:rFonts w:cs="Arial"/>
          <w:b/>
        </w:rPr>
        <w:t>NOx or SO2 Allowance Rights.</w:t>
      </w:r>
      <w:r>
        <w:rPr>
          <w:rFonts w:cs="Arial"/>
        </w:rPr>
        <w:t xml:space="preserve"> If Seller is allocated, issued, or has the right to obtain NOx Allowances or SO2 Allowances for a portion of, or its entire fleet of, generating units that are subject to the same Governmental Authority that governs NOx Allowances and SO2 Allowances for the Unit, then a proportion of the NOx Allowances or SO2 Allowances will be reserved as Unit NOx Allowances or Unit SO2 Allowances, as applicable, for GPC’s benefit in accordance with this Section 11.4 (</w:t>
      </w:r>
      <w:r>
        <w:rPr>
          <w:rFonts w:cs="Arial"/>
          <w:i/>
        </w:rPr>
        <w:t>Allowances</w:t>
      </w:r>
      <w:r>
        <w:rPr>
          <w:rFonts w:cs="Arial"/>
        </w:rPr>
        <w:t>). The proportion of NOx Allowances or SO2 Allowances to be reserved as Unit NOx Allowances or Unit SO2 Allowances, as applicable, will be calculated based on the method, formula, or other similar calculation used by the Governmental Authority to determine such NOx Allowances or SO2 Allowances attributable to each generating unit compared to the sum of all NOx Allowances or SO2 Allowances for all generating units of Seller. For purposes of this Section 11.4.1(</w:t>
      </w:r>
      <w:proofErr w:type="spellStart"/>
      <w:r>
        <w:rPr>
          <w:rFonts w:cs="Arial"/>
        </w:rPr>
        <w:t>i</w:t>
      </w:r>
      <w:proofErr w:type="spellEnd"/>
      <w:r>
        <w:rPr>
          <w:rFonts w:cs="Arial"/>
        </w:rPr>
        <w:t>) (</w:t>
      </w:r>
      <w:r>
        <w:rPr>
          <w:rFonts w:cs="Arial"/>
          <w:i/>
        </w:rPr>
        <w:t>NOx or SO2 Allowance Rights</w:t>
      </w:r>
      <w:r>
        <w:rPr>
          <w:rFonts w:cs="Arial"/>
        </w:rPr>
        <w:t>), all references to “Seller” will be deemed to include Seller’s Affiliates or other entity to which NOx Allowances or SO2 Allowances may be or have been allocated to or given rights to obtain for the Unit.</w:t>
      </w:r>
    </w:p>
    <w:p w:rsidRPr="007B3D88" w:rsidR="00D96326" w:rsidP="005F375B" w:rsidRDefault="00D96326" w14:paraId="71732CD1" w14:textId="39BC3A20">
      <w:pPr>
        <w:pStyle w:val="zGTC03"/>
      </w:pPr>
      <w:r>
        <w:rPr>
          <w:b/>
          <w:bCs/>
        </w:rPr>
        <w:t>Facility Exceeding NOx Allowances or SO2 Allowances.</w:t>
      </w:r>
      <w:r>
        <w:t xml:space="preserve"> If for any period the Unit NOx Allowances or Unit SO2 Allowances exceed the number of NOx Allowances or SO2 Allowances, respectively, required for NOx Emissions or SO2 Emissions resulting from energy generated by the Unit to meet GPC’s Scheduling Instructions for the period, then Seller will carry forward the excess Unit NOx Allowances or Unit SO2 Allowances, as applicable, to use for GPC’s benefit in accordance with Section 11.4.1 (</w:t>
      </w:r>
      <w:r>
        <w:rPr>
          <w:i/>
          <w:iCs/>
        </w:rPr>
        <w:t>NOx and SO2 Allowances</w:t>
      </w:r>
      <w:r>
        <w:t>) in future periods to the extent the Unit NOx Allowances or Unit SO2 Allowances are allowed to be carried forward. At the end of the Term: (</w:t>
      </w:r>
      <w:proofErr w:type="spellStart"/>
      <w:r>
        <w:t>i</w:t>
      </w:r>
      <w:proofErr w:type="spellEnd"/>
      <w:r>
        <w:t>) Seller must, to the extent permitted by applicable law, transfer to GPC any excess Unit NOx Allowances or Unit SO2 Allowances that GPC obtained for the Unit, and GPC may utilize those Unit NOx Allowances or Unit SO2 Allowances for any purpose in GPC’s sole discretion; and (ii) Seller will retain any excess Unit NOx Allowances or Unit SO2 Allowances that GPC did not obtain for the Unit, and may use those excess Unit NOx Allowances or Unit SO2 Allowances that GPC did not obtain for the Facility for any purpose, in Seller’s sole discretion.</w:t>
      </w:r>
    </w:p>
    <w:p w:rsidRPr="007B3D88" w:rsidR="00D96326" w:rsidP="005F375B" w:rsidRDefault="00D96326" w14:paraId="6A8B35B3" w14:textId="4ED5678C">
      <w:pPr>
        <w:pStyle w:val="zGTC03"/>
      </w:pPr>
      <w:r>
        <w:rPr>
          <w:b/>
          <w:bCs/>
        </w:rPr>
        <w:t>Substitute Unit Applicability.</w:t>
      </w:r>
      <w:r>
        <w:t xml:space="preserve"> This Section 11.4 (</w:t>
      </w:r>
      <w:r>
        <w:rPr>
          <w:i/>
          <w:iCs/>
        </w:rPr>
        <w:t>Allowances</w:t>
      </w:r>
      <w:r>
        <w:t>) will apply to a Substitute Unit that is authorized in accordance with Section 4.4 (</w:t>
      </w:r>
      <w:r>
        <w:rPr>
          <w:i/>
          <w:iCs/>
        </w:rPr>
        <w:t>Substitution of a Unit at the Site</w:t>
      </w:r>
      <w:r>
        <w:t xml:space="preserve">). However, GPC will not be required to provide any NOx Allowances or SO2 Allowances that are required regarding any Alternate </w:t>
      </w:r>
      <w:r>
        <w:lastRenderedPageBreak/>
        <w:t>Resource, and Seller will be responsible, at Seller’s expense, for obtaining all NOx Allowances or SO2 Allowances required for any Alternate Resource.</w:t>
      </w:r>
    </w:p>
    <w:p w:rsidRPr="005F375B" w:rsidR="00D96326" w:rsidP="005F375B" w:rsidRDefault="00D96326" w14:paraId="799803E4" w14:textId="793F8752">
      <w:pPr>
        <w:pStyle w:val="zGTC03"/>
      </w:pPr>
      <w:r>
        <w:rPr>
          <w:b/>
          <w:bCs/>
        </w:rPr>
        <w:t>Other Emissions Allowances.</w:t>
      </w:r>
      <w:r>
        <w:t xml:space="preserve"> Subject to Section 17.1 (</w:t>
      </w:r>
      <w:r>
        <w:rPr>
          <w:i/>
          <w:iCs/>
        </w:rPr>
        <w:t>New GHG Law</w:t>
      </w:r>
      <w:r>
        <w:t xml:space="preserve">), Seller will be solely responsible, at Seller’s sole cost, for any other emission allowances other than NOx Allowances or SO2 Allowances that are required concerning </w:t>
      </w:r>
      <w:r w:rsidR="001B7A7B">
        <w:t xml:space="preserve">each </w:t>
      </w:r>
      <w:r>
        <w:t xml:space="preserve">Unit, including for any emissions or energy produced from </w:t>
      </w:r>
      <w:r w:rsidR="001B7A7B">
        <w:t xml:space="preserve">each </w:t>
      </w:r>
      <w:r>
        <w:t>Unit.</w:t>
      </w:r>
    </w:p>
    <w:p w:rsidRPr="00F10071" w:rsidR="00D96326" w:rsidP="00D96326" w:rsidRDefault="00D96326" w14:paraId="57DA494C" w14:textId="77777777">
      <w:pPr>
        <w:pStyle w:val="zGTC01"/>
        <w:rPr>
          <w:rFonts w:ascii="Arial" w:hAnsi="Arial"/>
          <w:szCs w:val="20"/>
        </w:rPr>
      </w:pPr>
      <w:bookmarkStart w:name="_Toc212475687" w:id="156"/>
      <w:bookmarkStart w:name="_Toc227838386" w:id="157"/>
      <w:r>
        <w:rPr>
          <w:rFonts w:ascii="Arial" w:hAnsi="Arial"/>
          <w:szCs w:val="20"/>
        </w:rPr>
        <w:t>Energy Scheduling and Transmission</w:t>
      </w:r>
      <w:bookmarkEnd w:id="156"/>
      <w:bookmarkEnd w:id="157"/>
    </w:p>
    <w:p w:rsidRPr="006E0A0D" w:rsidR="00D96326" w:rsidP="00D96326" w:rsidRDefault="00D96326" w14:paraId="6C3AD208" w14:textId="77777777">
      <w:pPr>
        <w:pStyle w:val="zGTC02"/>
        <w:rPr>
          <w:rFonts w:ascii="Arial" w:hAnsi="Arial" w:eastAsia="PMingLiU" w:cs="Arial"/>
          <w:vanish/>
          <w:szCs w:val="20"/>
          <w:specVanish/>
        </w:rPr>
      </w:pPr>
      <w:bookmarkStart w:name="_Toc212475688" w:id="158"/>
      <w:bookmarkStart w:name="_Toc227838387" w:id="159"/>
      <w:r>
        <w:rPr>
          <w:rFonts w:ascii="Arial" w:hAnsi="Arial" w:cs="Arial"/>
          <w:szCs w:val="20"/>
        </w:rPr>
        <w:t>Energy Scheduling.</w:t>
      </w:r>
      <w:bookmarkEnd w:id="158"/>
      <w:bookmarkEnd w:id="159"/>
    </w:p>
    <w:p w:rsidRPr="006E0A0D" w:rsidR="00D96326" w:rsidRDefault="00D96326" w14:paraId="27986C8D" w14:textId="15374602">
      <w:pPr>
        <w:pStyle w:val="zGNormal"/>
      </w:pPr>
      <w:r>
        <w:t xml:space="preserve"> GPC will issue Scheduling Instructions for the electrical output committed under this PPA. GPC has the right to Schedule the </w:t>
      </w:r>
      <w:r w:rsidR="00EA2BA7">
        <w:t xml:space="preserve">Facility </w:t>
      </w:r>
      <w:r>
        <w:t xml:space="preserve">on AGC or non-AGC. </w:t>
      </w:r>
    </w:p>
    <w:p w:rsidRPr="006E0A0D" w:rsidR="00D96326" w:rsidP="00D96326" w:rsidRDefault="00D96326" w14:paraId="1D892994" w14:textId="77777777">
      <w:pPr>
        <w:pStyle w:val="zGTC02"/>
        <w:rPr>
          <w:rFonts w:ascii="Arial" w:hAnsi="Arial" w:eastAsia="PMingLiU" w:cs="Arial"/>
          <w:vanish/>
          <w:szCs w:val="20"/>
          <w:specVanish/>
        </w:rPr>
      </w:pPr>
      <w:bookmarkStart w:name="_Toc212475689" w:id="160"/>
      <w:bookmarkStart w:name="_Toc227838388" w:id="161"/>
      <w:r>
        <w:rPr>
          <w:rFonts w:ascii="Arial" w:hAnsi="Arial" w:cs="Arial"/>
          <w:szCs w:val="20"/>
        </w:rPr>
        <w:t>Coordination and Scheduling.</w:t>
      </w:r>
      <w:bookmarkEnd w:id="160"/>
      <w:bookmarkEnd w:id="161"/>
    </w:p>
    <w:p w:rsidRPr="006E0A0D" w:rsidR="00D96326" w:rsidRDefault="00D96326" w14:paraId="320CC9C4" w14:textId="77777777">
      <w:pPr>
        <w:pStyle w:val="zGTC02"/>
        <w:numPr>
          <w:ilvl w:val="0"/>
          <w:numId w:val="0"/>
        </w:numPr>
        <w:rPr>
          <w:rFonts w:ascii="Arial" w:hAnsi="Arial" w:cs="Arial"/>
          <w:szCs w:val="20"/>
        </w:rPr>
      </w:pPr>
    </w:p>
    <w:p w:rsidRPr="006E0A0D" w:rsidR="00D96326" w:rsidP="005F375B" w:rsidRDefault="00D96326" w14:paraId="2FA5241E" w14:textId="7A16F277">
      <w:pPr>
        <w:pStyle w:val="zGTC03"/>
      </w:pPr>
      <w:r>
        <w:rPr>
          <w:b/>
          <w:bCs/>
        </w:rPr>
        <w:t>Schedules.</w:t>
      </w:r>
      <w:r>
        <w:t xml:space="preserve"> Despite any other provision of this PPA, GPC will submit</w:t>
      </w:r>
      <w:r w:rsidR="00B22DF5">
        <w:t xml:space="preserve"> </w:t>
      </w:r>
      <w:r>
        <w:t>Schedules in accordance with the procedures in this Section 12.2 (</w:t>
      </w:r>
      <w:r>
        <w:rPr>
          <w:i/>
          <w:iCs/>
        </w:rPr>
        <w:t>Coordination and Scheduling</w:t>
      </w:r>
      <w:r>
        <w:t>) and Exhibit D (</w:t>
      </w:r>
      <w:r>
        <w:rPr>
          <w:i/>
          <w:iCs/>
        </w:rPr>
        <w:t>Technical Limits and Schedule Procedures</w:t>
      </w:r>
      <w:r>
        <w:t>)</w:t>
      </w:r>
      <w:r w:rsidR="00960A93">
        <w:t xml:space="preserve">, </w:t>
      </w:r>
      <w:r w:rsidR="00D54A3C">
        <w:t>subject</w:t>
      </w:r>
      <w:r w:rsidR="00960A93">
        <w:t xml:space="preserve"> to </w:t>
      </w:r>
      <w:r w:rsidR="00492383">
        <w:t>the</w:t>
      </w:r>
      <w:r w:rsidR="008939E5">
        <w:t xml:space="preserve"> </w:t>
      </w:r>
      <w:r w:rsidR="00CD44D5">
        <w:t xml:space="preserve">Technical Limits and the </w:t>
      </w:r>
      <w:r w:rsidR="008939E5">
        <w:t>Scheduling</w:t>
      </w:r>
      <w:r w:rsidR="00960A93">
        <w:t xml:space="preserve"> </w:t>
      </w:r>
      <w:r w:rsidR="008939E5">
        <w:t>limitations in this PPA</w:t>
      </w:r>
      <w:r>
        <w:t xml:space="preserve">. Seller is not obligated to deliver energy in response to those portions of Scheduling Instructions that materially deviate from </w:t>
      </w:r>
      <w:r w:rsidR="00CE4BC0">
        <w:t xml:space="preserve">those </w:t>
      </w:r>
      <w:r>
        <w:t>procedures</w:t>
      </w:r>
      <w:r w:rsidR="00944C10">
        <w:t xml:space="preserve"> or exceed</w:t>
      </w:r>
      <w:r w:rsidR="000F3256">
        <w:t xml:space="preserve"> </w:t>
      </w:r>
      <w:r w:rsidR="00CE4BC0">
        <w:t>those</w:t>
      </w:r>
      <w:r w:rsidR="00CD44D5">
        <w:t xml:space="preserve"> limitations</w:t>
      </w:r>
      <w:r>
        <w:t xml:space="preserve">. GPC is not entitled to Schedule energy, and Seller is not obligated to deliver energy, to the extent the energy cannot be delivered due to: (a) GPC’s failure to deliver to the Facility a sufficient quantity of fuel to generate such energy at the applicable Guaranteed Heat Rate; (b) GPC’s inability to receive such energy at the POD; or (c) the inability of Seller to operate the </w:t>
      </w:r>
      <w:r w:rsidR="00206B7E">
        <w:t xml:space="preserve">Facility </w:t>
      </w:r>
      <w:r>
        <w:t xml:space="preserve">in excess of the Air Permit Operating Limits per Unit per calendar year, except that Seller will not be excused from failing to meet GPC’s Schedule in accordance with this subsection (c) if the failure is the result of Seller’s operation of the </w:t>
      </w:r>
      <w:r w:rsidR="006F586E">
        <w:t xml:space="preserve">Facility </w:t>
      </w:r>
      <w:r>
        <w:t>for purposes other than complying with GPC’s Schedules and the associated requirements of this PPA.</w:t>
      </w:r>
    </w:p>
    <w:p w:rsidRPr="006E0A0D" w:rsidR="00D96326" w:rsidP="005F375B" w:rsidRDefault="00D96326" w14:paraId="6D676A6A" w14:textId="636ED923">
      <w:pPr>
        <w:pStyle w:val="zGTC03"/>
      </w:pPr>
      <w:r>
        <w:rPr>
          <w:b/>
          <w:bCs/>
        </w:rPr>
        <w:t>Electrical Output; Scheduling Instructions; IA Compliance.</w:t>
      </w:r>
      <w:r>
        <w:t xml:space="preserve"> The electrical output committed under this PPA will be subject to Scheduling Instructions. Seller must comply with the Scheduling Instructions at the time designated for compliance, subject to the Technical Limits and Scheduling procedures set forth in Exhibit D (</w:t>
      </w:r>
      <w:r>
        <w:rPr>
          <w:i/>
          <w:iCs/>
        </w:rPr>
        <w:t>Technical Limits and Schedule Procedures</w:t>
      </w:r>
      <w:r>
        <w:t xml:space="preserve">). In addition, at the request of GPC, Seller must make reasonable efforts to cause the </w:t>
      </w:r>
      <w:r w:rsidR="00CF1881">
        <w:t xml:space="preserve">Facility </w:t>
      </w:r>
      <w:r>
        <w:t xml:space="preserve">to control voltage by producing or absorbing reactive power subject to the Technical Limits, so long as such actions do not cause Seller to breach any term or condition in the IA and so long as GPC will reimburse Seller for any incremental costs Seller incurred (including waiving any negative </w:t>
      </w:r>
      <w:r w:rsidR="00CF1881">
        <w:t xml:space="preserve">Facility </w:t>
      </w:r>
      <w:r>
        <w:t>Availability impacts directly attributable to Seller’s compliance with the reactive power instructions), in excess of those costs Seller would have incurred under the IA, because of Seller’s compliance with any request.</w:t>
      </w:r>
    </w:p>
    <w:p w:rsidRPr="006E0A0D" w:rsidR="00D96326" w:rsidP="005F375B" w:rsidRDefault="00D96326" w14:paraId="336A4458" w14:textId="29315BA2">
      <w:pPr>
        <w:pStyle w:val="zGTC03"/>
      </w:pPr>
      <w:r>
        <w:rPr>
          <w:b/>
          <w:bCs/>
        </w:rPr>
        <w:t>Records and Energy Scheduling.</w:t>
      </w:r>
      <w:r>
        <w:t xml:space="preserve"> GPC and Seller will maintain written records of the quantities of energy to be delivered each six-second period and Hour during the Term. Following the Delivery Commencement Date, GPC may Schedule energy at any time during the Term and</w:t>
      </w:r>
      <w:r w:rsidR="009059B4">
        <w:t xml:space="preserve">, when </w:t>
      </w:r>
      <w:proofErr w:type="gramStart"/>
      <w:r w:rsidR="009059B4">
        <w:t>Scheduled</w:t>
      </w:r>
      <w:proofErr w:type="gramEnd"/>
      <w:r w:rsidR="009059B4">
        <w:t xml:space="preserve"> by GPC </w:t>
      </w:r>
      <w:r w:rsidR="000F3256">
        <w:t>in accordance with Section 12.2.1 (</w:t>
      </w:r>
      <w:r w:rsidRPr="000F3256" w:rsidR="000F3256">
        <w:rPr>
          <w:i/>
          <w:iCs/>
        </w:rPr>
        <w:t>Schedules</w:t>
      </w:r>
      <w:r w:rsidR="000F3256">
        <w:t>)</w:t>
      </w:r>
      <w:r w:rsidR="009059B4">
        <w:t>,</w:t>
      </w:r>
      <w:r w:rsidR="000F3256">
        <w:t xml:space="preserve"> </w:t>
      </w:r>
      <w:r>
        <w:t xml:space="preserve">Seller must cause the entire output capability of the </w:t>
      </w:r>
      <w:r w:rsidR="00CF1881">
        <w:t xml:space="preserve">Facility </w:t>
      </w:r>
      <w:r>
        <w:t>to be available to GPC.</w:t>
      </w:r>
    </w:p>
    <w:p w:rsidRPr="006E0A0D" w:rsidR="00D96326" w:rsidP="00D96326" w:rsidRDefault="00D96326" w14:paraId="0ECCA3BC" w14:textId="65952A98">
      <w:pPr>
        <w:pStyle w:val="zGTC04"/>
        <w:rPr>
          <w:rFonts w:cs="Arial"/>
          <w:szCs w:val="20"/>
        </w:rPr>
      </w:pPr>
      <w:r>
        <w:rPr>
          <w:rFonts w:cs="Arial"/>
          <w:b/>
          <w:bCs/>
          <w:szCs w:val="20"/>
        </w:rPr>
        <w:t xml:space="preserve">Day-Ahead Scheduling Instructions and Deadlines. </w:t>
      </w:r>
      <w:r>
        <w:rPr>
          <w:rFonts w:cs="Arial"/>
          <w:szCs w:val="20"/>
        </w:rPr>
        <w:t xml:space="preserve">If </w:t>
      </w:r>
      <w:r>
        <w:rPr>
          <w:rFonts w:cs="Arial"/>
        </w:rPr>
        <w:t>GPC</w:t>
      </w:r>
      <w:r>
        <w:rPr>
          <w:rFonts w:cs="Arial"/>
          <w:szCs w:val="20"/>
        </w:rPr>
        <w:t xml:space="preserve"> elects to Schedule energy for delivery on the next Business Day, </w:t>
      </w:r>
      <w:r>
        <w:rPr>
          <w:rFonts w:cs="Arial"/>
        </w:rPr>
        <w:t>GPC</w:t>
      </w:r>
      <w:r>
        <w:rPr>
          <w:rFonts w:cs="Arial"/>
          <w:szCs w:val="20"/>
        </w:rPr>
        <w:t xml:space="preserve"> will provide Seller with GPC’s Schedule for the delivery no later than: (</w:t>
      </w:r>
      <w:proofErr w:type="spellStart"/>
      <w:r>
        <w:rPr>
          <w:rFonts w:cs="Arial"/>
          <w:szCs w:val="20"/>
        </w:rPr>
        <w:t>i</w:t>
      </w:r>
      <w:proofErr w:type="spellEnd"/>
      <w:r>
        <w:rPr>
          <w:rFonts w:cs="Arial"/>
          <w:szCs w:val="20"/>
        </w:rPr>
        <w:t xml:space="preserve">) 12:00 p.m. CPT on the Business Day before the Day of delivery for deliveries from the </w:t>
      </w:r>
      <w:r w:rsidR="00CF1881">
        <w:rPr>
          <w:rFonts w:cs="Arial"/>
          <w:szCs w:val="20"/>
        </w:rPr>
        <w:t>Facility</w:t>
      </w:r>
      <w:r>
        <w:rPr>
          <w:rFonts w:cs="Arial"/>
          <w:szCs w:val="20"/>
        </w:rPr>
        <w:t>; or (ii) 9:00 a.m. CPT on the Business Day before the Day of delivery for deliveries from an Alternate Resource. The Day-ahead Scheduling Instruction will also include any electric deliveries from midnight to midnight for any Days that precede the next Business Day (</w:t>
      </w:r>
      <w:r>
        <w:rPr>
          <w:rFonts w:cs="Arial"/>
          <w:iCs/>
          <w:szCs w:val="20"/>
        </w:rPr>
        <w:t>i.e.,</w:t>
      </w:r>
      <w:r>
        <w:rPr>
          <w:rFonts w:cs="Arial"/>
          <w:szCs w:val="20"/>
        </w:rPr>
        <w:t xml:space="preserve"> weekends and holidays). </w:t>
      </w:r>
      <w:r>
        <w:rPr>
          <w:rFonts w:cs="Arial"/>
        </w:rPr>
        <w:t>GPC</w:t>
      </w:r>
      <w:r>
        <w:rPr>
          <w:rFonts w:cs="Arial"/>
          <w:szCs w:val="20"/>
        </w:rPr>
        <w:t xml:space="preserve"> will also provide a non-binding, good faith estimate of its Scheduling Instructions for the 24-Hour period following the next Business Day. </w:t>
      </w:r>
      <w:r>
        <w:rPr>
          <w:rFonts w:cs="Arial"/>
        </w:rPr>
        <w:t>GPC</w:t>
      </w:r>
      <w:r>
        <w:rPr>
          <w:rFonts w:cs="Arial"/>
          <w:szCs w:val="20"/>
        </w:rPr>
        <w:t xml:space="preserve"> may submit Scheduling Instructions for each Hour requesting the number of Units to be operated and, for each Unit, the Unit energy output level to meet GPC’s Schedule, subject to a minimum of the Minimum Capacity up to the full Base Operating Mode Energy output capability. </w:t>
      </w:r>
      <w:r>
        <w:rPr>
          <w:rFonts w:cs="Arial"/>
          <w:u w:color="0000FF"/>
        </w:rPr>
        <w:t xml:space="preserve">Seller may dispatch any combination of Units at any Unit energy output levels to meet GPC’s Schedule. However, if for any reason, Seller chooses to operate more or less than the number of Units requested by GPC, the energy payment calculations made pursuant to </w:t>
      </w:r>
      <w:r>
        <w:rPr>
          <w:rFonts w:cs="Arial"/>
          <w:bCs/>
          <w:u w:color="0000FF"/>
        </w:rPr>
        <w:t>Exhibit C</w:t>
      </w:r>
      <w:r>
        <w:rPr>
          <w:rFonts w:cs="Arial"/>
          <w:u w:color="0000FF"/>
        </w:rPr>
        <w:t xml:space="preserve"> (</w:t>
      </w:r>
      <w:r>
        <w:rPr>
          <w:rFonts w:cs="Arial"/>
          <w:i/>
          <w:iCs/>
          <w:u w:color="0000FF"/>
        </w:rPr>
        <w:t>Energy Payment Calculation</w:t>
      </w:r>
      <w:r>
        <w:rPr>
          <w:rFonts w:cs="Arial"/>
          <w:u w:color="0000FF"/>
        </w:rPr>
        <w:t xml:space="preserve">) will be based on the lesser of (I) the Guaranteed Heat Rate and number of starts for GPC’s Scheduling Instructions; or (II) the Guaranteed Heat Rate and number of starts </w:t>
      </w:r>
      <w:r>
        <w:rPr>
          <w:rFonts w:cs="Arial"/>
          <w:u w:color="0000FF"/>
        </w:rPr>
        <w:lastRenderedPageBreak/>
        <w:t>for actual operation of the Units</w:t>
      </w:r>
      <w:r>
        <w:rPr>
          <w:rFonts w:cs="Arial"/>
          <w:szCs w:val="20"/>
        </w:rPr>
        <w:t xml:space="preserve">. </w:t>
      </w:r>
      <w:r>
        <w:rPr>
          <w:rFonts w:cs="Arial"/>
        </w:rPr>
        <w:t>GPC</w:t>
      </w:r>
      <w:r>
        <w:rPr>
          <w:rFonts w:cs="Arial"/>
          <w:szCs w:val="20"/>
        </w:rPr>
        <w:t xml:space="preserve"> will be required to accept and pay for energy during ramp up and ramp down periods at a price as described in </w:t>
      </w:r>
      <w:r>
        <w:rPr>
          <w:rFonts w:cs="Arial"/>
          <w:bCs/>
          <w:szCs w:val="20"/>
        </w:rPr>
        <w:t>Exhibit C (</w:t>
      </w:r>
      <w:r>
        <w:rPr>
          <w:rFonts w:cs="Arial"/>
          <w:bCs/>
          <w:i/>
          <w:iCs/>
          <w:szCs w:val="20"/>
        </w:rPr>
        <w:t>Energy Payment Calculation</w:t>
      </w:r>
      <w:r>
        <w:rPr>
          <w:rFonts w:cs="Arial"/>
          <w:bCs/>
          <w:szCs w:val="20"/>
        </w:rPr>
        <w:t>)</w:t>
      </w:r>
      <w:r>
        <w:rPr>
          <w:rFonts w:cs="Arial"/>
          <w:szCs w:val="20"/>
        </w:rPr>
        <w:t xml:space="preserve">. </w:t>
      </w:r>
    </w:p>
    <w:p w:rsidRPr="006E0A0D" w:rsidR="00D96326" w:rsidP="00D96326" w:rsidRDefault="00D96326" w14:paraId="5BB22CE0" w14:textId="3D857CA4">
      <w:pPr>
        <w:pStyle w:val="zGTC04"/>
        <w:rPr>
          <w:rFonts w:cs="Arial"/>
        </w:rPr>
      </w:pPr>
      <w:r>
        <w:rPr>
          <w:rFonts w:cs="Arial"/>
          <w:b/>
        </w:rPr>
        <w:t>Scheduling Instructions Submitted after the Day-Ahead Scheduling Deadline.</w:t>
      </w:r>
      <w:r>
        <w:rPr>
          <w:rFonts w:cs="Arial"/>
        </w:rPr>
        <w:t xml:space="preserve"> For Scheduling Instructions submitted after the Day-ahead deadline, GPC will provide Seller with a proposed revised Schedule at least </w:t>
      </w:r>
      <w:r>
        <w:rPr>
          <w:rFonts w:cs="Arial"/>
          <w:szCs w:val="20"/>
          <w:highlight w:val="yellow"/>
        </w:rPr>
        <w:t>#one</w:t>
      </w:r>
      <w:r>
        <w:rPr>
          <w:rFonts w:cs="Arial"/>
          <w:b/>
          <w:bCs/>
          <w:i/>
          <w:iCs/>
          <w:color w:val="FF0000"/>
          <w:szCs w:val="20"/>
          <w:highlight w:val="cyan"/>
          <w:u w:val="single"/>
        </w:rPr>
        <w:t>OR</w:t>
      </w:r>
      <w:r>
        <w:rPr>
          <w:rFonts w:cs="Arial"/>
          <w:szCs w:val="20"/>
          <w:highlight w:val="yellow"/>
        </w:rPr>
        <w:t>#NumberInAccordanceWithFacilityOperatingCharacteristics</w:t>
      </w:r>
      <w:r>
        <w:rPr>
          <w:rFonts w:cs="Arial"/>
        </w:rPr>
        <w:t xml:space="preserve"> Hour before the start-up or ramp up of energy delivery. If energy is not already Scheduled, GPC will </w:t>
      </w:r>
      <w:proofErr w:type="gramStart"/>
      <w:r>
        <w:rPr>
          <w:rFonts w:cs="Arial"/>
        </w:rPr>
        <w:t>be assessed</w:t>
      </w:r>
      <w:proofErr w:type="gramEnd"/>
      <w:r>
        <w:rPr>
          <w:rFonts w:cs="Arial"/>
        </w:rPr>
        <w:t xml:space="preserve"> one or more Startup Events, as applicable, in accordance with Exhibit C (</w:t>
      </w:r>
      <w:r>
        <w:rPr>
          <w:rFonts w:cs="Arial"/>
          <w:i/>
        </w:rPr>
        <w:t>Energy Payment Calculation</w:t>
      </w:r>
      <w:r>
        <w:rPr>
          <w:rFonts w:cs="Arial"/>
        </w:rPr>
        <w:t>), Section 1.3 (</w:t>
      </w:r>
      <w:r>
        <w:rPr>
          <w:rFonts w:cs="Arial"/>
          <w:i/>
        </w:rPr>
        <w:t>Monthly Startup Charges (MSC)</w:t>
      </w:r>
      <w:r>
        <w:rPr>
          <w:rFonts w:cs="Arial"/>
        </w:rPr>
        <w:t>). GPC will be responsible for the actual costs (commensurate with the Guaranteed Heat Rate) of implementing the intra-Day Scheduling Instruction (including any associated imbalance penalties, if any, that the Transmission Service Provider assessed); however, the costs will not include any lost opportunity costs for power sales from the Facility.</w:t>
      </w:r>
    </w:p>
    <w:p w:rsidR="00D96326" w:rsidP="00D96326" w:rsidRDefault="00D96326" w14:paraId="5D707573" w14:textId="268FF3C5">
      <w:pPr>
        <w:pStyle w:val="zGTC04"/>
        <w:rPr>
          <w:rFonts w:cs="Arial"/>
        </w:rPr>
      </w:pPr>
      <w:r>
        <w:rPr>
          <w:rFonts w:cs="Arial"/>
          <w:b/>
          <w:bCs/>
        </w:rPr>
        <w:t xml:space="preserve">Deemed </w:t>
      </w:r>
      <w:proofErr w:type="gramStart"/>
      <w:r>
        <w:rPr>
          <w:rFonts w:cs="Arial"/>
          <w:b/>
          <w:bCs/>
        </w:rPr>
        <w:t>Schedule;</w:t>
      </w:r>
      <w:proofErr w:type="gramEnd"/>
      <w:r>
        <w:rPr>
          <w:rFonts w:cs="Arial"/>
          <w:b/>
          <w:bCs/>
        </w:rPr>
        <w:t xml:space="preserve"> GPC’s Scheduling Right. </w:t>
      </w:r>
      <w:r>
        <w:rPr>
          <w:rFonts w:cs="Arial"/>
        </w:rPr>
        <w:t>Despite the preceding Section 12.2.3(ii) (</w:t>
      </w:r>
      <w:r>
        <w:rPr>
          <w:rFonts w:cs="Arial"/>
          <w:i/>
          <w:iCs/>
        </w:rPr>
        <w:t>Scheduling Instructions Submitted after the Day-Ahead Scheduling Deadline</w:t>
      </w:r>
      <w:r>
        <w:rPr>
          <w:rFonts w:cs="Arial"/>
        </w:rPr>
        <w:t xml:space="preserve">), if Seller has provided notice that an Unavailability Event has occurred before GPC giving intra-Day Scheduling Instructions, the most recent Schedule GPC submitted will be deemed the Schedule for the balance of the Day in which Seller has provided notice that the Unavailability Event has occurred. If no Day-ahead or intra-Day Schedule has been given to Seller for a given Day and Seller subsequently provides notice that an Unavailability Event has occurred, GPC will have the right to submit one intra-Day Schedule for the balance of the Day and afterwards will not change that intra-Day Schedule for the balance of the Day. For each Day following the Unavailability Event until the return of the </w:t>
      </w:r>
      <w:r w:rsidR="00D86478">
        <w:rPr>
          <w:rFonts w:cs="Arial"/>
        </w:rPr>
        <w:t>Facility</w:t>
      </w:r>
      <w:r>
        <w:rPr>
          <w:rFonts w:cs="Arial"/>
        </w:rPr>
        <w:t xml:space="preserve"> to service, GPC will have the right to submit a Day-ahead Schedule and one intra-Day Schedule for the balance of the Day and afterwards will not change that Schedule for the balance of the Day. During an Unavailability Event, Seller must inform GPC regularly regarding the projected schedule of the return to service of the Facility.</w:t>
      </w:r>
    </w:p>
    <w:p w:rsidRPr="006E0A0D" w:rsidR="00D96326" w:rsidP="00D96326" w:rsidRDefault="00D96326" w14:paraId="3E56A215" w14:textId="6F967606">
      <w:pPr>
        <w:pStyle w:val="zGTC04"/>
      </w:pPr>
      <w:r>
        <w:rPr>
          <w:b/>
          <w:bCs/>
        </w:rPr>
        <w:t xml:space="preserve">Return to Service after Unavailability. </w:t>
      </w:r>
      <w:r>
        <w:t xml:space="preserve">If the </w:t>
      </w:r>
      <w:r w:rsidR="00D86478">
        <w:t>Facility</w:t>
      </w:r>
      <w:r>
        <w:t xml:space="preserve"> can return to service, Seller must notify GPC before 3:00 p.m. CPT on the Day before the Day on which the </w:t>
      </w:r>
      <w:r w:rsidR="00D86478">
        <w:t xml:space="preserve">Facility </w:t>
      </w:r>
      <w:r>
        <w:t xml:space="preserve">will return to service to be able to deliver the entire Schedule GPC requested from the </w:t>
      </w:r>
      <w:r w:rsidR="00D86478">
        <w:t>Facility</w:t>
      </w:r>
      <w:r>
        <w:t xml:space="preserve">. If the </w:t>
      </w:r>
      <w:r w:rsidR="00D86478">
        <w:t xml:space="preserve">Facility </w:t>
      </w:r>
      <w:r>
        <w:t xml:space="preserve">can return to service intra-Day, Seller must give a three-Hour notification of ability to operate. GPC then has the right to submit a new Schedule for the balance of that Day. The previous Day’s Schedule remains the obligation of Seller until the end of the three-Hour notification. If GPC chooses to Schedule zero MWh for the balance of the Day, there is no obligation for Seller for the remainder of that Day. If GPC chooses to Schedule the </w:t>
      </w:r>
      <w:r w:rsidR="00D86478">
        <w:t xml:space="preserve">Facility </w:t>
      </w:r>
      <w:r>
        <w:t>for greater than the Minimum Capacity, the</w:t>
      </w:r>
      <w:r>
        <w:rPr>
          <w:b/>
          <w:bCs/>
        </w:rPr>
        <w:t xml:space="preserve"> </w:t>
      </w:r>
      <w:r>
        <w:t>new forward Schedule becomes Seller’s delivery obligation for the remainder of that Day.</w:t>
      </w:r>
    </w:p>
    <w:p w:rsidRPr="006E0A0D" w:rsidR="00D96326" w:rsidP="00B7441B" w:rsidRDefault="00D96326" w14:paraId="1C94C949" w14:textId="104065DA">
      <w:pPr>
        <w:pStyle w:val="zGTC03"/>
      </w:pPr>
      <w:r>
        <w:rPr>
          <w:b/>
          <w:bCs/>
        </w:rPr>
        <w:t xml:space="preserve">Operator Requested Schedule. </w:t>
      </w:r>
      <w:r>
        <w:t xml:space="preserve">During the Term, Seller may from </w:t>
      </w:r>
      <w:proofErr w:type="gramStart"/>
      <w:r>
        <w:t>time to time</w:t>
      </w:r>
      <w:proofErr w:type="gramEnd"/>
      <w:r>
        <w:t xml:space="preserve"> request that the </w:t>
      </w:r>
      <w:r w:rsidR="00D964B3">
        <w:t xml:space="preserve">Facility </w:t>
      </w:r>
      <w:r>
        <w:t>be allowed to deliver electric energy output to GPC to test or evaluate Facility equipment (“</w:t>
      </w:r>
      <w:r>
        <w:rPr>
          <w:b/>
          <w:bCs/>
        </w:rPr>
        <w:t>Operator Requested Schedule</w:t>
      </w:r>
      <w:r>
        <w:t xml:space="preserve">”). Seller must request the Operator Requested Schedule from GPC at least one Business Day (and no later than 24 Hours) before the date of the Operator Requested Schedule and GPC will have the right to approve the Operator Requested Schedule (such approval not to be unreasonably withheld, conditioned, or delayed). If GPC approves and subsequently determines that it is necessary to Schedule the </w:t>
      </w:r>
      <w:r w:rsidR="00D964B3">
        <w:t xml:space="preserve">Facility </w:t>
      </w:r>
      <w:r>
        <w:t xml:space="preserve">during an Operator Requested Schedule, then GPC may cancel or interrupt the Operator Requested Schedule and subsequently Schedule the </w:t>
      </w:r>
      <w:r w:rsidR="00D964B3">
        <w:t xml:space="preserve">Facility </w:t>
      </w:r>
      <w:r>
        <w:t>as it deems appropriate. GPC will reimburse Seller for any reasonable, incremental expenses incurred by Seller due to Seller’s reliance on GPC’s previous approval of the Operator Requested Schedule.</w:t>
      </w:r>
    </w:p>
    <w:p w:rsidRPr="006E0A0D" w:rsidR="00D96326" w:rsidP="00B7441B" w:rsidRDefault="00D96326" w14:paraId="12FABE34" w14:textId="77777777">
      <w:pPr>
        <w:pStyle w:val="zGTC03"/>
        <w:rPr>
          <w:b/>
          <w:bCs/>
        </w:rPr>
      </w:pPr>
      <w:r>
        <w:rPr>
          <w:b/>
          <w:bCs/>
        </w:rPr>
        <w:t xml:space="preserve">System Emergency. </w:t>
      </w:r>
    </w:p>
    <w:p w:rsidRPr="006E0A0D" w:rsidR="00D96326" w:rsidP="00D96326" w:rsidRDefault="00D96326" w14:paraId="385F8BB6" w14:textId="0806C883">
      <w:pPr>
        <w:pStyle w:val="zGTC04"/>
        <w:spacing w:line="259" w:lineRule="auto"/>
      </w:pPr>
      <w:r>
        <w:rPr>
          <w:b/>
          <w:bCs/>
        </w:rPr>
        <w:t xml:space="preserve">General System Emergency Procedure. </w:t>
      </w:r>
      <w:r>
        <w:t xml:space="preserve">The Parties recognize that GPC is a FERC jurisdictional entity subject to the reliability authority of NERC and that, to ensure continuous and reliable electric service, GPC operates its system in accordance with the operating criteria and guidelines of NERC. If a System Emergency is declared and the Scheduling Center, at its sole discretion, identifies the need to modify the schedule or dispatch of the </w:t>
      </w:r>
      <w:r w:rsidR="00A55ED3">
        <w:t>Facility</w:t>
      </w:r>
      <w:r>
        <w:t xml:space="preserve">, the Scheduling Center will notify Seller’s personnel and, if requested, Seller will immediately place the energy of the </w:t>
      </w:r>
      <w:r w:rsidR="00A55ED3">
        <w:t xml:space="preserve">Facility </w:t>
      </w:r>
      <w:r>
        <w:t xml:space="preserve">within the exclusive control of the Scheduling Center for the duration of the System Emergency. During the System Emergency, GPC will ensure that the Scheduling Center does not </w:t>
      </w:r>
      <w:r>
        <w:lastRenderedPageBreak/>
        <w:t xml:space="preserve">cause the </w:t>
      </w:r>
      <w:r w:rsidR="00A55ED3">
        <w:t xml:space="preserve">Facility </w:t>
      </w:r>
      <w:r>
        <w:t xml:space="preserve">to be operated in a manner that exceeds the Technical Limits or any operations-related limits in the Air Permit without the prior consent of Seller, and, despite Seller’s consent, GPC will be responsible for the costs associated with operation of the </w:t>
      </w:r>
      <w:r w:rsidR="00A55ED3">
        <w:t xml:space="preserve">Facility </w:t>
      </w:r>
      <w:r>
        <w:t>in accordance with the Scheduling Center control, including any penalties imposed on Seller by any Governmental Authority or costs incurred by Seller associated with additional maintenance or accelerated maintenance, in accordance with Prudent Industry Practices, due to the System Emergency. Without limiting anything in this Section 12.2.5 (</w:t>
      </w:r>
      <w:r>
        <w:rPr>
          <w:i/>
          <w:iCs/>
        </w:rPr>
        <w:t>System Emergency</w:t>
      </w:r>
      <w:r>
        <w:t xml:space="preserve">), the Scheduling Center may require Seller’s personnel to raise or lower production of energy generated by the </w:t>
      </w:r>
      <w:r w:rsidR="00A55ED3">
        <w:t>Facility</w:t>
      </w:r>
      <w:r>
        <w:t xml:space="preserve">, including potential start-up or </w:t>
      </w:r>
      <w:proofErr w:type="spellStart"/>
      <w:r>
        <w:t>shutdown</w:t>
      </w:r>
      <w:proofErr w:type="spellEnd"/>
      <w:r>
        <w:t xml:space="preserve"> situations, to maintain safe and reliable load levels and voltages on the </w:t>
      </w:r>
      <w:r>
        <w:rPr>
          <w:rFonts w:cs="Arial"/>
        </w:rPr>
        <w:t>Electric</w:t>
      </w:r>
      <w:r>
        <w:t xml:space="preserve"> System. To the extent Seller is required, under this Section 12.2.5(</w:t>
      </w:r>
      <w:proofErr w:type="spellStart"/>
      <w:r>
        <w:t>i</w:t>
      </w:r>
      <w:proofErr w:type="spellEnd"/>
      <w:r>
        <w:t>) (</w:t>
      </w:r>
      <w:r>
        <w:rPr>
          <w:i/>
          <w:iCs/>
        </w:rPr>
        <w:t>General System Emergency Procedure</w:t>
      </w:r>
      <w:r>
        <w:t>), to take any action, or GPC takes any action, which will adversely affect Seller’s ability to meet GPC’s Schedules, including those Schedules modified in accordance with Section 12.2.5(ii)) (</w:t>
      </w:r>
      <w:r>
        <w:rPr>
          <w:i/>
          <w:iCs/>
        </w:rPr>
        <w:t>Cooperation During System Emergency</w:t>
      </w:r>
      <w:r>
        <w:t xml:space="preserve">), Seller may be excused from meeting GPC’s Schedules and, for purposes of the MAP calculation, the Hours (or equivalent Hours) of Unavailability due to System Emergency will be subtracted from Unplanned (Forced) Outage Hours and Equivalent Unplanned (Forced) Derated Unit Hours and the Hours (or equivalent Hours) of Unavailability due to System Emergency will be subtracted from Monthly Hours, as shown in the MAP formulas in </w:t>
      </w:r>
      <w:r>
        <w:rPr>
          <w:bCs/>
        </w:rPr>
        <w:t>Exhibit B (</w:t>
      </w:r>
      <w:r>
        <w:rPr>
          <w:bCs/>
          <w:i/>
          <w:iCs/>
        </w:rPr>
        <w:t>Capacity; Capacity Payments</w:t>
      </w:r>
      <w:r>
        <w:rPr>
          <w:i/>
        </w:rPr>
        <w:t xml:space="preserve"> and Payment Reductions; Buydown</w:t>
      </w:r>
      <w:r>
        <w:rPr>
          <w:bCs/>
        </w:rPr>
        <w:t>)</w:t>
      </w:r>
      <w:r>
        <w:rPr>
          <w:b/>
          <w:bCs/>
        </w:rPr>
        <w:t xml:space="preserve">, </w:t>
      </w:r>
      <w:r>
        <w:t>Section 3.2 (</w:t>
      </w:r>
      <w:r>
        <w:rPr>
          <w:i/>
          <w:iCs/>
        </w:rPr>
        <w:t>Calculation of Monthly Availability Percentage</w:t>
      </w:r>
      <w:r>
        <w:t>).</w:t>
      </w:r>
    </w:p>
    <w:p w:rsidRPr="006E0A0D" w:rsidR="00D96326" w:rsidP="00D96326" w:rsidRDefault="00D96326" w14:paraId="447F8F25" w14:textId="77777777">
      <w:pPr>
        <w:pStyle w:val="zGTC04"/>
      </w:pPr>
      <w:r>
        <w:rPr>
          <w:b/>
          <w:bCs/>
        </w:rPr>
        <w:t xml:space="preserve">Cooperation During System Emergency. </w:t>
      </w:r>
      <w:r>
        <w:t>Seller must cooperate with GPC in establishing System Emergency plans, including recovery from a local or widespread electrical blackout, voltage reduction to effect load curtailment, or other plans that may be necessary or appropriate under the circumstances.</w:t>
      </w:r>
    </w:p>
    <w:p w:rsidRPr="006E0A0D" w:rsidR="00D96326" w:rsidP="00D96326" w:rsidRDefault="00D96326" w14:paraId="6CA369F6" w14:textId="77777777">
      <w:pPr>
        <w:pStyle w:val="zGTC02"/>
        <w:rPr>
          <w:rFonts w:ascii="Arial" w:hAnsi="Arial" w:eastAsia="PMingLiU" w:cs="Arial"/>
          <w:vanish/>
          <w:szCs w:val="20"/>
          <w:specVanish/>
        </w:rPr>
      </w:pPr>
      <w:bookmarkStart w:name="_Toc212475690" w:id="162"/>
      <w:bookmarkStart w:name="_Toc227838389" w:id="163"/>
      <w:r>
        <w:rPr>
          <w:rFonts w:ascii="Arial" w:hAnsi="Arial" w:cs="Arial"/>
          <w:szCs w:val="20"/>
        </w:rPr>
        <w:t>AGC.</w:t>
      </w:r>
      <w:bookmarkEnd w:id="162"/>
      <w:bookmarkEnd w:id="163"/>
    </w:p>
    <w:p w:rsidRPr="00DA3A8C" w:rsidR="00D96326" w:rsidRDefault="00D96326" w14:paraId="5424F54E" w14:textId="3EC35A23">
      <w:pPr>
        <w:pStyle w:val="zGNormal"/>
        <w:rPr>
          <w:b/>
          <w:u w:val="double" w:color="0000FF"/>
        </w:rPr>
      </w:pPr>
      <w:r>
        <w:t xml:space="preserve"> The </w:t>
      </w:r>
      <w:r w:rsidR="00A55ED3">
        <w:t xml:space="preserve">Facility </w:t>
      </w:r>
      <w:r>
        <w:t xml:space="preserve">must be capable of operating on AGC. Seller is responsible for all costs incurred at the Facility that are necessary to make the </w:t>
      </w:r>
      <w:r w:rsidR="00A55ED3">
        <w:t xml:space="preserve">Facility </w:t>
      </w:r>
      <w:r>
        <w:t xml:space="preserve">respond to GPC’s AGC signals and to provide all information and control system access needed by GPC to </w:t>
      </w:r>
      <w:proofErr w:type="gramStart"/>
      <w:r>
        <w:t>effect</w:t>
      </w:r>
      <w:proofErr w:type="gramEnd"/>
      <w:r>
        <w:t xml:space="preserve"> these signals. GPC has the right, but not the obligation, to dispatch the </w:t>
      </w:r>
      <w:r w:rsidR="00F52124">
        <w:t xml:space="preserve">Facility </w:t>
      </w:r>
      <w:r>
        <w:t>in the AGC mode. GPC has the right to: (</w:t>
      </w:r>
      <w:proofErr w:type="spellStart"/>
      <w:r>
        <w:t>i</w:t>
      </w:r>
      <w:proofErr w:type="spellEnd"/>
      <w:r>
        <w:t xml:space="preserve">) operate the </w:t>
      </w:r>
      <w:r w:rsidR="00F52124">
        <w:t xml:space="preserve">Facility </w:t>
      </w:r>
      <w:r>
        <w:t xml:space="preserve">on AGC; or (ii) provide a Schedule </w:t>
      </w:r>
      <w:proofErr w:type="gramStart"/>
      <w:r>
        <w:t>to</w:t>
      </w:r>
      <w:proofErr w:type="gramEnd"/>
      <w:r>
        <w:t xml:space="preserve"> Seller at any time. The integrated net effect of AGC during an Hour will be treated as a Schedule and subject to all limitations that otherwise apply to Schedules. If the AGC capability of the </w:t>
      </w:r>
      <w:r w:rsidR="00F52124">
        <w:t xml:space="preserve">Facility </w:t>
      </w:r>
      <w:r>
        <w:t>is unavailable, GPC will utilize non-AGC Scheduling and Seller, at Seller’s expense, must use commercially reasonable efforts to re-establish AGC capability.</w:t>
      </w:r>
    </w:p>
    <w:p w:rsidRPr="006E0A0D" w:rsidR="00D96326" w:rsidP="00B7441B" w:rsidRDefault="00D96326" w14:paraId="28E3A3C1" w14:textId="1DF79DB6">
      <w:pPr>
        <w:pStyle w:val="zGTC03"/>
      </w:pPr>
      <w:r>
        <w:rPr>
          <w:b/>
          <w:bCs/>
        </w:rPr>
        <w:t>Dynamic Scheduling.</w:t>
      </w:r>
      <w:r>
        <w:rPr>
          <w:rFonts w:eastAsiaTheme="minorEastAsia"/>
        </w:rPr>
        <w:t xml:space="preserve"> If the Facility is interconnected </w:t>
      </w:r>
      <w:r>
        <w:rPr>
          <w:rFonts w:cs="Arial" w:eastAsiaTheme="minorEastAsia"/>
          <w:szCs w:val="20"/>
        </w:rPr>
        <w:t>to the Electric System</w:t>
      </w:r>
      <w:r>
        <w:rPr>
          <w:rFonts w:eastAsiaTheme="minorEastAsia"/>
        </w:rPr>
        <w:t xml:space="preserve"> outside of the SBAA, then Seller must cooperate with GPC to implement a dynamic scheduling arrangement regarding Delivered Energy under GPC’s AGC schedules. The arrangement is contingent on: (</w:t>
      </w:r>
      <w:proofErr w:type="spellStart"/>
      <w:r>
        <w:rPr>
          <w:rFonts w:eastAsiaTheme="minorEastAsia"/>
        </w:rPr>
        <w:t>i</w:t>
      </w:r>
      <w:proofErr w:type="spellEnd"/>
      <w:r>
        <w:rPr>
          <w:rFonts w:eastAsiaTheme="minorEastAsia"/>
        </w:rPr>
        <w:t xml:space="preserve">) the Parties’ mutual agreement; and (ii) securing required agreements and arrangements with the applicable balancing area authorities and Transmission Service Providers. </w:t>
      </w:r>
    </w:p>
    <w:p w:rsidRPr="006E0A0D" w:rsidR="00D96326" w:rsidP="00D96326" w:rsidRDefault="00D96326" w14:paraId="400DE49A" w14:textId="4765FC6E">
      <w:pPr>
        <w:pStyle w:val="zGTC04"/>
        <w:rPr>
          <w:rFonts w:cs="Arial" w:eastAsiaTheme="minorEastAsia"/>
        </w:rPr>
      </w:pPr>
      <w:r>
        <w:rPr>
          <w:rFonts w:cs="Arial" w:eastAsiaTheme="minorEastAsia"/>
        </w:rPr>
        <w:t>The dynamic scheduling arrangement will be implemented to transmit energy in accordance with GPC’s AGC schedule from the POI to GPC’s load on the STT.</w:t>
      </w:r>
    </w:p>
    <w:p w:rsidRPr="006E0A0D" w:rsidR="00D96326" w:rsidP="00D96326" w:rsidRDefault="00D96326" w14:paraId="7007B857" w14:textId="6A96A2D0">
      <w:pPr>
        <w:pStyle w:val="zGTC04"/>
      </w:pPr>
      <w:r>
        <w:rPr>
          <w:rFonts w:cs="Arial" w:eastAsiaTheme="minorEastAsia"/>
          <w:szCs w:val="20"/>
        </w:rPr>
        <w:t>The dynamic schedule arrangement must conform to the then-applicable business practices of the applicable balancing authority area(s) and Transmission Service Provider(s).</w:t>
      </w:r>
    </w:p>
    <w:p w:rsidRPr="006E0A0D" w:rsidR="00D96326" w:rsidP="00D96326" w:rsidRDefault="00385E6C" w14:paraId="7337DDFC" w14:textId="6526A0A7">
      <w:pPr>
        <w:pStyle w:val="zGTC04"/>
      </w:pPr>
      <w:r>
        <w:rPr>
          <w:rFonts w:cs="Arial" w:eastAsiaTheme="minorEastAsia"/>
          <w:szCs w:val="20"/>
        </w:rPr>
        <w:t>The dynamic schedule arrangement must include written agreements with the applicable balancing authorities and Transmission Service Provider(s) regarding electronic communications protocols, operating procedures, and the calculation of instantaneous and Hourly integrated dynamic schedule value(s).</w:t>
      </w:r>
    </w:p>
    <w:p w:rsidRPr="006E0A0D" w:rsidR="00D96326" w:rsidP="00D96326" w:rsidRDefault="00D96326" w14:paraId="414BFA78" w14:textId="77777777">
      <w:pPr>
        <w:pStyle w:val="zGTC04"/>
      </w:pPr>
      <w:r>
        <w:rPr>
          <w:rFonts w:cs="Arial" w:eastAsiaTheme="minorEastAsia"/>
          <w:szCs w:val="20"/>
        </w:rPr>
        <w:t>Seller and GPC will install and maintain, or cause to be installed and maintained, any additional telemetry and communications equipment required for operation of the dynamic schedule.</w:t>
      </w:r>
    </w:p>
    <w:p w:rsidRPr="006E0A0D" w:rsidR="00D96326" w:rsidP="00D96326" w:rsidRDefault="00D96326" w14:paraId="1AD4930E" w14:textId="77777777">
      <w:pPr>
        <w:pStyle w:val="zGTC04"/>
      </w:pPr>
      <w:r>
        <w:rPr>
          <w:rFonts w:cs="Arial" w:eastAsiaTheme="minorEastAsia"/>
          <w:szCs w:val="20"/>
        </w:rPr>
        <w:t>GPC’s AGC schedule will be constrained by the Facility high and low operating limits for the applicable period as communicated to GPC by the Facility.</w:t>
      </w:r>
    </w:p>
    <w:p w:rsidRPr="006E0A0D" w:rsidR="00D96326" w:rsidP="00D96326" w:rsidRDefault="00D96326" w14:paraId="681A422C" w14:textId="77777777">
      <w:pPr>
        <w:pStyle w:val="zGTC04"/>
      </w:pPr>
      <w:r>
        <w:t>GPC’s AGC schedule may be limited due to a reliability curtailment enacted by a transmission reliability coordinator.</w:t>
      </w:r>
    </w:p>
    <w:p w:rsidRPr="006E0A0D" w:rsidR="00D96326" w:rsidP="00D96326" w:rsidRDefault="00D96326" w14:paraId="526973C4" w14:textId="51F5A671">
      <w:pPr>
        <w:pStyle w:val="zGTC04"/>
        <w:spacing w:line="259" w:lineRule="auto"/>
        <w:rPr>
          <w:color w:val="000000" w:themeColor="text1"/>
        </w:rPr>
      </w:pPr>
      <w:r>
        <w:lastRenderedPageBreak/>
        <w:t>Delivered Energy will be subject to the then-applicable Maximum Ramp Rate per Exhibit D (</w:t>
      </w:r>
      <w:r>
        <w:rPr>
          <w:i/>
          <w:iCs/>
        </w:rPr>
        <w:t>Technical Limits and Schedule Procedures</w:t>
      </w:r>
      <w:r>
        <w:t>) Section 1.3 (</w:t>
      </w:r>
      <w:r>
        <w:rPr>
          <w:i/>
          <w:iCs/>
        </w:rPr>
        <w:t>Maximum Ramp Rate</w:t>
      </w:r>
      <w:r>
        <w:t>), or if applicable, any ramp rate(s) which are established by the Operating Committee.</w:t>
      </w:r>
    </w:p>
    <w:p w:rsidRPr="006E0A0D" w:rsidR="00D96326" w:rsidP="00EE42F7" w:rsidRDefault="00D96326" w14:paraId="328B019E" w14:textId="77777777">
      <w:pPr>
        <w:pStyle w:val="zGTC04"/>
      </w:pPr>
      <w:r>
        <w:t xml:space="preserve">Energy delivered to GPC’s load on the STT under GPC’s AGC schedule must be delivered to the STT interface net </w:t>
      </w:r>
      <w:proofErr w:type="gramStart"/>
      <w:r>
        <w:t>of</w:t>
      </w:r>
      <w:proofErr w:type="gramEnd"/>
      <w:r>
        <w:t xml:space="preserve"> transmission losses.</w:t>
      </w:r>
      <w:r>
        <w:rPr>
          <w:b/>
          <w:bCs/>
        </w:rPr>
        <w:t xml:space="preserve"> </w:t>
      </w:r>
    </w:p>
    <w:p w:rsidRPr="006E0A0D" w:rsidR="00D96326" w:rsidP="00D96326" w:rsidRDefault="00D96326" w14:paraId="19C9D4F4" w14:textId="77777777">
      <w:pPr>
        <w:pStyle w:val="zGTC02"/>
        <w:rPr>
          <w:rFonts w:ascii="Arial" w:hAnsi="Arial" w:eastAsia="PMingLiU" w:cs="Arial"/>
          <w:vanish/>
          <w:szCs w:val="20"/>
          <w:specVanish/>
        </w:rPr>
      </w:pPr>
      <w:bookmarkStart w:name="_Toc212475691" w:id="164"/>
      <w:bookmarkStart w:name="_Toc227838390" w:id="165"/>
      <w:r>
        <w:rPr>
          <w:rFonts w:ascii="Arial" w:hAnsi="Arial" w:cs="Arial"/>
          <w:szCs w:val="20"/>
        </w:rPr>
        <w:t>Effect of Grid Emergencies.</w:t>
      </w:r>
      <w:bookmarkEnd w:id="164"/>
      <w:bookmarkEnd w:id="165"/>
    </w:p>
    <w:p w:rsidRPr="006E0A0D" w:rsidR="00D96326" w:rsidRDefault="00D96326" w14:paraId="6EFB6436" w14:textId="6765C024">
      <w:pPr>
        <w:pStyle w:val="zGNormal"/>
      </w:pPr>
      <w:r>
        <w:t xml:space="preserve"> The Parties recognize that</w:t>
      </w:r>
      <w:r w:rsidR="007F1298">
        <w:t>,</w:t>
      </w:r>
      <w:r>
        <w:t xml:space="preserve"> </w:t>
      </w:r>
      <w:r>
        <w:rPr>
          <w:rFonts w:eastAsia="Times New Roman"/>
        </w:rPr>
        <w:t>in accordance with</w:t>
      </w:r>
      <w:r>
        <w:t xml:space="preserve"> the IA, Seller may be required to reduce generation or take certain actions during a Grid Emergency and may be required to disconnect the </w:t>
      </w:r>
      <w:r w:rsidR="00F52124">
        <w:t xml:space="preserve">Facility </w:t>
      </w:r>
      <w:r>
        <w:t xml:space="preserve">from the Electric System to allow mitigation of system problems and repair or maintenance </w:t>
      </w:r>
      <w:r w:rsidR="007A13DB">
        <w:t>of</w:t>
      </w:r>
      <w:r>
        <w:t xml:space="preserve"> the Interconnection Facilities or the Electric System.</w:t>
      </w:r>
      <w:r>
        <w:rPr>
          <w:bCs/>
        </w:rPr>
        <w:t xml:space="preserve"> To the extent Seller is required under the </w:t>
      </w:r>
      <w:r>
        <w:t>IA</w:t>
      </w:r>
      <w:r>
        <w:rPr>
          <w:bCs/>
        </w:rPr>
        <w:t xml:space="preserve"> to take any action, other than instances where Seller’s acts or omissions are the cause for the required actions, which will adversely affect Seller’s ability to meet GPC’s Schedules, Seller </w:t>
      </w:r>
      <w:r>
        <w:t>will</w:t>
      </w:r>
      <w:r>
        <w:rPr>
          <w:bCs/>
        </w:rPr>
        <w:t xml:space="preserve"> be excused from meeting GPC’s Schedules and, for purposes of the MAP calculation, the Hours (or equivalent Hours) of Unavailability due to Grid Emergency </w:t>
      </w:r>
      <w:r>
        <w:t>will</w:t>
      </w:r>
      <w:r>
        <w:rPr>
          <w:bCs/>
        </w:rPr>
        <w:t xml:space="preserve"> be subtracted from Unplanned (Forced) Outage Hours and Equivalent Unplanned (Forced) Derated Unit Hours and the Hours (or equivalent Hours) of Unavailability </w:t>
      </w:r>
      <w:r>
        <w:t>will</w:t>
      </w:r>
      <w:r>
        <w:rPr>
          <w:bCs/>
        </w:rPr>
        <w:t xml:space="preserve"> be subtracted from Monthly Hours, as shown in the MAP formulas in Exhibit B (</w:t>
      </w:r>
      <w:r>
        <w:rPr>
          <w:bCs/>
          <w:i/>
          <w:iCs/>
        </w:rPr>
        <w:t>Capacity; Capacity Payments</w:t>
      </w:r>
      <w:r>
        <w:rPr>
          <w:i/>
        </w:rPr>
        <w:t xml:space="preserve"> and Payment Reductions; Buydown</w:t>
      </w:r>
      <w:r>
        <w:rPr>
          <w:bCs/>
        </w:rPr>
        <w:t>), Section 3.2 (</w:t>
      </w:r>
      <w:r>
        <w:rPr>
          <w:bCs/>
          <w:i/>
          <w:iCs/>
        </w:rPr>
        <w:t>Calculation of Monthly Availability Percentage</w:t>
      </w:r>
      <w:r>
        <w:rPr>
          <w:bCs/>
        </w:rPr>
        <w:t>).</w:t>
      </w:r>
    </w:p>
    <w:p w:rsidRPr="006E0A0D" w:rsidR="00D96326" w:rsidP="00D96326" w:rsidRDefault="00D96326" w14:paraId="3D406813" w14:textId="77777777">
      <w:pPr>
        <w:pStyle w:val="zGTC02"/>
        <w:rPr>
          <w:rFonts w:ascii="Arial" w:hAnsi="Arial" w:eastAsia="PMingLiU" w:cs="Arial"/>
          <w:vanish/>
          <w:szCs w:val="20"/>
          <w:specVanish/>
        </w:rPr>
      </w:pPr>
      <w:bookmarkStart w:name="_Toc212475692" w:id="166"/>
      <w:bookmarkStart w:name="_Toc227838391" w:id="167"/>
      <w:r>
        <w:rPr>
          <w:rFonts w:ascii="Arial" w:hAnsi="Arial" w:cs="Arial"/>
          <w:szCs w:val="20"/>
        </w:rPr>
        <w:t xml:space="preserve">Effect of Insufficient Capability </w:t>
      </w:r>
      <w:proofErr w:type="gramStart"/>
      <w:r>
        <w:rPr>
          <w:rFonts w:ascii="Arial" w:hAnsi="Arial" w:cs="Arial"/>
          <w:szCs w:val="20"/>
        </w:rPr>
        <w:t>in</w:t>
      </w:r>
      <w:proofErr w:type="gramEnd"/>
      <w:r>
        <w:rPr>
          <w:rFonts w:ascii="Arial" w:hAnsi="Arial" w:cs="Arial"/>
          <w:szCs w:val="20"/>
        </w:rPr>
        <w:t xml:space="preserve"> the </w:t>
      </w:r>
      <w:r>
        <w:rPr>
          <w:rFonts w:cs="Arial"/>
        </w:rPr>
        <w:t>Electric</w:t>
      </w:r>
      <w:r>
        <w:rPr>
          <w:rFonts w:ascii="Arial" w:hAnsi="Arial" w:cs="Arial"/>
          <w:szCs w:val="20"/>
        </w:rPr>
        <w:t xml:space="preserve"> System.</w:t>
      </w:r>
      <w:bookmarkEnd w:id="166"/>
      <w:bookmarkEnd w:id="167"/>
    </w:p>
    <w:p w:rsidRPr="006E0A0D" w:rsidR="00D96326" w:rsidRDefault="00D96326" w14:paraId="6AE56F80" w14:textId="4589043D">
      <w:pPr>
        <w:pStyle w:val="zGNormal"/>
      </w:pPr>
      <w:r>
        <w:t xml:space="preserve"> If the Electric System is unable to receive the Scheduled Energy from the </w:t>
      </w:r>
      <w:r w:rsidR="00F52124">
        <w:t>Facility</w:t>
      </w:r>
      <w:r>
        <w:t>, Seller will be excused from meeting GPC’s Schedules and,</w:t>
      </w:r>
      <w:r>
        <w:rPr>
          <w:bCs/>
        </w:rPr>
        <w:t xml:space="preserve"> for purposes of the MAP calculation,</w:t>
      </w:r>
      <w:r>
        <w:t xml:space="preserve"> the Hours (or equivalent Hours) of Unavailability will be subtracted from Unplanned (Forced) Outage Hours and Equivalent Unplanned (Forced) Derated Unit Hours and the Hours (or equivalent Hours) of Unavailability will be subtracted from Monthly Hours, as shown in the MAP formulas in </w:t>
      </w:r>
      <w:r>
        <w:rPr>
          <w:bCs/>
        </w:rPr>
        <w:t>Exhibit B (</w:t>
      </w:r>
      <w:r>
        <w:rPr>
          <w:bCs/>
          <w:i/>
          <w:iCs/>
        </w:rPr>
        <w:t>Capacity; Capacity Payments</w:t>
      </w:r>
      <w:r>
        <w:rPr>
          <w:i/>
        </w:rPr>
        <w:t xml:space="preserve"> and Payment Reductions; Buydown</w:t>
      </w:r>
      <w:r>
        <w:rPr>
          <w:bCs/>
        </w:rPr>
        <w:t>), Section 3.2 (</w:t>
      </w:r>
      <w:r>
        <w:rPr>
          <w:bCs/>
          <w:i/>
          <w:iCs/>
        </w:rPr>
        <w:t>Calculation of Monthly Availability Percentage</w:t>
      </w:r>
      <w:r>
        <w:rPr>
          <w:bCs/>
        </w:rPr>
        <w:t>)</w:t>
      </w:r>
      <w:r>
        <w:t>. In the event Seller is utilizing an Alternate Resource to meet GPC’s Schedules and the Electric System is unable to receive the Scheduled Energy from the Alternate Resource, this will be treated as Unavailability to be included in the MAP calculation in accordance with</w:t>
      </w:r>
      <w:r>
        <w:rPr>
          <w:b/>
        </w:rPr>
        <w:t xml:space="preserve"> </w:t>
      </w:r>
      <w:r>
        <w:rPr>
          <w:bCs/>
        </w:rPr>
        <w:t>Exhibit B</w:t>
      </w:r>
      <w:r>
        <w:rPr>
          <w:b/>
        </w:rPr>
        <w:t xml:space="preserve"> </w:t>
      </w:r>
      <w:r>
        <w:rPr>
          <w:bCs/>
        </w:rPr>
        <w:t>(</w:t>
      </w:r>
      <w:r>
        <w:rPr>
          <w:bCs/>
          <w:i/>
          <w:iCs/>
        </w:rPr>
        <w:t>Capacity; Capacity Payments</w:t>
      </w:r>
      <w:r>
        <w:rPr>
          <w:i/>
        </w:rPr>
        <w:t xml:space="preserve"> and Payment Reductions; Buydown</w:t>
      </w:r>
      <w:r>
        <w:rPr>
          <w:bCs/>
        </w:rPr>
        <w:t>)</w:t>
      </w:r>
      <w:r>
        <w:t>, Part 3 (</w:t>
      </w:r>
      <w:r>
        <w:rPr>
          <w:i/>
          <w:iCs/>
        </w:rPr>
        <w:t>Monthly Availability Adjustment</w:t>
      </w:r>
      <w:r>
        <w:t>).</w:t>
      </w:r>
    </w:p>
    <w:p w:rsidRPr="006E0A0D" w:rsidR="007F3965" w:rsidP="007F3965" w:rsidRDefault="007F3965" w14:paraId="000198A0" w14:textId="77777777">
      <w:pPr>
        <w:pStyle w:val="zGTC02"/>
        <w:tabs>
          <w:tab w:val="clear" w:pos="576"/>
          <w:tab w:val="clear" w:pos="720"/>
          <w:tab w:val="num" w:pos="648"/>
        </w:tabs>
        <w:spacing w:before="240" w:after="0"/>
        <w:rPr>
          <w:iCs/>
          <w:vanish/>
          <w:specVanish/>
        </w:rPr>
      </w:pPr>
      <w:bookmarkStart w:name="_Toc137409296" w:id="168"/>
      <w:bookmarkStart w:name="_Toc153986914" w:id="169"/>
      <w:bookmarkStart w:name="_Toc212475693" w:id="170"/>
      <w:bookmarkStart w:name="_Toc227838392" w:id="171"/>
      <w:r>
        <w:t>Transmission and Delivery Responsibilities of GPC.</w:t>
      </w:r>
      <w:bookmarkEnd w:id="168"/>
      <w:bookmarkEnd w:id="169"/>
      <w:bookmarkEnd w:id="170"/>
      <w:bookmarkEnd w:id="171"/>
    </w:p>
    <w:p w:rsidRPr="00655363" w:rsidR="007F3965" w:rsidP="007F3965" w:rsidRDefault="007F3965" w14:paraId="5848EF91" w14:textId="3AB1A0D9">
      <w:pPr>
        <w:pStyle w:val="zGNormal"/>
      </w:pPr>
      <w:r>
        <w:t xml:space="preserve"> GPC will be solely responsible for scheduling and making all necessary arrangements for the Facility to be designated as a Network Resource for serving GPC’s load with deliveries of the energy sourced from the Facility. The designation will be obtained and maintained by GPC from COD throughout the remainder of the Term. The request will be consistent with the Network Resource process described in the Southern OATT. GPC will provide to Seller the OASIS reference number for the designation request. Except as otherwise provided in this PPA, GPC will be solely responsible for all costs and charges incurred in connection with delivery of energy from the POD to GPC’s load, whether imposed pursuant to standards or provisions established by FERC, another Governmental Authority, or any other Person. </w:t>
      </w:r>
    </w:p>
    <w:p w:rsidRPr="00655363" w:rsidR="00957CBA" w:rsidP="00957CBA" w:rsidRDefault="00D575FA" w14:paraId="538E1CDD" w14:textId="6A8DFEA5">
      <w:pPr>
        <w:pStyle w:val="zGTC02"/>
        <w:rPr>
          <w:rFonts w:ascii="Arial" w:hAnsi="Arial" w:eastAsia="PMingLiU" w:cs="Arial"/>
          <w:vanish/>
          <w:szCs w:val="20"/>
          <w:specVanish/>
        </w:rPr>
      </w:pPr>
      <w:bookmarkStart w:name="_Toc160257025" w:id="172"/>
      <w:bookmarkStart w:name="_Toc212475694" w:id="173"/>
      <w:bookmarkStart w:name="_Toc227838393" w:id="174"/>
      <w:r>
        <w:t>Seller Transmission and Delivery Responsibilities.</w:t>
      </w:r>
      <w:bookmarkEnd w:id="172"/>
      <w:bookmarkEnd w:id="173"/>
      <w:bookmarkEnd w:id="174"/>
    </w:p>
    <w:p w:rsidRPr="00655363" w:rsidR="00957CBA" w:rsidP="00957CBA" w:rsidRDefault="00957CBA" w14:paraId="0DF63C68" w14:textId="3625824A">
      <w:pPr>
        <w:pStyle w:val="zGNormal"/>
      </w:pPr>
      <w:r>
        <w:t xml:space="preserve"> If the Facility is interconnected to an Electric System outside the SBAA, Seller is responsible for Firm Transmission Service.</w:t>
      </w:r>
    </w:p>
    <w:p w:rsidRPr="006E0A0D" w:rsidR="00957CBA" w:rsidP="00957CBA" w:rsidRDefault="00957CBA" w14:paraId="3A780765" w14:textId="2A40C96F">
      <w:pPr>
        <w:pStyle w:val="zGTC03"/>
      </w:pPr>
      <w:r>
        <w:rPr>
          <w:b/>
          <w:bCs/>
        </w:rPr>
        <w:t xml:space="preserve">Firm Transmission Service. </w:t>
      </w:r>
      <w:r>
        <w:t>Seller will be solely responsible for making all necessary arrangements for the Firm Transmission Service necessary for the delivery of all energy to the POD, including ancillary services, from the Delivery Commencement Date throughout the remainder of the Term. Seller is solely responsible for all costs and charges incurred concerning providing Firm Transmission Service up to the POD, whether imposed under standards or provisions established by FERC, another Governmental Authority, any Transmission Service Provider, Interconnection Provider, or any other Person, including transmission and distribution costs, scheduling costs, generation and energy imbalance costs, congestion costs, operating reserve charges, and the cost of rights to utilize the transmission or distribution system.</w:t>
      </w:r>
    </w:p>
    <w:p w:rsidRPr="006E0A0D" w:rsidR="00957CBA" w:rsidP="00957CBA" w:rsidRDefault="00957CBA" w14:paraId="29C08E93" w14:textId="19CBE0EC">
      <w:pPr>
        <w:pStyle w:val="zGTC03"/>
      </w:pPr>
      <w:r>
        <w:rPr>
          <w:b/>
          <w:bCs/>
        </w:rPr>
        <w:t>Southern Transmission Interface</w:t>
      </w:r>
      <w:r>
        <w:t>. Seller must: (</w:t>
      </w:r>
      <w:proofErr w:type="spellStart"/>
      <w:r>
        <w:t>i</w:t>
      </w:r>
      <w:proofErr w:type="spellEnd"/>
      <w:r>
        <w:t>) obtain, maintain, and utilize Firm Transmission Service to deliver all energy from the Facility, through any applicable balancing authority area, to the POD; and (ii) provide to GPC all information reasonably requested by GPC, including information regarding the Facility or balancing authority area. Seller must procure Firm Transmission Service for the generating capacity of the Facility throughout the remainder of the Term to effectuate delivery to the selected Southern Transmission Interface.</w:t>
      </w:r>
    </w:p>
    <w:p w:rsidRPr="006E0A0D" w:rsidR="007132B0" w:rsidP="00957CBA" w:rsidRDefault="00A154B0" w14:paraId="083271DB" w14:textId="127C6644">
      <w:pPr>
        <w:pStyle w:val="zGTC03"/>
      </w:pPr>
      <w:r>
        <w:rPr>
          <w:b/>
          <w:bCs/>
        </w:rPr>
        <w:lastRenderedPageBreak/>
        <w:t>Information Regarding Delivery of Energy</w:t>
      </w:r>
      <w:r>
        <w:t xml:space="preserve">. Seller will provide and make available to GPC all information with respect to the delivery of energy and the interruption or curtailment of energy and Seller will use good faith efforts to obtain such information from other pertinent Persons </w:t>
      </w:r>
      <w:proofErr w:type="gramStart"/>
      <w:r>
        <w:t>in order to</w:t>
      </w:r>
      <w:proofErr w:type="gramEnd"/>
      <w:r>
        <w:t xml:space="preserve"> provide such information to GPC. Without limiting the foregoing, from the Delivery Commencement Date through the end of the Term, Seller will provide to GPC the transmission service request identification number for transmission service to the POD and any other information in the possession of Seller required by GPC to receive the energy delivered to or for the account of GPC at the POD.</w:t>
      </w:r>
    </w:p>
    <w:p w:rsidRPr="006E0A0D" w:rsidR="00D96326" w:rsidP="00D96326" w:rsidRDefault="00D96326" w14:paraId="7EF37017" w14:textId="77777777">
      <w:pPr>
        <w:pStyle w:val="zGTC01"/>
        <w:rPr>
          <w:rFonts w:ascii="Arial" w:hAnsi="Arial"/>
          <w:szCs w:val="20"/>
        </w:rPr>
      </w:pPr>
      <w:bookmarkStart w:name="_Toc212475695" w:id="175"/>
      <w:bookmarkStart w:name="_Toc227838394" w:id="176"/>
      <w:r>
        <w:rPr>
          <w:rFonts w:ascii="Arial" w:hAnsi="Arial"/>
          <w:szCs w:val="20"/>
        </w:rPr>
        <w:t>Insurance</w:t>
      </w:r>
      <w:bookmarkEnd w:id="175"/>
      <w:bookmarkEnd w:id="176"/>
    </w:p>
    <w:p w:rsidRPr="006E0A0D" w:rsidR="00D96326" w:rsidP="00D96326" w:rsidRDefault="00D96326" w14:paraId="5C202674" w14:textId="77777777">
      <w:pPr>
        <w:pStyle w:val="zGTC02"/>
        <w:rPr>
          <w:rFonts w:ascii="Arial" w:hAnsi="Arial" w:eastAsia="PMingLiU" w:cs="Arial"/>
          <w:vanish/>
          <w:szCs w:val="20"/>
          <w:specVanish/>
        </w:rPr>
      </w:pPr>
      <w:bookmarkStart w:name="_Toc212475696" w:id="177"/>
      <w:bookmarkStart w:name="_Toc227838395" w:id="178"/>
      <w:r>
        <w:rPr>
          <w:rFonts w:ascii="Arial" w:hAnsi="Arial" w:cs="Arial"/>
          <w:szCs w:val="20"/>
        </w:rPr>
        <w:t>Insurance Required of Seller.</w:t>
      </w:r>
      <w:bookmarkEnd w:id="177"/>
      <w:bookmarkEnd w:id="178"/>
    </w:p>
    <w:p w:rsidRPr="006E0A0D" w:rsidR="00D96326" w:rsidRDefault="00D96326" w14:paraId="587012F8" w14:textId="08109810">
      <w:pPr>
        <w:pStyle w:val="zGNormal"/>
      </w:pPr>
      <w:r>
        <w:t xml:space="preserve"> Throughout the Term, Seller must acquire and maintain in effect without interruption, at its sole cost and expense, the types and amounts of insurance coverage as are consistent with Prudent Industry Practices, but in no event less than the types and amounts described in this Part 13 (</w:t>
      </w:r>
      <w:r>
        <w:rPr>
          <w:i/>
          <w:iCs/>
        </w:rPr>
        <w:t>Insurance</w:t>
      </w:r>
      <w:r>
        <w:t>). All insurance must be with insurers: (</w:t>
      </w:r>
      <w:proofErr w:type="spellStart"/>
      <w:r>
        <w:t>i</w:t>
      </w:r>
      <w:proofErr w:type="spellEnd"/>
      <w:r>
        <w:t>) holding an AM Best rating of at least A- VII or equivalent; (ii) whose financial condition and policy forms are acceptable to GPC (Seller must not unreasonably withhold requested documents); and (iii) authorized to transact insurance in the state where the Facility is located.</w:t>
      </w:r>
    </w:p>
    <w:p w:rsidRPr="006E0A0D" w:rsidR="00D96326" w:rsidP="00D96326" w:rsidRDefault="00D96326" w14:paraId="5E94A456" w14:textId="77777777">
      <w:pPr>
        <w:pStyle w:val="zGTC02"/>
        <w:rPr>
          <w:rFonts w:ascii="Arial" w:hAnsi="Arial" w:eastAsia="PMingLiU" w:cs="Arial"/>
          <w:vanish/>
          <w:szCs w:val="20"/>
          <w:specVanish/>
        </w:rPr>
      </w:pPr>
      <w:bookmarkStart w:name="_Toc212475697" w:id="179"/>
      <w:bookmarkStart w:name="_Toc227838396" w:id="180"/>
      <w:r>
        <w:rPr>
          <w:rFonts w:ascii="Arial" w:hAnsi="Arial" w:cs="Arial"/>
          <w:szCs w:val="20"/>
        </w:rPr>
        <w:t>Proof of Insurance.</w:t>
      </w:r>
      <w:bookmarkEnd w:id="179"/>
      <w:bookmarkEnd w:id="180"/>
    </w:p>
    <w:p w:rsidRPr="006E0A0D" w:rsidR="00D96326" w:rsidRDefault="00D96326" w14:paraId="077154D5" w14:textId="09215314">
      <w:pPr>
        <w:pStyle w:val="zGNormal"/>
      </w:pPr>
      <w:r>
        <w:t xml:space="preserve"> Before the Effective Date and annually after the Effective Date on the COD anniversary, Seller must provide to GPC a certificate of insurance certifying Seller’s coverage under insurance policy(</w:t>
      </w:r>
      <w:proofErr w:type="spellStart"/>
      <w:r>
        <w:t>ies</w:t>
      </w:r>
      <w:proofErr w:type="spellEnd"/>
      <w:r>
        <w:t>) issued by an insurance company or insurance companies meeting the requirements of Section 13.1 (</w:t>
      </w:r>
      <w:r>
        <w:rPr>
          <w:i/>
          <w:iCs/>
        </w:rPr>
        <w:t>Insurance Required of Seller</w:t>
      </w:r>
      <w:r>
        <w:t>). GPC’s receipt or acceptance, without objection, of a certificate of insurance that does not comply with this Part 13 (</w:t>
      </w:r>
      <w:r>
        <w:rPr>
          <w:i/>
          <w:iCs/>
        </w:rPr>
        <w:t>Insurance</w:t>
      </w:r>
      <w:r>
        <w:t xml:space="preserve">) does not operate as GPC’s waiver of Seller’s obligations under the requirements of this Part 13. </w:t>
      </w:r>
    </w:p>
    <w:p w:rsidRPr="006E0A0D" w:rsidR="00D96326" w:rsidP="00D96326" w:rsidRDefault="00D96326" w14:paraId="21D01DD6" w14:textId="77777777">
      <w:pPr>
        <w:pStyle w:val="zGTC02"/>
        <w:rPr>
          <w:rFonts w:ascii="Arial" w:hAnsi="Arial" w:eastAsia="PMingLiU" w:cs="Arial"/>
          <w:vanish/>
          <w:szCs w:val="20"/>
          <w:specVanish/>
        </w:rPr>
      </w:pPr>
      <w:bookmarkStart w:name="_Toc212475698" w:id="181"/>
      <w:bookmarkStart w:name="_Toc227838397" w:id="182"/>
      <w:r>
        <w:rPr>
          <w:b w:val="0"/>
        </w:rPr>
        <w:t>General Terms.</w:t>
      </w:r>
      <w:bookmarkEnd w:id="181"/>
      <w:bookmarkEnd w:id="182"/>
    </w:p>
    <w:p w:rsidRPr="006E0A0D" w:rsidR="00D96326" w:rsidRDefault="00D96326" w14:paraId="77F2E325" w14:textId="3538B4D4">
      <w:pPr>
        <w:pStyle w:val="zGNormal"/>
        <w:rPr>
          <w:b/>
          <w:bCs/>
          <w:u w:val="single"/>
        </w:rPr>
      </w:pPr>
      <w:r>
        <w:t xml:space="preserve"> Upon commencement of operation of the Facility, the required insurance coverage must contain a broad form contractual endorsement specifically covering liabilities arising out of or caused by the operation of the Facility or by Seller’s failure to maintain the Facility in satisfactory and safe operating condition. Seller’s insurance must be primary for any activity arising out of this PPA. Insurance or self-insurance maintained by GPC or other additional insureds is </w:t>
      </w:r>
      <w:proofErr w:type="gramStart"/>
      <w:r>
        <w:t>in excess of</w:t>
      </w:r>
      <w:proofErr w:type="gramEnd"/>
      <w:r>
        <w:t xml:space="preserve"> Seller’s insurance, contingent and non-contributory. To the extent allowed by applicable law, </w:t>
      </w:r>
      <w:r w:rsidR="00D976B7">
        <w:t>the GPC</w:t>
      </w:r>
      <w:r w:rsidR="00BE4860">
        <w:t>-</w:t>
      </w:r>
      <w:r w:rsidR="00D976B7">
        <w:t>Related Parties</w:t>
      </w:r>
      <w:r>
        <w:t xml:space="preserve"> must be additional insureds under the commercial general liability policy, auto liability policy and, if applicable, excess/umbrella policy. </w:t>
      </w:r>
      <w:r>
        <w:rPr>
          <w:b/>
          <w:bCs/>
          <w:u w:val="single"/>
        </w:rPr>
        <w:t xml:space="preserve">To the extent allowed by applicable law, Seller waives, and must require its insurers to waive, a right of subrogation against </w:t>
      </w:r>
      <w:r w:rsidR="00BE4860">
        <w:rPr>
          <w:b/>
          <w:bCs/>
          <w:u w:val="single"/>
        </w:rPr>
        <w:t>the GPC-Related Parties</w:t>
      </w:r>
      <w:r>
        <w:rPr>
          <w:b/>
          <w:bCs/>
          <w:u w:val="single"/>
        </w:rPr>
        <w:t xml:space="preserve"> for the commercial general liability policy, auto liability policy, umbrella policy, if applicable, and the workers’ compensation policy.</w:t>
      </w:r>
    </w:p>
    <w:p w:rsidRPr="006E0A0D" w:rsidR="00D96326" w:rsidP="00D96326" w:rsidRDefault="00D96326" w14:paraId="3C01044B" w14:textId="6AFF488E">
      <w:pPr>
        <w:pStyle w:val="zGTC02"/>
        <w:rPr>
          <w:rFonts w:ascii="Arial" w:hAnsi="Arial" w:eastAsia="PMingLiU" w:cs="Arial"/>
          <w:vanish/>
          <w:szCs w:val="20"/>
          <w:specVanish/>
        </w:rPr>
      </w:pPr>
      <w:bookmarkStart w:name="_Toc212475699" w:id="183"/>
      <w:bookmarkStart w:name="_Toc227838398" w:id="184"/>
      <w:r>
        <w:rPr>
          <w:rFonts w:eastAsia="PMingLiU"/>
        </w:rPr>
        <w:t>Required Insurance.</w:t>
      </w:r>
      <w:bookmarkEnd w:id="183"/>
      <w:bookmarkEnd w:id="184"/>
    </w:p>
    <w:p w:rsidRPr="006E0A0D" w:rsidR="00D96326" w:rsidRDefault="00D96326" w14:paraId="0E0E82D9" w14:textId="77777777">
      <w:pPr>
        <w:pStyle w:val="zGNormal"/>
      </w:pPr>
      <w:r>
        <w:t xml:space="preserve"> Seller must acquire and maintain throughout the Term, the following types of insurance:</w:t>
      </w:r>
    </w:p>
    <w:p w:rsidRPr="00CF5355" w:rsidR="00D96326" w:rsidP="00A154B0" w:rsidRDefault="00D96326" w14:paraId="5DBE6AE3" w14:textId="77777777">
      <w:pPr>
        <w:pStyle w:val="zGTC03"/>
        <w:rPr>
          <w:rFonts w:eastAsia="PMingLiU"/>
        </w:rPr>
      </w:pPr>
      <w:r>
        <w:rPr>
          <w:b/>
          <w:bCs/>
        </w:rPr>
        <w:t>Commercial General Liability Insurance.</w:t>
      </w:r>
      <w:r>
        <w:t xml:space="preserve"> </w:t>
      </w:r>
      <w:bookmarkStart w:name="_Hlk34375558" w:id="185"/>
      <w:r>
        <w:t xml:space="preserve">Commercial General Liability insurance </w:t>
      </w:r>
      <w:proofErr w:type="gramStart"/>
      <w:r>
        <w:t>providing</w:t>
      </w:r>
      <w:proofErr w:type="gramEnd"/>
      <w:r>
        <w:t xml:space="preserve"> the following coverage, which can be exceeded by Seller and may be met through a combination of primary insurance and following form excess or umbrella insurance, so long as the combined limits meet requirements of this PPA:</w:t>
      </w:r>
      <w:bookmarkEnd w:id="185"/>
    </w:p>
    <w:p w:rsidRPr="006E0A0D" w:rsidR="00D96326" w:rsidP="00D96326" w:rsidRDefault="00D96326" w14:paraId="6D177F2C" w14:textId="7D5BC2B5">
      <w:pPr>
        <w:pStyle w:val="zGTC04"/>
      </w:pPr>
      <w:bookmarkStart w:name="_Hlk34375577" w:id="186"/>
      <w:r>
        <w:rPr>
          <w:b/>
          <w:bCs/>
        </w:rPr>
        <w:t>General Requirements.</w:t>
      </w:r>
      <w:r>
        <w:t xml:space="preserve"> Commercial general liability insurance in an “occurrence” form with bodily injury and property damage combined liability limits of not less than </w:t>
      </w:r>
      <w:r>
        <w:rPr>
          <w:b/>
          <w:bCs/>
        </w:rPr>
        <w:t>twenty million dollars ($20,000,000.00)</w:t>
      </w:r>
      <w:r>
        <w:t xml:space="preserve"> per occurrence and in </w:t>
      </w:r>
      <w:r w:rsidR="00A03481">
        <w:t xml:space="preserve">the </w:t>
      </w:r>
      <w:r>
        <w:t>aggregate, except that: (</w:t>
      </w:r>
      <w:proofErr w:type="spellStart"/>
      <w:r>
        <w:t>i</w:t>
      </w:r>
      <w:proofErr w:type="spellEnd"/>
      <w:r>
        <w:t>) Seller may use any combination of primary or excess policies to satisfy the overall limit requirements; and (ii) if Seller uses a “claims-made” policy, it must maintain continuous coverage in effect for at least five years beyond termination of this PPA, through continuous renewal of the original policy or by purchasing extended discovery period or retroactive insurance dated back to the Effective Date of this PPA.</w:t>
      </w:r>
      <w:bookmarkEnd w:id="186"/>
    </w:p>
    <w:p w:rsidRPr="006E0A0D" w:rsidR="00D96326" w:rsidP="00D96326" w:rsidRDefault="00D96326" w14:paraId="3976ACBA" w14:textId="77777777">
      <w:pPr>
        <w:pStyle w:val="zGTC04"/>
      </w:pPr>
      <w:r>
        <w:rPr>
          <w:b/>
          <w:bCs/>
        </w:rPr>
        <w:t>Additional Requirements.</w:t>
      </w:r>
      <w:r>
        <w:t xml:space="preserve"> Specific coverage for broad form contractual liability and a separation of insureds provision.</w:t>
      </w:r>
    </w:p>
    <w:p w:rsidRPr="006E0A0D" w:rsidR="0008095A" w:rsidP="00FA5260" w:rsidRDefault="00D96326" w14:paraId="4A33F89A" w14:textId="77777777">
      <w:pPr>
        <w:pStyle w:val="zGTC03"/>
        <w:rPr>
          <w:rFonts w:eastAsia="PMingLiU" w:cs="Arial"/>
          <w:vanish/>
          <w:szCs w:val="20"/>
          <w:specVanish/>
        </w:rPr>
      </w:pPr>
      <w:bookmarkStart w:name="_Toc212475700" w:id="187"/>
      <w:r w:rsidRPr="00FA5260">
        <w:rPr>
          <w:b/>
          <w:bCs/>
        </w:rPr>
        <w:t>Additional Insurance.</w:t>
      </w:r>
      <w:bookmarkEnd w:id="187"/>
    </w:p>
    <w:p w:rsidRPr="006E0A0D" w:rsidR="00D96326" w:rsidRDefault="00D96326" w14:paraId="11FFE068" w14:textId="30FA2C82">
      <w:pPr>
        <w:pStyle w:val="zGNormal"/>
      </w:pPr>
      <w:r>
        <w:t xml:space="preserve"> In addition to the</w:t>
      </w:r>
      <w:r w:rsidR="009764A4">
        <w:t xml:space="preserve"> other</w:t>
      </w:r>
      <w:r>
        <w:t xml:space="preserve"> requirements in Sections 13.1 (</w:t>
      </w:r>
      <w:r>
        <w:rPr>
          <w:i/>
          <w:iCs/>
        </w:rPr>
        <w:t>Insurance Required of Seller</w:t>
      </w:r>
      <w:r>
        <w:t>) through 13.4 (</w:t>
      </w:r>
      <w:r>
        <w:rPr>
          <w:i/>
          <w:iCs/>
        </w:rPr>
        <w:t>Required Insurance</w:t>
      </w:r>
      <w:r>
        <w:t>), Seller must acquire and maintain throughout the Term, the following additional types of insurance:</w:t>
      </w:r>
    </w:p>
    <w:p w:rsidRPr="006E0A0D" w:rsidR="00D96326" w:rsidP="005F26BE" w:rsidRDefault="00D96326" w14:paraId="2050C030" w14:textId="5F2D011C">
      <w:pPr>
        <w:pStyle w:val="zGTC04"/>
      </w:pPr>
      <w:r>
        <w:rPr>
          <w:b/>
          <w:bCs/>
        </w:rPr>
        <w:lastRenderedPageBreak/>
        <w:t>Workers’ Compensation.</w:t>
      </w:r>
      <w:r>
        <w:t xml:space="preserve"> </w:t>
      </w:r>
      <w:bookmarkStart w:name="_Hlk34375646" w:id="188"/>
      <w:r>
        <w:t xml:space="preserve">Workers’ compensation insurance in accordance with statutory requirements, including employer’s liability insurance, with limits not less than </w:t>
      </w:r>
      <w:r>
        <w:rPr>
          <w:b/>
          <w:bCs/>
        </w:rPr>
        <w:t>one million dollars ($1,000,000.00)</w:t>
      </w:r>
      <w:r>
        <w:t xml:space="preserve"> per occurrence and in the aggregate, and endorsement providing insurance for obligations under the U.S. Longshoremen’s and Harbor Worker’s Compensation Act and the Jones Act, where applicable.</w:t>
      </w:r>
      <w:bookmarkEnd w:id="188"/>
    </w:p>
    <w:p w:rsidRPr="006E0A0D" w:rsidR="00D96326" w:rsidP="00693D06" w:rsidRDefault="00D96326" w14:paraId="54E9B313" w14:textId="0510A85E">
      <w:pPr>
        <w:pStyle w:val="zGTC04"/>
      </w:pPr>
      <w:r>
        <w:rPr>
          <w:b/>
          <w:bCs/>
        </w:rPr>
        <w:t>Auto Liability.</w:t>
      </w:r>
      <w:r>
        <w:t xml:space="preserve"> </w:t>
      </w:r>
      <w:bookmarkStart w:name="_Hlk34375667" w:id="189"/>
      <w:r>
        <w:t xml:space="preserve">Automobile liability insurance including owned, non-owned, and hired automobiles with combined bodily injury and property damage limits of at least </w:t>
      </w:r>
      <w:r>
        <w:rPr>
          <w:b/>
          <w:bCs/>
        </w:rPr>
        <w:t>two million dollars ($2,000,000</w:t>
      </w:r>
      <w:r w:rsidR="00387F17">
        <w:rPr>
          <w:b/>
          <w:bCs/>
        </w:rPr>
        <w:t>.00</w:t>
      </w:r>
      <w:r>
        <w:rPr>
          <w:b/>
          <w:bCs/>
        </w:rPr>
        <w:t>)</w:t>
      </w:r>
      <w:r>
        <w:t>.</w:t>
      </w:r>
      <w:bookmarkEnd w:id="189"/>
    </w:p>
    <w:p w:rsidRPr="006E0A0D" w:rsidR="00D96326" w:rsidP="00693D06" w:rsidRDefault="00D96326" w14:paraId="2487BE3D" w14:textId="25C52912">
      <w:pPr>
        <w:pStyle w:val="zGTC04"/>
        <w:rPr>
          <w:rFonts w:cs="Arial"/>
        </w:rPr>
      </w:pPr>
      <w:r>
        <w:rPr>
          <w:b/>
          <w:bCs/>
        </w:rPr>
        <w:t>Pollution Liability.</w:t>
      </w:r>
      <w:r>
        <w:t xml:space="preserve"> </w:t>
      </w:r>
      <w:bookmarkStart w:name="_Hlk34375730" w:id="190"/>
      <w:r>
        <w:t xml:space="preserve">Coverage for bodily injury, property damage, including clean-up costs and defense costs resulting from sudden, accidental, or gradual pollution conditions, including the discharge, dispersal, release or escape of smoke, vapors, soot, fumes, acids, alkalis, toxic chemicals, hydrocarbons, liquids or gases, waste materials or other irritants, contaminants or pollutants into or upon land, the atmosphere or any water course or body of water will be maintained, with limits not less than </w:t>
      </w:r>
      <w:r>
        <w:rPr>
          <w:b/>
          <w:bCs/>
        </w:rPr>
        <w:t>five million dollars ($5,000,000.00)</w:t>
      </w:r>
      <w:r>
        <w:t xml:space="preserve"> per occurrence or claim, except that, if Seller uses a “claims-made” policy, the policy must maintain continuous coverage in effect for at least five years beyond termination of this PPA through continuous renewal of the original policy or by purchasing extended discovery period retroactive insurance dated back to the Effective Date of this PPA.</w:t>
      </w:r>
      <w:bookmarkEnd w:id="190"/>
      <w:r>
        <w:t xml:space="preserve"> Seller</w:t>
      </w:r>
      <w:r>
        <w:rPr>
          <w:rFonts w:cs="Arial"/>
        </w:rPr>
        <w:t xml:space="preserve"> may meet the requirements under this Section 13.</w:t>
      </w:r>
      <w:r w:rsidR="009F4781">
        <w:rPr>
          <w:rFonts w:cs="Arial"/>
        </w:rPr>
        <w:t>4</w:t>
      </w:r>
      <w:r>
        <w:rPr>
          <w:rFonts w:cs="Arial"/>
        </w:rPr>
        <w:t>.</w:t>
      </w:r>
      <w:r w:rsidR="009F4781">
        <w:rPr>
          <w:rFonts w:cs="Arial"/>
        </w:rPr>
        <w:t>2(iii)</w:t>
      </w:r>
      <w:r>
        <w:rPr>
          <w:rFonts w:cs="Arial"/>
        </w:rPr>
        <w:t xml:space="preserve"> (</w:t>
      </w:r>
      <w:r>
        <w:rPr>
          <w:rFonts w:cs="Arial"/>
          <w:i/>
        </w:rPr>
        <w:t>Pollution Liability</w:t>
      </w:r>
      <w:r>
        <w:rPr>
          <w:rFonts w:cs="Arial"/>
        </w:rPr>
        <w:t>) through sudden or accidental pollution coverage as part of the insurance required under Section 13.4.1 (</w:t>
      </w:r>
      <w:r>
        <w:rPr>
          <w:rFonts w:cs="Arial"/>
          <w:i/>
        </w:rPr>
        <w:t>Commercial General Liability Insurance</w:t>
      </w:r>
      <w:r>
        <w:rPr>
          <w:rFonts w:cs="Arial"/>
        </w:rPr>
        <w:t>).</w:t>
      </w:r>
    </w:p>
    <w:p w:rsidRPr="006E0A0D" w:rsidR="00D96326" w:rsidP="00693D06" w:rsidRDefault="00D96326" w14:paraId="0699F7F1" w14:textId="77777777">
      <w:pPr>
        <w:pStyle w:val="zGTC04"/>
      </w:pPr>
      <w:r>
        <w:rPr>
          <w:b/>
          <w:bCs/>
        </w:rPr>
        <w:t>All Risk Property.</w:t>
      </w:r>
      <w:r>
        <w:t xml:space="preserve"> Replacement cost of the Facility. A deductible may be carried, which will be the absolute responsibility of Seller.</w:t>
      </w:r>
    </w:p>
    <w:p w:rsidRPr="006E0A0D" w:rsidR="00D96326" w:rsidP="00693D06" w:rsidRDefault="00D96326" w14:paraId="5BC97A7E" w14:textId="16ADB315">
      <w:pPr>
        <w:pStyle w:val="zGTC04"/>
        <w:rPr>
          <w:rFonts w:cs="Arial"/>
        </w:rPr>
      </w:pPr>
      <w:r>
        <w:rPr>
          <w:rFonts w:cs="Arial"/>
          <w:b/>
        </w:rPr>
        <w:t>Umbrella/Excess.</w:t>
      </w:r>
      <w:r>
        <w:rPr>
          <w:rFonts w:cs="Arial"/>
        </w:rPr>
        <w:t xml:space="preserve"> </w:t>
      </w:r>
      <w:r>
        <w:rPr>
          <w:rFonts w:eastAsia="PMingLiU"/>
        </w:rPr>
        <w:t xml:space="preserve">Umbrella/Excess Liability Insurance on an occurrence basis </w:t>
      </w:r>
      <w:proofErr w:type="gramStart"/>
      <w:r>
        <w:rPr>
          <w:rFonts w:eastAsia="PMingLiU"/>
        </w:rPr>
        <w:t>in excess of</w:t>
      </w:r>
      <w:proofErr w:type="gramEnd"/>
      <w:r>
        <w:rPr>
          <w:rFonts w:eastAsia="PMingLiU"/>
        </w:rPr>
        <w:t xml:space="preserve"> the underlying insurance identified in </w:t>
      </w:r>
      <w:r w:rsidR="009F4781">
        <w:rPr>
          <w:rFonts w:eastAsia="PMingLiU"/>
        </w:rPr>
        <w:t xml:space="preserve">this </w:t>
      </w:r>
      <w:r>
        <w:rPr>
          <w:rFonts w:eastAsia="PMingLiU"/>
        </w:rPr>
        <w:t>Section 13.4 (</w:t>
      </w:r>
      <w:r>
        <w:rPr>
          <w:rFonts w:eastAsia="PMingLiU"/>
          <w:i/>
          <w:iCs/>
        </w:rPr>
        <w:t>Required Insurance</w:t>
      </w:r>
      <w:r>
        <w:rPr>
          <w:rFonts w:eastAsia="PMingLiU"/>
        </w:rPr>
        <w:t xml:space="preserve">), </w:t>
      </w:r>
      <w:r w:rsidR="009F4781">
        <w:rPr>
          <w:rFonts w:eastAsia="PMingLiU"/>
        </w:rPr>
        <w:t xml:space="preserve">except for workers’ compensation, </w:t>
      </w:r>
      <w:r>
        <w:rPr>
          <w:rFonts w:eastAsia="PMingLiU"/>
        </w:rPr>
        <w:t xml:space="preserve">and which is at least as broad as </w:t>
      </w:r>
      <w:proofErr w:type="gramStart"/>
      <w:r>
        <w:rPr>
          <w:rFonts w:eastAsia="PMingLiU"/>
        </w:rPr>
        <w:t>each and every</w:t>
      </w:r>
      <w:proofErr w:type="gramEnd"/>
      <w:r>
        <w:rPr>
          <w:rFonts w:eastAsia="PMingLiU"/>
        </w:rPr>
        <w:t xml:space="preserve"> one of the underlying policies. The umbrella/excess liability policy must be written on a “drop-down-following form” basis. The amounts of insurance required may be satisfied by Seller purchasing coverage for the </w:t>
      </w:r>
      <w:proofErr w:type="gramStart"/>
      <w:r>
        <w:rPr>
          <w:rFonts w:eastAsia="PMingLiU"/>
        </w:rPr>
        <w:t>limits specified</w:t>
      </w:r>
      <w:proofErr w:type="gramEnd"/>
      <w:r>
        <w:rPr>
          <w:rFonts w:eastAsia="PMingLiU"/>
        </w:rPr>
        <w:t xml:space="preserve"> or by any combination of underlying and umbrella limits, so long as the total amount of insurance is not less than </w:t>
      </w:r>
      <w:r>
        <w:rPr>
          <w:rFonts w:eastAsia="PMingLiU"/>
          <w:b/>
          <w:bCs/>
        </w:rPr>
        <w:t>twenty million dollars ($20,000,000.00)</w:t>
      </w:r>
      <w:r>
        <w:rPr>
          <w:rFonts w:eastAsia="PMingLiU"/>
        </w:rPr>
        <w:t xml:space="preserve"> any one occurrence and annually reinstating general aggregate.</w:t>
      </w:r>
    </w:p>
    <w:p w:rsidRPr="006E0A0D" w:rsidR="00D96326" w:rsidP="00D96326" w:rsidRDefault="00D96326" w14:paraId="5B6D187A" w14:textId="77777777">
      <w:pPr>
        <w:pStyle w:val="zGTC02"/>
        <w:rPr>
          <w:rFonts w:ascii="Arial" w:hAnsi="Arial" w:eastAsia="PMingLiU" w:cs="Arial"/>
          <w:vanish/>
          <w:szCs w:val="20"/>
          <w:specVanish/>
        </w:rPr>
      </w:pPr>
      <w:bookmarkStart w:name="_Toc212475701" w:id="191"/>
      <w:bookmarkStart w:name="_Toc227838399" w:id="192"/>
      <w:r>
        <w:rPr>
          <w:rFonts w:ascii="Arial" w:hAnsi="Arial" w:cs="Arial"/>
          <w:szCs w:val="20"/>
        </w:rPr>
        <w:t>Notice of Change or Cancellation.</w:t>
      </w:r>
      <w:bookmarkEnd w:id="191"/>
      <w:bookmarkEnd w:id="192"/>
    </w:p>
    <w:p w:rsidRPr="006E0A0D" w:rsidR="00D96326" w:rsidRDefault="00D96326" w14:paraId="0350DEF5" w14:textId="77777777">
      <w:pPr>
        <w:pStyle w:val="zGNormal"/>
      </w:pPr>
      <w:r>
        <w:t xml:space="preserve"> </w:t>
      </w:r>
      <w:bookmarkStart w:name="_Hlk34375774" w:id="193"/>
      <w:r>
        <w:t>The required insurance policies will be endorsed with a provision requiring the insurance company to notify GPC at least 30 Days prior to the effective date of any cancellation, except for a 10 Days’ notice for nonpayment of premium. If notice of cancellation is only commercially available to Seller’s attention, then Seller will forward the 30-Day (or, for non-payment of premium, 10 Days’) advance notice to GPC immediately upon receipt. Furthermore, Seller agrees to notify GPC at least 30 Days before the effective date of any known material change in a required policy.</w:t>
      </w:r>
      <w:bookmarkEnd w:id="193"/>
    </w:p>
    <w:p w:rsidRPr="006E0A0D" w:rsidR="00D96326" w:rsidP="00D96326" w:rsidRDefault="00D96326" w14:paraId="5086204A" w14:textId="77777777">
      <w:pPr>
        <w:pStyle w:val="zGTC02"/>
        <w:rPr>
          <w:rFonts w:ascii="Arial" w:hAnsi="Arial" w:eastAsia="PMingLiU" w:cs="Arial"/>
          <w:vanish/>
          <w:szCs w:val="20"/>
          <w:specVanish/>
        </w:rPr>
      </w:pPr>
      <w:bookmarkStart w:name="_Toc212475702" w:id="194"/>
      <w:bookmarkStart w:name="_Toc227838400" w:id="195"/>
      <w:r>
        <w:rPr>
          <w:rFonts w:ascii="Arial" w:hAnsi="Arial" w:cs="Arial"/>
          <w:szCs w:val="20"/>
        </w:rPr>
        <w:t>Payment of Premiums.</w:t>
      </w:r>
      <w:bookmarkEnd w:id="194"/>
      <w:bookmarkEnd w:id="195"/>
    </w:p>
    <w:p w:rsidRPr="006E0A0D" w:rsidR="00D96326" w:rsidRDefault="00D96326" w14:paraId="44919512" w14:textId="42C53731">
      <w:pPr>
        <w:pStyle w:val="zGNormal"/>
      </w:pPr>
      <w:r>
        <w:t xml:space="preserve"> </w:t>
      </w:r>
      <w:bookmarkStart w:name="_Hlk34375808" w:id="196"/>
      <w:r>
        <w:t>Seller must pay all premiums and other charges due on each insurance policy and will keep all coverage in force throughout the Term.</w:t>
      </w:r>
      <w:bookmarkEnd w:id="196"/>
      <w:r>
        <w:t xml:space="preserve"> If Seller fails to pay any premium, GPC may (but will not have any obligation), in GPC’s sole discretion, elect to pay the premiums on Seller’s behalf and withhold any amount paid from any amount due to Seller under this PPA.</w:t>
      </w:r>
    </w:p>
    <w:p w:rsidRPr="006E0A0D" w:rsidR="00D96326" w:rsidP="00D96326" w:rsidRDefault="00D96326" w14:paraId="2010AA62" w14:textId="77777777">
      <w:pPr>
        <w:pStyle w:val="zGTC02"/>
        <w:rPr>
          <w:rFonts w:ascii="Arial" w:hAnsi="Arial" w:eastAsia="PMingLiU" w:cs="Arial"/>
          <w:vanish/>
          <w:szCs w:val="20"/>
          <w:specVanish/>
        </w:rPr>
      </w:pPr>
      <w:bookmarkStart w:name="_Toc212475703" w:id="197"/>
      <w:bookmarkStart w:name="_Toc227838401" w:id="198"/>
      <w:r>
        <w:rPr>
          <w:rFonts w:ascii="Arial" w:hAnsi="Arial" w:cs="Arial"/>
          <w:szCs w:val="20"/>
        </w:rPr>
        <w:t>No Waiver of Liability.</w:t>
      </w:r>
      <w:bookmarkEnd w:id="197"/>
      <w:bookmarkEnd w:id="198"/>
    </w:p>
    <w:p w:rsidRPr="006E0A0D" w:rsidR="00D96326" w:rsidRDefault="00D96326" w14:paraId="3A653915" w14:textId="77777777">
      <w:pPr>
        <w:pStyle w:val="zGNormal"/>
      </w:pPr>
      <w:r>
        <w:t xml:space="preserve"> </w:t>
      </w:r>
      <w:bookmarkStart w:name="_Hlk34375832" w:id="199"/>
      <w:r>
        <w:t xml:space="preserve">The provisions requiring Seller to acquire and maintain insurance under this PPA will not be construed as a waiver, restriction, or limitation of any liability imposed on Seller under this PPA, whether the liability is covered by insurance. It is the intent of the Parties, however, that to the extent there is insurance coverage available to cover the legal or contractually assumed liability of Seller, any payments due because of such liability will be made first </w:t>
      </w:r>
      <w:proofErr w:type="gramStart"/>
      <w:r>
        <w:t>from</w:t>
      </w:r>
      <w:proofErr w:type="gramEnd"/>
      <w:r>
        <w:t xml:space="preserve"> the proceeds of such policies.</w:t>
      </w:r>
      <w:bookmarkEnd w:id="199"/>
    </w:p>
    <w:p w:rsidRPr="006E0A0D" w:rsidR="00D96326" w:rsidP="00D96326" w:rsidRDefault="00D96326" w14:paraId="584BBF68" w14:textId="77777777">
      <w:pPr>
        <w:pStyle w:val="zGTC01"/>
      </w:pPr>
      <w:bookmarkStart w:name="_Toc212475704" w:id="200"/>
      <w:bookmarkStart w:name="_Toc227838402" w:id="201"/>
      <w:r>
        <w:t>Risk and Claims</w:t>
      </w:r>
      <w:bookmarkEnd w:id="200"/>
      <w:bookmarkEnd w:id="201"/>
    </w:p>
    <w:p w:rsidRPr="006E0A0D" w:rsidR="00D96326" w:rsidP="00D96326" w:rsidRDefault="00D96326" w14:paraId="6CFADE62" w14:textId="77777777">
      <w:pPr>
        <w:pStyle w:val="zGTC02"/>
        <w:rPr>
          <w:rFonts w:ascii="Arial" w:hAnsi="Arial" w:eastAsia="PMingLiU" w:cs="Arial"/>
          <w:vanish/>
          <w:szCs w:val="20"/>
          <w:specVanish/>
        </w:rPr>
      </w:pPr>
      <w:bookmarkStart w:name="_Toc212475705" w:id="202"/>
      <w:bookmarkStart w:name="_Toc227838403" w:id="203"/>
      <w:r>
        <w:rPr>
          <w:rFonts w:eastAsia="PMingLiU"/>
        </w:rPr>
        <w:t>Liability for Facility.</w:t>
      </w:r>
      <w:bookmarkEnd w:id="202"/>
      <w:bookmarkEnd w:id="203"/>
    </w:p>
    <w:p w:rsidRPr="00CF3C3E" w:rsidR="00D96326" w:rsidRDefault="00D96326" w14:paraId="6F323B20" w14:textId="607A0D8B">
      <w:pPr>
        <w:pStyle w:val="zGNormal"/>
        <w:rPr>
          <w:specVanish/>
        </w:rPr>
      </w:pPr>
      <w:r>
        <w:rPr>
          <w:b/>
          <w:bCs/>
          <w:u w:val="single"/>
        </w:rPr>
        <w:t xml:space="preserve"> As between the Parties, Seller retains all liability and risk regarding the Facility (including each Unit) and the Site. GPC: (</w:t>
      </w:r>
      <w:proofErr w:type="spellStart"/>
      <w:r>
        <w:rPr>
          <w:b/>
          <w:bCs/>
          <w:u w:val="single"/>
        </w:rPr>
        <w:t>i</w:t>
      </w:r>
      <w:proofErr w:type="spellEnd"/>
      <w:r>
        <w:rPr>
          <w:b/>
          <w:bCs/>
          <w:u w:val="single"/>
        </w:rPr>
        <w:t>) assumes no duty, responsibility, obligation, or liability regarding Facility or Site condition or operation; (ii) is not liable for injury or damage associated with the Site or the Facility (including its operation, maintenance, repair, or replacement); and (iii) is not responsible for transmission, distribution, or control of electric energy within the Site or at the Facility.</w:t>
      </w:r>
      <w:r w:rsidR="00650579">
        <w:rPr>
          <w:b/>
          <w:bCs/>
          <w:u w:val="single"/>
        </w:rPr>
        <w:t xml:space="preserve"> </w:t>
      </w:r>
      <w:r w:rsidR="00C17FA9">
        <w:rPr>
          <w:b/>
          <w:bCs/>
          <w:u w:val="single"/>
        </w:rPr>
        <w:lastRenderedPageBreak/>
        <w:t xml:space="preserve">The limitations in </w:t>
      </w:r>
      <w:proofErr w:type="gramStart"/>
      <w:r w:rsidR="00C17FA9">
        <w:rPr>
          <w:b/>
          <w:bCs/>
          <w:u w:val="single"/>
        </w:rPr>
        <w:t>this Section</w:t>
      </w:r>
      <w:proofErr w:type="gramEnd"/>
      <w:r w:rsidR="00C17FA9">
        <w:rPr>
          <w:b/>
          <w:bCs/>
          <w:u w:val="single"/>
        </w:rPr>
        <w:t xml:space="preserve"> 14.1 (</w:t>
      </w:r>
      <w:r w:rsidRPr="000777BF" w:rsidR="00C17FA9">
        <w:rPr>
          <w:b/>
          <w:bCs/>
          <w:i/>
          <w:iCs/>
          <w:u w:val="single"/>
        </w:rPr>
        <w:t>Liability for Facility</w:t>
      </w:r>
      <w:r w:rsidR="00C17FA9">
        <w:rPr>
          <w:b/>
          <w:bCs/>
          <w:u w:val="single"/>
        </w:rPr>
        <w:t xml:space="preserve">) do not apply to </w:t>
      </w:r>
      <w:r w:rsidR="002417D4">
        <w:rPr>
          <w:b/>
          <w:bCs/>
          <w:u w:val="single"/>
        </w:rPr>
        <w:t xml:space="preserve">the extent </w:t>
      </w:r>
      <w:r w:rsidR="00C17FA9">
        <w:rPr>
          <w:b/>
          <w:bCs/>
          <w:u w:val="single"/>
        </w:rPr>
        <w:t xml:space="preserve">injury or damage </w:t>
      </w:r>
      <w:r w:rsidR="00DE548B">
        <w:rPr>
          <w:b/>
          <w:bCs/>
          <w:u w:val="single"/>
        </w:rPr>
        <w:t xml:space="preserve">is </w:t>
      </w:r>
      <w:r w:rsidR="00C17FA9">
        <w:rPr>
          <w:b/>
          <w:bCs/>
          <w:u w:val="single"/>
        </w:rPr>
        <w:t>caused by GPC’s sole negligence, gross negligence, or intentional misconduct.</w:t>
      </w:r>
    </w:p>
    <w:p w:rsidRPr="006E0A0D" w:rsidR="00D96326" w:rsidP="00D96326" w:rsidRDefault="00D96326" w14:paraId="75133F9F" w14:textId="77777777">
      <w:pPr>
        <w:pStyle w:val="zGTC02"/>
        <w:rPr>
          <w:rFonts w:ascii="Arial" w:hAnsi="Arial" w:eastAsia="PMingLiU" w:cs="Arial"/>
          <w:vanish/>
          <w:szCs w:val="20"/>
          <w:specVanish/>
        </w:rPr>
      </w:pPr>
      <w:bookmarkStart w:name="_Toc212475706" w:id="204"/>
      <w:bookmarkStart w:name="_Toc227838404" w:id="205"/>
      <w:r>
        <w:rPr>
          <w:rFonts w:ascii="Arial" w:hAnsi="Arial" w:cs="Arial"/>
          <w:szCs w:val="20"/>
        </w:rPr>
        <w:t>No Liability.</w:t>
      </w:r>
      <w:bookmarkEnd w:id="204"/>
      <w:bookmarkEnd w:id="205"/>
    </w:p>
    <w:p w:rsidRPr="006E0A0D" w:rsidR="00D96326" w:rsidRDefault="00D96326" w14:paraId="7E7CA07B" w14:textId="0661BB82">
      <w:pPr>
        <w:pStyle w:val="zGNormal"/>
        <w:rPr>
          <w:u w:val="single"/>
        </w:rPr>
      </w:pPr>
      <w:r>
        <w:rPr>
          <w:b/>
          <w:bCs/>
          <w:u w:val="single"/>
        </w:rPr>
        <w:t xml:space="preserve"> Neither Party is responsible for the other Party’s equipment, including its condition or operation. Neither Party is responsible for the distribution or control of electric energy on the other Party’s side of the POD. GPC is not responsible for physical damage to, or destruction </w:t>
      </w:r>
      <w:r w:rsidR="0018269D">
        <w:rPr>
          <w:b/>
          <w:bCs/>
          <w:u w:val="single"/>
        </w:rPr>
        <w:t xml:space="preserve">or degradation </w:t>
      </w:r>
      <w:r>
        <w:rPr>
          <w:b/>
          <w:bCs/>
          <w:u w:val="single"/>
        </w:rPr>
        <w:t>of, Seller’s property, nor will Seller seek recovery from GPC for property damage (including loss of use or electric service outage), except in the case of sole negligence or intentional wrongdoing by GPC or Persons acting on behalf of GPC and for whom GPC is otherwise responsible. Without limiting the generality of the previous sentence, neither Party is liable to the other for damage arising from the simple failure (i.e., failure not caused by breach of contract, negligence, or intentional wrongful act) of a protective device or scheme.</w:t>
      </w:r>
      <w:r w:rsidR="001D157C">
        <w:rPr>
          <w:b/>
          <w:bCs/>
          <w:u w:val="single"/>
        </w:rPr>
        <w:t xml:space="preserve"> </w:t>
      </w:r>
      <w:r w:rsidR="00542BE6">
        <w:rPr>
          <w:b/>
          <w:bCs/>
          <w:u w:val="single"/>
        </w:rPr>
        <w:t>The limitations in this Section 14.2 (</w:t>
      </w:r>
      <w:r w:rsidRPr="000777BF" w:rsidR="00542BE6">
        <w:rPr>
          <w:b/>
          <w:bCs/>
          <w:i/>
          <w:iCs/>
          <w:u w:val="single"/>
        </w:rPr>
        <w:t>No Liability</w:t>
      </w:r>
      <w:r w:rsidR="00542BE6">
        <w:rPr>
          <w:b/>
          <w:bCs/>
          <w:u w:val="single"/>
        </w:rPr>
        <w:t xml:space="preserve">) do not apply to </w:t>
      </w:r>
      <w:r w:rsidR="00396946">
        <w:rPr>
          <w:b/>
          <w:bCs/>
          <w:u w:val="single"/>
        </w:rPr>
        <w:t xml:space="preserve">the extent </w:t>
      </w:r>
      <w:r w:rsidR="00542BE6">
        <w:rPr>
          <w:b/>
          <w:bCs/>
          <w:u w:val="single"/>
        </w:rPr>
        <w:t xml:space="preserve">injury or damage </w:t>
      </w:r>
      <w:r w:rsidR="006E6050">
        <w:rPr>
          <w:b/>
          <w:bCs/>
          <w:u w:val="single"/>
        </w:rPr>
        <w:t xml:space="preserve">is </w:t>
      </w:r>
      <w:r w:rsidR="00542BE6">
        <w:rPr>
          <w:b/>
          <w:bCs/>
          <w:u w:val="single"/>
        </w:rPr>
        <w:t>caused by the sole negligence, gross negligence, or intentional misconduct of a Party or any Persons acting on behalf of such Party for whom such Party is responsible.</w:t>
      </w:r>
    </w:p>
    <w:p w:rsidRPr="006E0A0D" w:rsidR="00D96326" w:rsidP="00D96326" w:rsidRDefault="00D96326" w14:paraId="0E259A47" w14:textId="77777777">
      <w:pPr>
        <w:pStyle w:val="zGTC02"/>
        <w:rPr>
          <w:rFonts w:eastAsia="PMingLiU"/>
          <w:vanish/>
          <w:specVanish/>
        </w:rPr>
      </w:pPr>
      <w:bookmarkStart w:name="_Toc212475707" w:id="206"/>
      <w:bookmarkStart w:name="_Toc227838405" w:id="207"/>
      <w:r>
        <w:t>Scope of Indemnity.</w:t>
      </w:r>
      <w:bookmarkEnd w:id="206"/>
      <w:bookmarkEnd w:id="207"/>
    </w:p>
    <w:p w:rsidRPr="00C76B76" w:rsidR="00D96326" w:rsidP="00C76B76" w:rsidRDefault="00D96326" w14:paraId="413966BF" w14:textId="25277B37">
      <w:pPr>
        <w:pStyle w:val="zGNormal"/>
        <w:rPr>
          <w:b/>
          <w:bCs/>
          <w:u w:val="single"/>
        </w:rPr>
      </w:pPr>
      <w:r>
        <w:t xml:space="preserve"> </w:t>
      </w:r>
      <w:r>
        <w:rPr>
          <w:b/>
          <w:bCs/>
          <w:u w:val="single"/>
        </w:rPr>
        <w:t>To the fullest extent allowed by applicable law, Seller must indemnify, release, hold harmless, and, at GPC’s request, defend GPC and any GPC-Related Party from or against a Claim caused by, arising out of, or related to an act or omission associated with the Facility or this PPA by a</w:t>
      </w:r>
      <w:r w:rsidR="0018269D">
        <w:rPr>
          <w:b/>
          <w:bCs/>
          <w:u w:val="single"/>
        </w:rPr>
        <w:t>ny</w:t>
      </w:r>
      <w:r>
        <w:rPr>
          <w:b/>
          <w:bCs/>
          <w:u w:val="single"/>
        </w:rPr>
        <w:t xml:space="preserve"> Seller Entity, including, for the avoidance of doubt, any Cyber Security Incident. If the Claim ar</w:t>
      </w:r>
      <w:r w:rsidR="003853FF">
        <w:rPr>
          <w:b/>
          <w:bCs/>
          <w:u w:val="single"/>
        </w:rPr>
        <w:t>ises</w:t>
      </w:r>
      <w:r>
        <w:rPr>
          <w:b/>
          <w:bCs/>
          <w:u w:val="single"/>
        </w:rPr>
        <w:t xml:space="preserve"> out of the joint, concurrent, or contributory acts of both Parties, Seller’s liability under this Section 14.3 (</w:t>
      </w:r>
      <w:r>
        <w:rPr>
          <w:b/>
          <w:bCs/>
          <w:i/>
          <w:iCs/>
          <w:u w:val="single"/>
        </w:rPr>
        <w:t>Scope of Indemnity</w:t>
      </w:r>
      <w:r>
        <w:rPr>
          <w:b/>
          <w:bCs/>
          <w:u w:val="single"/>
        </w:rPr>
        <w:t xml:space="preserve">) is proportional to the extent the Claim </w:t>
      </w:r>
      <w:r w:rsidR="008B70F3">
        <w:rPr>
          <w:b/>
          <w:bCs/>
          <w:u w:val="single"/>
        </w:rPr>
        <w:t xml:space="preserve">is </w:t>
      </w:r>
      <w:r>
        <w:rPr>
          <w:b/>
          <w:bCs/>
          <w:u w:val="single"/>
        </w:rPr>
        <w:t>attributable to a Seller Entity</w:t>
      </w:r>
      <w:r w:rsidR="008B70F3">
        <w:rPr>
          <w:b/>
          <w:bCs/>
          <w:u w:val="single"/>
        </w:rPr>
        <w:t>; provided however, if</w:t>
      </w:r>
      <w:r>
        <w:rPr>
          <w:b/>
          <w:bCs/>
          <w:u w:val="single"/>
        </w:rPr>
        <w:t xml:space="preserve"> the Claim is for personal or bodily injury (including death) to Seller Entity personnel or for damage to Seller Entity or Facility property, Seller is fully responsible to GPC-Related Parties under this Section 14.3</w:t>
      </w:r>
      <w:r w:rsidR="004F32E1">
        <w:rPr>
          <w:b/>
          <w:bCs/>
          <w:u w:val="single"/>
        </w:rPr>
        <w:t>, unless such Claim arose out of the gross negligence or intentional misconduct of a GPC-Related Party, in which case Seller’s liability is limited to its proportionate share as described above</w:t>
      </w:r>
      <w:r>
        <w:rPr>
          <w:b/>
          <w:bCs/>
          <w:u w:val="single"/>
        </w:rPr>
        <w:t>. If the Claim result</w:t>
      </w:r>
      <w:r w:rsidR="00F63E79">
        <w:rPr>
          <w:b/>
          <w:bCs/>
          <w:u w:val="single"/>
        </w:rPr>
        <w:t>s</w:t>
      </w:r>
      <w:r>
        <w:rPr>
          <w:b/>
          <w:bCs/>
          <w:u w:val="single"/>
        </w:rPr>
        <w:t xml:space="preserve"> from the sole negligence of a GPC-Related Party, Seller will not be liable under this Section 14.3. Seller’s indemnity obligations are independent of its insurance obligations. The indemnity obligation expressly includes any Claim from any GPC customer or any third party arising from Seller’s operation of the Facility.</w:t>
      </w:r>
    </w:p>
    <w:p w:rsidRPr="006E0A0D" w:rsidR="00D4000E" w:rsidP="00D4000E" w:rsidRDefault="00D96326" w14:paraId="68C792A4" w14:textId="77777777">
      <w:pPr>
        <w:pStyle w:val="zGTC02"/>
        <w:rPr>
          <w:rFonts w:eastAsia="PMingLiU"/>
          <w:vanish/>
          <w:specVanish/>
        </w:rPr>
      </w:pPr>
      <w:bookmarkStart w:name="_Toc212475708" w:id="208"/>
      <w:bookmarkStart w:name="_Toc227838406" w:id="209"/>
      <w:r>
        <w:t>Survival</w:t>
      </w:r>
      <w:r>
        <w:rPr>
          <w:b w:val="0"/>
          <w:bCs/>
        </w:rPr>
        <w:t>.</w:t>
      </w:r>
      <w:bookmarkEnd w:id="208"/>
      <w:bookmarkEnd w:id="209"/>
    </w:p>
    <w:p w:rsidRPr="00D4000E" w:rsidR="00D96326" w:rsidP="00D4000E" w:rsidRDefault="00207B6B" w14:paraId="52277B50" w14:textId="3A1AC490">
      <w:pPr>
        <w:pStyle w:val="zGNormal"/>
        <w:rPr>
          <w:rFonts w:eastAsia="PMingLiU"/>
          <w:b/>
          <w:specVanish/>
        </w:rPr>
      </w:pPr>
      <w:r>
        <w:rPr>
          <w:b/>
          <w:bCs/>
        </w:rPr>
        <w:t xml:space="preserve"> </w:t>
      </w:r>
      <w:r>
        <w:t>D</w:t>
      </w:r>
      <w:r>
        <w:rPr>
          <w:rStyle w:val="zGNormalChar"/>
        </w:rPr>
        <w:t>espite the expiration or termination of this PPA, Seller’s indemnification obligations under this Part 14 (</w:t>
      </w:r>
      <w:r w:rsidRPr="009A3D72">
        <w:rPr>
          <w:rStyle w:val="zGNormalChar"/>
          <w:i/>
          <w:iCs/>
        </w:rPr>
        <w:t>Risk and Claims</w:t>
      </w:r>
      <w:r>
        <w:rPr>
          <w:rStyle w:val="zGNormalChar"/>
        </w:rPr>
        <w:t xml:space="preserve">) will survive and continue in full force and effect after such expiration or termination, by default or otherwise, regardless of whether such obligations accrue prior to or after </w:t>
      </w:r>
      <w:r w:rsidR="009A3D72">
        <w:rPr>
          <w:rStyle w:val="zGNormalChar"/>
        </w:rPr>
        <w:t>PPA</w:t>
      </w:r>
      <w:r>
        <w:rPr>
          <w:rStyle w:val="zGNormalChar"/>
        </w:rPr>
        <w:t xml:space="preserve"> expiration or termination.</w:t>
      </w:r>
    </w:p>
    <w:p w:rsidRPr="006E0A0D" w:rsidR="00D96326" w:rsidP="00D96326" w:rsidRDefault="00D96326" w14:paraId="0E3DC6CD" w14:textId="77777777">
      <w:pPr>
        <w:pStyle w:val="zGTC01"/>
        <w:rPr>
          <w:rFonts w:ascii="Arial" w:hAnsi="Arial"/>
          <w:szCs w:val="20"/>
        </w:rPr>
      </w:pPr>
      <w:bookmarkStart w:name="_Toc212475709" w:id="210"/>
      <w:bookmarkStart w:name="_Toc227838407" w:id="211"/>
      <w:r>
        <w:rPr>
          <w:rFonts w:ascii="Arial" w:hAnsi="Arial"/>
          <w:szCs w:val="20"/>
        </w:rPr>
        <w:t>Force Majeure</w:t>
      </w:r>
      <w:bookmarkEnd w:id="210"/>
      <w:bookmarkEnd w:id="211"/>
    </w:p>
    <w:p w:rsidRPr="006E0A0D" w:rsidR="00D96326" w:rsidP="00D96326" w:rsidRDefault="00D96326" w14:paraId="73005F7E" w14:textId="77777777">
      <w:pPr>
        <w:pStyle w:val="zGTC02"/>
        <w:rPr>
          <w:rFonts w:ascii="Arial" w:hAnsi="Arial" w:eastAsia="PMingLiU" w:cs="Arial"/>
          <w:vanish/>
          <w:szCs w:val="20"/>
          <w:specVanish/>
        </w:rPr>
      </w:pPr>
      <w:bookmarkStart w:name="_Toc212475710" w:id="212"/>
      <w:bookmarkStart w:name="_Toc227838408" w:id="213"/>
      <w:r>
        <w:rPr>
          <w:rFonts w:ascii="Arial" w:hAnsi="Arial" w:cs="Arial"/>
          <w:szCs w:val="20"/>
        </w:rPr>
        <w:t>Definition of Force Majeure Event.</w:t>
      </w:r>
      <w:bookmarkEnd w:id="212"/>
      <w:bookmarkEnd w:id="213"/>
    </w:p>
    <w:p w:rsidRPr="006E0A0D" w:rsidR="00D96326" w:rsidRDefault="00D96326" w14:paraId="705C4760" w14:textId="456A0BF6">
      <w:pPr>
        <w:pStyle w:val="zGNormal"/>
        <w:rPr>
          <w:rStyle w:val="zGNormalChar"/>
          <w:rFonts w:eastAsia="PMingLiU"/>
        </w:rPr>
      </w:pPr>
      <w:r>
        <w:rPr>
          <w:rStyle w:val="zGNormalChar"/>
        </w:rPr>
        <w:t xml:space="preserve"> For purposes of this PPA, a “</w:t>
      </w:r>
      <w:r>
        <w:rPr>
          <w:rStyle w:val="zGNormalChar"/>
          <w:b/>
        </w:rPr>
        <w:t>Force Majeure Event (FME)</w:t>
      </w:r>
      <w:r>
        <w:rPr>
          <w:rStyle w:val="zGNormalChar"/>
        </w:rPr>
        <w:t>” is an occurrence, nonoccurrence, or set of circumstances that: (</w:t>
      </w:r>
      <w:proofErr w:type="spellStart"/>
      <w:r>
        <w:rPr>
          <w:rStyle w:val="zGNormalChar"/>
        </w:rPr>
        <w:t>i</w:t>
      </w:r>
      <w:proofErr w:type="spellEnd"/>
      <w:r>
        <w:rPr>
          <w:rStyle w:val="zGNormalChar"/>
        </w:rPr>
        <w:t xml:space="preserve">) first occurs after the Effective Date; (ii) prevents a Party, in whole or in part, from performing any PPA obligation or satisfying any PPA condition; (iii) is beyond the reasonable control of the Party claiming FME; (iv) is not reasonably foreseeable (or, if foreseeable, cannot reasonably be avoided); and (v) is not caused by the Party’s negligence, inaction, lack of due diligence, PPA breach, or failure to follow Prudent Industry Practices. </w:t>
      </w:r>
    </w:p>
    <w:p w:rsidRPr="006E0A0D" w:rsidR="00D96326" w:rsidP="00D96326" w:rsidRDefault="004803DB" w14:paraId="1F2B2F94" w14:textId="79FC3577">
      <w:pPr>
        <w:pStyle w:val="zGTC02"/>
        <w:rPr>
          <w:rFonts w:eastAsia="PMingLiU"/>
          <w:vanish/>
          <w:szCs w:val="20"/>
          <w:specVanish/>
        </w:rPr>
      </w:pPr>
      <w:bookmarkStart w:name="_Toc159987972" w:id="214"/>
      <w:bookmarkStart w:name="_Toc212475711" w:id="215"/>
      <w:bookmarkStart w:name="_Toc227838409" w:id="216"/>
      <w:r>
        <w:rPr>
          <w:rStyle w:val="zGNormalChar"/>
          <w:rFonts w:ascii="Arial" w:hAnsi="Arial"/>
        </w:rPr>
        <w:t>Force Majeure Exclusions</w:t>
      </w:r>
      <w:bookmarkEnd w:id="214"/>
      <w:r>
        <w:rPr>
          <w:rStyle w:val="zGNormalChar"/>
          <w:rFonts w:ascii="Arial" w:hAnsi="Arial"/>
        </w:rPr>
        <w:t>.</w:t>
      </w:r>
      <w:bookmarkEnd w:id="215"/>
      <w:bookmarkEnd w:id="216"/>
    </w:p>
    <w:p w:rsidRPr="006E0A0D" w:rsidR="00D96326" w:rsidDel="00331EAD" w:rsidP="00D73A4C" w:rsidRDefault="00D96326" w14:paraId="56CD046D" w14:textId="4B4A2D61">
      <w:pPr>
        <w:pStyle w:val="zGNormal"/>
        <w:rPr>
          <w:rFonts w:eastAsia="PMingLiU"/>
        </w:rPr>
      </w:pPr>
      <w:r>
        <w:rPr>
          <w:rStyle w:val="zGNormalChar"/>
          <w:b/>
        </w:rPr>
        <w:t xml:space="preserve"> </w:t>
      </w:r>
      <w:r w:rsidRPr="00D73A4C" w:rsidR="00D73A4C">
        <w:t>FME excludes: (</w:t>
      </w:r>
      <w:proofErr w:type="spellStart"/>
      <w:r w:rsidRPr="00D73A4C" w:rsidR="00D73A4C">
        <w:t>i</w:t>
      </w:r>
      <w:proofErr w:type="spellEnd"/>
      <w:r w:rsidRPr="00D73A4C" w:rsidR="00D73A4C">
        <w:t>) the inability to comply with an applicable law for any reason other than the inability to comply with a change in an applicable law for non-economic reasons; (ii) the inability to comply with a change in an applicable law for purely economic reasons; (iii) a Site-specific strike, walkout, lockout, or other labor dispute at the Facility; (iv) ambient temperature or humidity at the Site; (v) failure or inability to obtain or retain sufficient funds for any reason, including funds from a Governmental Authority, or Seller’s loss of or inability to obtain or retain any tax credit or other incentive regarding any portion of the Facility; (vi) any event, including a change in any applicable law or accounting standard, that requires GPC to consolidate Seller or any Seller Affiliate or permitted assign as a VIE in GPC’s financial statements;</w:t>
      </w:r>
      <w:r w:rsidRPr="00D73A4C" w:rsidR="00D73A4C">
        <w:rPr>
          <w:bCs/>
        </w:rPr>
        <w:t xml:space="preserve"> (vii) </w:t>
      </w:r>
      <w:r w:rsidRPr="00D73A4C" w:rsidR="00D73A4C">
        <w:t>any inability to obtain or maintain, or delay in obtaining, any required permit, approval, or other Consent from a Governmental Authority;</w:t>
      </w:r>
      <w:r w:rsidRPr="00D73A4C" w:rsidR="00D73A4C">
        <w:rPr>
          <w:bCs/>
        </w:rPr>
        <w:t xml:space="preserve"> (viii) equipment failure or damage; (ix) a change in any market condition that affects the cost or availability of equipment, materials, supplies, or services, including the cost of power from resources other than the Facility; (x) any act or inaction of a Party’s contractor, supplier, or vendor; (xi) Seller’s inability to arrange or maintain interconnection service for deliveries to the POD; (xii) the interruption, curtailment, or unavailability of service for the transmission of energy from the Facility for any reason; (xiii) any directive from the Interconnection Provider </w:t>
      </w:r>
      <w:r w:rsidRPr="00D73A4C" w:rsidR="00D73A4C">
        <w:rPr>
          <w:bCs/>
        </w:rPr>
        <w:lastRenderedPageBreak/>
        <w:t xml:space="preserve">or Transmission Service Provider to curtail deliveries of energy or disconnect the Facility from the Electric System; or </w:t>
      </w:r>
      <w:r w:rsidRPr="00D73A4C" w:rsidR="00D73A4C">
        <w:t>(xiv) any: (a) inability by GPC to obtain Natural Gas supply; (b) failure by a Natural Gas transporter to deliver sufficient quantities of Natural Gas for GPC to perform its obligations under this PPA; or (c) inability by GPC to receive energy at the POD, so long as the inability is not caused by Seller’s action or inaction</w:t>
      </w:r>
      <w:r w:rsidRPr="00D73A4C" w:rsidR="00D73A4C">
        <w:rPr>
          <w:bCs/>
        </w:rPr>
        <w:t xml:space="preserve">. Despite the preceding </w:t>
      </w:r>
      <w:r w:rsidR="004B247F">
        <w:rPr>
          <w:bCs/>
        </w:rPr>
        <w:t>sentence</w:t>
      </w:r>
      <w:r w:rsidRPr="00D73A4C" w:rsidR="00D73A4C">
        <w:rPr>
          <w:bCs/>
        </w:rPr>
        <w:t>, a Party claiming FME may be excused from PPA performance if: (a) a separate event that otherwise constitutes an FME directly and independently causes a circumstance described in subparts (viii) through (xiv); and (b) the Party satisfies all other requirements of this Part 15 (</w:t>
      </w:r>
      <w:r w:rsidRPr="00D73A4C" w:rsidR="00D73A4C">
        <w:rPr>
          <w:bCs/>
          <w:i/>
        </w:rPr>
        <w:t>Force Majeure</w:t>
      </w:r>
      <w:r w:rsidRPr="00D73A4C" w:rsidR="00D73A4C">
        <w:rPr>
          <w:bCs/>
        </w:rPr>
        <w:t>). For avoidance of doubt, a Change of Law may constitute an FME to the extent it meets the requirements of Section 15.1 (</w:t>
      </w:r>
      <w:r w:rsidRPr="00D73A4C" w:rsidR="00D73A4C">
        <w:rPr>
          <w:bCs/>
          <w:i/>
          <w:iCs/>
        </w:rPr>
        <w:t>Definition of Force Majeure Event</w:t>
      </w:r>
      <w:r w:rsidRPr="00D73A4C" w:rsidR="00D73A4C">
        <w:rPr>
          <w:bCs/>
        </w:rPr>
        <w:t xml:space="preserve">) and </w:t>
      </w:r>
      <w:proofErr w:type="gramStart"/>
      <w:r w:rsidRPr="00D73A4C" w:rsidR="00D73A4C">
        <w:rPr>
          <w:bCs/>
        </w:rPr>
        <w:t>this Section</w:t>
      </w:r>
      <w:proofErr w:type="gramEnd"/>
      <w:r w:rsidRPr="00D73A4C" w:rsidR="00D73A4C">
        <w:rPr>
          <w:bCs/>
        </w:rPr>
        <w:t xml:space="preserve"> 15.2 (</w:t>
      </w:r>
      <w:r w:rsidRPr="00D73A4C" w:rsidR="00D73A4C">
        <w:rPr>
          <w:bCs/>
          <w:i/>
          <w:iCs/>
        </w:rPr>
        <w:t>Force Majeure Exclusions</w:t>
      </w:r>
      <w:r w:rsidRPr="00D73A4C" w:rsidR="00D73A4C">
        <w:rPr>
          <w:bCs/>
        </w:rPr>
        <w:t>).</w:t>
      </w:r>
      <w:bookmarkStart w:name="_Toc149177645" w:id="217"/>
      <w:bookmarkEnd w:id="217"/>
    </w:p>
    <w:p w:rsidRPr="006E0A0D" w:rsidR="00D96326" w:rsidP="00D96326" w:rsidRDefault="00D96326" w14:paraId="122FA444" w14:textId="77777777">
      <w:pPr>
        <w:pStyle w:val="zGTC02"/>
        <w:rPr>
          <w:rFonts w:ascii="Arial" w:hAnsi="Arial" w:eastAsia="PMingLiU" w:cs="Arial"/>
          <w:vanish/>
          <w:szCs w:val="20"/>
          <w:specVanish/>
        </w:rPr>
      </w:pPr>
      <w:bookmarkStart w:name="_Toc212475712" w:id="218"/>
      <w:bookmarkStart w:name="_Toc227838410" w:id="219"/>
      <w:r>
        <w:rPr>
          <w:rFonts w:ascii="Arial" w:hAnsi="Arial" w:cs="Arial"/>
          <w:szCs w:val="20"/>
        </w:rPr>
        <w:t>No Breach or Liability.</w:t>
      </w:r>
      <w:bookmarkEnd w:id="218"/>
      <w:bookmarkEnd w:id="219"/>
    </w:p>
    <w:p w:rsidRPr="006E0A0D" w:rsidR="00D96326" w:rsidRDefault="00D96326" w14:paraId="48BD6FF0" w14:textId="4D5C471F">
      <w:pPr>
        <w:pStyle w:val="zGNormal"/>
      </w:pPr>
      <w:r>
        <w:t xml:space="preserve"> If an FME occurs, subject to compliance with all provisions of this Part 15 (</w:t>
      </w:r>
      <w:r>
        <w:rPr>
          <w:i/>
        </w:rPr>
        <w:t>Force Majeure</w:t>
      </w:r>
      <w:r>
        <w:t>), the affected Party will be excused from performance of its obligations impacted by the FME, other than payment obligations that accrued before the declaration of the FME, and will not be construed to be in default regarding the obligations to the extent that, and only for so long as, the failure to perform is due to an FME. However, the suspension of performance due to an FME will be of no greater scope and of no longer duration than is required by the FME. Despite any other provision in this PPA, no FME will extend this PPA beyond the Term.</w:t>
      </w:r>
    </w:p>
    <w:p w:rsidRPr="006E0A0D" w:rsidR="00D96326" w:rsidP="00B7441B" w:rsidRDefault="00D96326" w14:paraId="267C1C9C" w14:textId="00793E40">
      <w:pPr>
        <w:pStyle w:val="zGTC03"/>
        <w:rPr>
          <w:rFonts w:cs="Arial"/>
        </w:rPr>
      </w:pPr>
      <w:r>
        <w:rPr>
          <w:b/>
          <w:bCs/>
        </w:rPr>
        <w:t xml:space="preserve">Burden of Proof and Supporting Documentation. </w:t>
      </w:r>
      <w:r>
        <w:t>The burden of proof as to whether an FME has occurred and as to the impact of an FME will be upon the affected Party. If the affected Party requests that its performance be excused because of an FME, then the affected Party must support its request with documentation demonstrating: (</w:t>
      </w:r>
      <w:proofErr w:type="spellStart"/>
      <w:r>
        <w:t>i</w:t>
      </w:r>
      <w:proofErr w:type="spellEnd"/>
      <w:r>
        <w:t>) the existence of the FME; (ii) efforts by the affected Party to overcome or mitigate the effect of the FME; and (iii) following the conclusion of the FME, an analysis of the number of Days the FME delayed or otherwise prevented the performance of the affected Party’s obligations or satisfaction of any condition of this PPA and, if the FME occurred after the COD, information reasonably required to determine the amount of Undelivered Force Majeure Energy. The affected Party must provide the required documentation by no later than 10 Business Days after the date the FME concludes.</w:t>
      </w:r>
    </w:p>
    <w:p w:rsidRPr="006E0A0D" w:rsidR="00D96326" w:rsidP="00B7441B" w:rsidRDefault="00D96326" w14:paraId="02625F06" w14:textId="14C699E0">
      <w:pPr>
        <w:pStyle w:val="zGTC03"/>
      </w:pPr>
      <w:r>
        <w:rPr>
          <w:b/>
          <w:bCs/>
        </w:rPr>
        <w:t xml:space="preserve">Extension of RCOD. </w:t>
      </w:r>
      <w:r>
        <w:t>If an FME directly and substantially impacts a critical path item on the Milestone Schedule and, as a result, prevents Seller from achieving Commercial Operation by the RCOD, then the RCOD will be extended by the number of Days of the delay caused by the impact to the critical path item on the Milestone Schedule, so long as, as a condition to any such extension of the RCOD, Seller must comply with the requirements of this Part 15 (</w:t>
      </w:r>
      <w:r>
        <w:rPr>
          <w:i/>
          <w:iCs/>
        </w:rPr>
        <w:t>Force Majeure</w:t>
      </w:r>
      <w:r>
        <w:t>), including Seller undertaking all commercially reasonable efforts to avoid, overcome, or otherwise mitigate the delay by revising, rearranging, expediting, or accelerating the Milestone Schedule.</w:t>
      </w:r>
    </w:p>
    <w:p w:rsidRPr="006E0A0D" w:rsidR="00D96326" w:rsidP="00D96326" w:rsidRDefault="00D96326" w14:paraId="12E40E33" w14:textId="77777777">
      <w:pPr>
        <w:pStyle w:val="zGTC02"/>
        <w:rPr>
          <w:rFonts w:ascii="Arial" w:hAnsi="Arial" w:eastAsia="PMingLiU" w:cs="Arial"/>
          <w:vanish/>
          <w:szCs w:val="20"/>
          <w:specVanish/>
        </w:rPr>
      </w:pPr>
      <w:bookmarkStart w:name="_Toc212475713" w:id="220"/>
      <w:bookmarkStart w:name="_Toc227838411" w:id="221"/>
      <w:r>
        <w:rPr>
          <w:rFonts w:ascii="Arial" w:hAnsi="Arial" w:cs="Arial"/>
          <w:szCs w:val="20"/>
        </w:rPr>
        <w:t>Monthly Capacity Payments.</w:t>
      </w:r>
      <w:bookmarkEnd w:id="220"/>
      <w:bookmarkEnd w:id="221"/>
    </w:p>
    <w:p w:rsidRPr="006E0A0D" w:rsidR="00D96326" w:rsidRDefault="00D96326" w14:paraId="520163AA" w14:textId="20522A04">
      <w:pPr>
        <w:pStyle w:val="zGNormal"/>
      </w:pPr>
      <w:r>
        <w:t xml:space="preserve"> In the case of an Unavailability Event caused by an FME declared by Seller </w:t>
      </w:r>
      <w:r>
        <w:rPr>
          <w:rFonts w:eastAsia="Times New Roman"/>
        </w:rPr>
        <w:t>in accordance with this</w:t>
      </w:r>
      <w:r>
        <w:t xml:space="preserve"> Part 15 (</w:t>
      </w:r>
      <w:r>
        <w:rPr>
          <w:i/>
          <w:iCs/>
        </w:rPr>
        <w:t>Force Majeure</w:t>
      </w:r>
      <w:r>
        <w:t>), GPC’s obligation to make a Monthly Capacity Payment for any Month will be excused pro rata, based on the number of the Days in the Month and the extent to which Seller is prevented on those Days from satisfying Scheduling Instructions from GPC because of the FME.</w:t>
      </w:r>
    </w:p>
    <w:p w:rsidRPr="006E0A0D" w:rsidR="00D96326" w:rsidP="00D96326" w:rsidRDefault="00D96326" w14:paraId="1A5956E3" w14:textId="77777777">
      <w:pPr>
        <w:pStyle w:val="zGTC02"/>
        <w:rPr>
          <w:rFonts w:ascii="Arial" w:hAnsi="Arial" w:eastAsia="PMingLiU" w:cs="Arial"/>
          <w:vanish/>
          <w:szCs w:val="20"/>
          <w:specVanish/>
        </w:rPr>
      </w:pPr>
      <w:bookmarkStart w:name="_Toc212475714" w:id="222"/>
      <w:bookmarkStart w:name="_Toc227838412" w:id="223"/>
      <w:r>
        <w:rPr>
          <w:rFonts w:ascii="Arial" w:hAnsi="Arial" w:cs="Arial"/>
          <w:szCs w:val="20"/>
        </w:rPr>
        <w:t xml:space="preserve">Notice of </w:t>
      </w:r>
      <w:proofErr w:type="gramStart"/>
      <w:r>
        <w:rPr>
          <w:rFonts w:ascii="Arial" w:hAnsi="Arial" w:cs="Arial"/>
          <w:szCs w:val="20"/>
        </w:rPr>
        <w:t>FME;</w:t>
      </w:r>
      <w:proofErr w:type="gramEnd"/>
      <w:r>
        <w:rPr>
          <w:rFonts w:ascii="Arial" w:hAnsi="Arial" w:cs="Arial"/>
          <w:szCs w:val="20"/>
        </w:rPr>
        <w:t xml:space="preserve"> Updates.</w:t>
      </w:r>
      <w:bookmarkEnd w:id="222"/>
      <w:bookmarkEnd w:id="223"/>
    </w:p>
    <w:p w:rsidRPr="006E0A0D" w:rsidR="00D96326" w:rsidRDefault="00D96326" w14:paraId="3C45EA12" w14:textId="3EA877EC">
      <w:pPr>
        <w:pStyle w:val="zGNormal"/>
      </w:pPr>
      <w:r>
        <w:t xml:space="preserve"> Following the occurrence of an FME, and as a condition to relief under Section 15.</w:t>
      </w:r>
      <w:r w:rsidR="00FC7221">
        <w:t>6</w:t>
      </w:r>
      <w:r>
        <w:t xml:space="preserve"> (</w:t>
      </w:r>
      <w:r w:rsidR="00732542">
        <w:rPr>
          <w:i/>
        </w:rPr>
        <w:t>Requirements for Relief</w:t>
      </w:r>
      <w:r>
        <w:t xml:space="preserve">), the affected Party will give the other Party notice of the FME as promptly as possible after the affected Party becomes aware of the FME, but in no event later than 10 Business Days after the affected Party knew or should have known of the occurrence of the FME. The notice must describe the particulars of the FME, including an estimate of the anticipated duration and effect of the FME (if reasonably estimable) upon the performance of the Party’s obligations or satisfaction of any conditions under this PPA (including, if Seller is the affected Party, Seller must provide GPC with information reasonably required to determine the reduction of the </w:t>
      </w:r>
      <w:r w:rsidR="00F52124">
        <w:t xml:space="preserve">Facility’s </w:t>
      </w:r>
      <w:r>
        <w:t>generating capability), and discussing any actions being taken to avoid or minimize the effect of the FME. The affected Party will have a continuing obligation to deliver to the other Party regular updated reports and any additional documentation and analysis supporting its claim regarding an FME.</w:t>
      </w:r>
      <w:r w:rsidR="002E7815">
        <w:t xml:space="preserve"> </w:t>
      </w:r>
      <w:r>
        <w:t>Despite the preceding sentences, if the affected Party fails to provide initial notice within the 10 Business Day period or, following the affected Party’s initial notice, the affected Party fails to provide reasonable reports and substantiation of the claimed FME as required by this Part 15 (</w:t>
      </w:r>
      <w:r>
        <w:rPr>
          <w:i/>
          <w:iCs/>
        </w:rPr>
        <w:t>Force Majeure</w:t>
      </w:r>
      <w:r>
        <w:t>), the event or condition will be deemed not to be an FME and the affected Party’s performance will not be excused as a result of the FME.</w:t>
      </w:r>
    </w:p>
    <w:p w:rsidRPr="006E0A0D" w:rsidR="00D96326" w:rsidP="00D96326" w:rsidRDefault="00D96326" w14:paraId="613199EA" w14:textId="77777777">
      <w:pPr>
        <w:pStyle w:val="zGTC02"/>
        <w:rPr>
          <w:rFonts w:ascii="Arial" w:hAnsi="Arial" w:eastAsia="PMingLiU" w:cs="Arial"/>
          <w:vanish/>
          <w:szCs w:val="20"/>
          <w:specVanish/>
        </w:rPr>
      </w:pPr>
      <w:bookmarkStart w:name="_Toc212475715" w:id="224"/>
      <w:bookmarkStart w:name="_Toc227838413" w:id="225"/>
      <w:r>
        <w:rPr>
          <w:rFonts w:ascii="Arial" w:hAnsi="Arial" w:cs="Arial"/>
          <w:szCs w:val="20"/>
        </w:rPr>
        <w:t>Requirements for Relief.</w:t>
      </w:r>
      <w:bookmarkEnd w:id="224"/>
      <w:bookmarkEnd w:id="225"/>
    </w:p>
    <w:p w:rsidRPr="006E0A0D" w:rsidR="00D96326" w:rsidRDefault="00D96326" w14:paraId="46EA9CFE" w14:textId="72F64929">
      <w:pPr>
        <w:pStyle w:val="zGNormal"/>
      </w:pPr>
      <w:r>
        <w:t xml:space="preserve"> Following the occurrence of an FME, as a condition to relief under Section 15.3 (</w:t>
      </w:r>
      <w:r>
        <w:rPr>
          <w:i/>
          <w:iCs/>
        </w:rPr>
        <w:t>No Breach or Liability</w:t>
      </w:r>
      <w:r>
        <w:t xml:space="preserve">): </w:t>
      </w:r>
    </w:p>
    <w:p w:rsidRPr="006E0A0D" w:rsidR="00D96326" w:rsidP="00787664" w:rsidRDefault="00D96326" w14:paraId="3195A733" w14:textId="5F2BCA72">
      <w:pPr>
        <w:pStyle w:val="zGTC03"/>
      </w:pPr>
      <w:r>
        <w:rPr>
          <w:b/>
          <w:bCs/>
        </w:rPr>
        <w:lastRenderedPageBreak/>
        <w:t>Timely Notice.</w:t>
      </w:r>
      <w:r>
        <w:t xml:space="preserve"> The affected Party must comply with the notice requirements of Section 15.5 (</w:t>
      </w:r>
      <w:r>
        <w:rPr>
          <w:i/>
          <w:iCs/>
        </w:rPr>
        <w:t>Notice of FME; Updates</w:t>
      </w:r>
      <w:proofErr w:type="gramStart"/>
      <w:r>
        <w:t>);</w:t>
      </w:r>
      <w:proofErr w:type="gramEnd"/>
    </w:p>
    <w:p w:rsidRPr="006E0A0D" w:rsidR="00D96326" w:rsidP="00787664" w:rsidRDefault="00D96326" w14:paraId="553C0AB8" w14:textId="77777777">
      <w:pPr>
        <w:pStyle w:val="zGTC03"/>
      </w:pPr>
      <w:r>
        <w:rPr>
          <w:b/>
          <w:bCs/>
        </w:rPr>
        <w:t>Continued Performance of Obligations.</w:t>
      </w:r>
      <w:r>
        <w:t xml:space="preserve"> The affected Party will continue to perform its obligations under this PPA to the extent not affected by the </w:t>
      </w:r>
      <w:proofErr w:type="gramStart"/>
      <w:r>
        <w:t>FME;</w:t>
      </w:r>
      <w:proofErr w:type="gramEnd"/>
    </w:p>
    <w:p w:rsidRPr="006E0A0D" w:rsidR="00D96326" w:rsidP="00787664" w:rsidRDefault="00D96326" w14:paraId="7B7421B6" w14:textId="4655D333">
      <w:pPr>
        <w:pStyle w:val="zGTC03"/>
      </w:pPr>
      <w:r>
        <w:rPr>
          <w:b/>
          <w:bCs/>
        </w:rPr>
        <w:t>Reasonable Efforts to Mitigate.</w:t>
      </w:r>
      <w:r>
        <w:t xml:space="preserve"> The affected Party will remedy its inability to perform as soon as reasonably practicable, but </w:t>
      </w:r>
      <w:proofErr w:type="gramStart"/>
      <w:r>
        <w:t>this Section</w:t>
      </w:r>
      <w:proofErr w:type="gramEnd"/>
      <w:r>
        <w:t xml:space="preserve"> 15.6.3 (</w:t>
      </w:r>
      <w:r>
        <w:rPr>
          <w:i/>
          <w:iCs/>
        </w:rPr>
        <w:t>Reasonable Efforts to Mitigate</w:t>
      </w:r>
      <w:r>
        <w:t>) will not require the settlement of any non-site specific strike, walkout, lockout, or other general labor dispute on terms which, in the sole judgment of the affected Party, are contrary to its interest; and</w:t>
      </w:r>
    </w:p>
    <w:p w:rsidRPr="006E0A0D" w:rsidR="00D96326" w:rsidP="00787664" w:rsidRDefault="00D96326" w14:paraId="3C395781" w14:textId="600D6948">
      <w:pPr>
        <w:pStyle w:val="zGTC03"/>
      </w:pPr>
      <w:r>
        <w:rPr>
          <w:b/>
          <w:bCs/>
        </w:rPr>
        <w:t>Resume Performance.</w:t>
      </w:r>
      <w:r>
        <w:t xml:space="preserve"> When the affected Party can resume performance of its obligations under this PPA, the affected Party will promptly provide notice to the other Party, promptly resume such performance, and provide the other Party with a written certification from an independent, registered engineer that the FME has been cured.</w:t>
      </w:r>
    </w:p>
    <w:p w:rsidRPr="006E0A0D" w:rsidR="00D96326" w:rsidP="00D96326" w:rsidRDefault="00D96326" w14:paraId="21FE7354" w14:textId="77777777">
      <w:pPr>
        <w:pStyle w:val="zGTC02"/>
        <w:rPr>
          <w:rFonts w:ascii="Arial" w:hAnsi="Arial" w:eastAsia="PMingLiU" w:cs="Arial"/>
          <w:vanish/>
          <w:szCs w:val="20"/>
          <w:specVanish/>
        </w:rPr>
      </w:pPr>
      <w:bookmarkStart w:name="_Toc212475716" w:id="226"/>
      <w:bookmarkStart w:name="_Toc227838414" w:id="227"/>
      <w:r>
        <w:rPr>
          <w:rFonts w:ascii="Arial" w:hAnsi="Arial" w:cs="Arial"/>
          <w:szCs w:val="20"/>
        </w:rPr>
        <w:t>Extended FME.</w:t>
      </w:r>
      <w:bookmarkEnd w:id="226"/>
      <w:bookmarkEnd w:id="227"/>
    </w:p>
    <w:p w:rsidRPr="006E0A0D" w:rsidR="00D96326" w:rsidRDefault="00D96326" w14:paraId="399B2E70" w14:textId="77777777">
      <w:pPr>
        <w:pStyle w:val="zGTC02"/>
        <w:numPr>
          <w:ilvl w:val="0"/>
          <w:numId w:val="0"/>
        </w:numPr>
        <w:rPr>
          <w:rFonts w:ascii="Arial" w:hAnsi="Arial" w:cs="Arial"/>
          <w:szCs w:val="20"/>
        </w:rPr>
      </w:pPr>
    </w:p>
    <w:p w:rsidRPr="006E0A0D" w:rsidR="00D96326" w:rsidP="00B7441B" w:rsidRDefault="00D96326" w14:paraId="11515F20" w14:textId="09062D8C">
      <w:pPr>
        <w:pStyle w:val="zGTC03"/>
      </w:pPr>
      <w:r>
        <w:rPr>
          <w:b/>
          <w:bCs/>
        </w:rPr>
        <w:t>Notice and Remedy Plan for Extended FME.</w:t>
      </w:r>
      <w:r>
        <w:t xml:space="preserve"> If the affected Party has reason to believe that a suspension of performance due to a</w:t>
      </w:r>
      <w:r w:rsidR="00C31224">
        <w:t>n FME</w:t>
      </w:r>
      <w:r>
        <w:t xml:space="preserve"> will continue for a period of six Months or longer </w:t>
      </w:r>
      <w:r w:rsidR="00644034">
        <w:t>following</w:t>
      </w:r>
      <w:r w:rsidR="009701AC">
        <w:t xml:space="preserve"> </w:t>
      </w:r>
      <w:r>
        <w:t>the initial suspension of performance resulting from the Force Majeure Event (</w:t>
      </w:r>
      <w:r w:rsidR="000757AE">
        <w:t xml:space="preserve">an </w:t>
      </w:r>
      <w:r>
        <w:t>“</w:t>
      </w:r>
      <w:r>
        <w:rPr>
          <w:b/>
          <w:bCs/>
        </w:rPr>
        <w:t>Extended FME</w:t>
      </w:r>
      <w:r>
        <w:t xml:space="preserve">”), the affected Party must notify the other Party promptly and will submit an “FME Remedy Plan” to the other Party no later than 30 Days after the affected Party’s initial notice to the other Party. In addition, if the other Party has reason to believe that an FME will be an Extended FME, the other Party may request that the affected Party submit an FME Remedy Plan to the other Party, which the affected Party will submit to the requesting Party no later than 30 Days after the other Party’s request. The FME Remedy Plan must set forth a plan and schedule for remedial measures (including a description of necessary repairs, improvements, changes to operations, or other actions) to cure the effects of the FME and to enable the affected Party to perform its obligations and resume full performance of the suspended obligations under this PPA as soon as reasonably practicable. The affected Party must diligently pursue the performance of the FME Remedy Plan to completion. </w:t>
      </w:r>
    </w:p>
    <w:p w:rsidRPr="006E0A0D" w:rsidR="00D96326" w:rsidP="00AD4B08" w:rsidRDefault="00D96326" w14:paraId="14FC2040" w14:textId="0A8B7F71">
      <w:pPr>
        <w:pStyle w:val="zGTC03"/>
      </w:pPr>
      <w:r>
        <w:rPr>
          <w:b/>
          <w:bCs/>
        </w:rPr>
        <w:t>Monthly Status Reports and Updates to FME Remedy Plan.</w:t>
      </w:r>
      <w:r>
        <w:t xml:space="preserve"> While an FME Remedy Plan is in effect, the affected Party must provide the other Party with Monthly status reports regarding the implementation of the FME Remedy Plan, any other measure</w:t>
      </w:r>
      <w:r w:rsidR="000A7719">
        <w:t>s</w:t>
      </w:r>
      <w:r>
        <w:t xml:space="preserve"> to remedy the FME, any changes to the FME Remedy Plan, and the expected remaining duration of the Party’s inability to perform its obligations, and any additional relevant information as may be reasonably requested by the other Party. The affected Party must modify the FME Remedy Plan if and as needed to achieve the objective of resuming full performance of the suspended obligations under this PPA as soon as reasonably practicable.</w:t>
      </w:r>
    </w:p>
    <w:p w:rsidRPr="006E0A0D" w:rsidR="00D96326" w:rsidP="00AD4B08" w:rsidRDefault="00D96326" w14:paraId="276E0028" w14:textId="7D8CD31B">
      <w:pPr>
        <w:pStyle w:val="zGTC03"/>
      </w:pPr>
      <w:r>
        <w:rPr>
          <w:b/>
          <w:bCs/>
        </w:rPr>
        <w:t>Early Termination Resulting from an Extended FME.</w:t>
      </w:r>
      <w:r>
        <w:t xml:space="preserve"> The Party not prevented from performing its obligations due to the FME may at any time terminate this PPA effective upon 10 Days prior notice to the affected Party if: (</w:t>
      </w:r>
      <w:proofErr w:type="spellStart"/>
      <w:r>
        <w:t>i</w:t>
      </w:r>
      <w:proofErr w:type="spellEnd"/>
      <w:r>
        <w:t>) the affected Party does not or cannot provide an FME Remedy Plan as required by this Section 15.7 (</w:t>
      </w:r>
      <w:r>
        <w:rPr>
          <w:i/>
          <w:iCs/>
        </w:rPr>
        <w:t>Extended FME</w:t>
      </w:r>
      <w:r>
        <w:t xml:space="preserve">); (ii) the affected Party does not or cannot carry out the FME Remedy Plan in a method reasonably designed to achieve the objective of resuming full performance of the suspended obligations under this PPA as soon as reasonably practicable; or (iii) the affected Party remains unable to perform the suspended PPA obligations for 12 Months </w:t>
      </w:r>
      <w:bookmarkStart w:name="_Hlk23239141" w:id="228"/>
      <w:r>
        <w:t xml:space="preserve">following the date of initial suspension of performance resulting from the </w:t>
      </w:r>
      <w:bookmarkEnd w:id="228"/>
      <w:r>
        <w:t>FME. For purposes of subsection (iii) of this Section 15.7.3, (</w:t>
      </w:r>
      <w:r>
        <w:rPr>
          <w:i/>
          <w:iCs/>
        </w:rPr>
        <w:t>Early Termination Resulting from an Extended FME</w:t>
      </w:r>
      <w:r>
        <w:t>) the 12-Month period need not be continuous only if each period of suspension of performance comprising the 12-Month period is the result of a common cause such that, if the cause had been cured following the first suspension of performance, the additional suspensions of performance would not have occurred.</w:t>
      </w:r>
    </w:p>
    <w:p w:rsidRPr="006E0A0D" w:rsidR="00D96326" w:rsidP="00AD4B08" w:rsidRDefault="00D96326" w14:paraId="4208CE41" w14:textId="25DE2D58">
      <w:pPr>
        <w:pStyle w:val="zGTC03"/>
      </w:pPr>
      <w:r>
        <w:rPr>
          <w:b/>
          <w:bCs/>
        </w:rPr>
        <w:t>Liability following Termination.</w:t>
      </w:r>
      <w:r>
        <w:t xml:space="preserve"> Upon any termination of this PPA as provided in Section 15.7.3 (</w:t>
      </w:r>
      <w:r>
        <w:rPr>
          <w:i/>
          <w:iCs/>
        </w:rPr>
        <w:t>Early Termination Resulting from an Extended FME</w:t>
      </w:r>
      <w:r>
        <w:t>), the Parties will have no further liability or obligation to each other except for any obligation arising prior to the date of the termination or as provided in Section 1.2 (</w:t>
      </w:r>
      <w:r>
        <w:rPr>
          <w:i/>
          <w:iCs/>
        </w:rPr>
        <w:t>Survival</w:t>
      </w:r>
      <w:r>
        <w:t>).</w:t>
      </w:r>
    </w:p>
    <w:p w:rsidRPr="006E0A0D" w:rsidR="00D96326" w:rsidP="00D96326" w:rsidRDefault="00D96326" w14:paraId="66DD77A4" w14:textId="77777777">
      <w:pPr>
        <w:pStyle w:val="zGTC01"/>
        <w:rPr>
          <w:rFonts w:ascii="Arial" w:hAnsi="Arial"/>
          <w:szCs w:val="20"/>
        </w:rPr>
      </w:pPr>
      <w:bookmarkStart w:name="_Toc212475717" w:id="229"/>
      <w:bookmarkStart w:name="_Toc227838415" w:id="230"/>
      <w:r>
        <w:rPr>
          <w:rFonts w:ascii="Arial" w:hAnsi="Arial"/>
          <w:szCs w:val="20"/>
        </w:rPr>
        <w:t>Default and Remedies</w:t>
      </w:r>
      <w:bookmarkEnd w:id="229"/>
      <w:bookmarkEnd w:id="230"/>
    </w:p>
    <w:p w:rsidRPr="006E0A0D" w:rsidR="00D96326" w:rsidP="00D96326" w:rsidRDefault="00D96326" w14:paraId="5943BB39" w14:textId="77777777">
      <w:pPr>
        <w:pStyle w:val="zGTC02"/>
        <w:rPr>
          <w:rFonts w:ascii="Arial" w:hAnsi="Arial" w:eastAsia="PMingLiU" w:cs="Arial"/>
          <w:vanish/>
          <w:szCs w:val="20"/>
          <w:specVanish/>
        </w:rPr>
      </w:pPr>
      <w:bookmarkStart w:name="_Toc212475718" w:id="231"/>
      <w:bookmarkStart w:name="_Toc227838416" w:id="232"/>
      <w:r>
        <w:rPr>
          <w:rFonts w:ascii="Arial" w:hAnsi="Arial" w:cs="Arial"/>
          <w:szCs w:val="20"/>
        </w:rPr>
        <w:t>Default by Seller.</w:t>
      </w:r>
      <w:bookmarkEnd w:id="231"/>
      <w:bookmarkEnd w:id="232"/>
    </w:p>
    <w:p w:rsidRPr="006E0A0D" w:rsidR="00D96326" w:rsidRDefault="00D96326" w14:paraId="16726216" w14:textId="77777777">
      <w:pPr>
        <w:pStyle w:val="zGNormal"/>
      </w:pPr>
      <w:r>
        <w:t xml:space="preserve"> The occurrence of any of the following events will constitute a Seller Event of Default:</w:t>
      </w:r>
    </w:p>
    <w:p w:rsidRPr="006E0A0D" w:rsidR="00D96326" w:rsidP="000A2525" w:rsidRDefault="00D96326" w14:paraId="3D299A71" w14:textId="2F949592">
      <w:pPr>
        <w:pStyle w:val="zGTC03"/>
        <w:spacing w:line="259" w:lineRule="auto"/>
      </w:pPr>
      <w:r>
        <w:rPr>
          <w:b/>
          <w:bCs/>
        </w:rPr>
        <w:lastRenderedPageBreak/>
        <w:t>Incorrect Representation or Warranty.</w:t>
      </w:r>
      <w:r>
        <w:t xml:space="preserve"> Any Seller representation or warranty in this PPA or in any certificate or other document delivered to GPC in accordance with this PPA proves to be incorrect in any material respect when made, unless Seller promptly commences and diligently pursues action to cause the representation or warranty to become true in all material respects and does so within 30 Days after GPC provides Seller notice of the incorrect representation or warranty (unless the cure is not capable of being accomplished within the 30 Days, in which case Seller will have an additional 30 Days to perform the cure) and the cure removes any material adverse effect on GPC of the incorrect representation or warranty. However, no Event of Default by Seller will occur under this Section 16.1.1 (</w:t>
      </w:r>
      <w:r>
        <w:rPr>
          <w:i/>
          <w:iCs/>
        </w:rPr>
        <w:t>Incorrect Representation or Warranty</w:t>
      </w:r>
      <w:r>
        <w:t>) regarding: (</w:t>
      </w:r>
      <w:proofErr w:type="spellStart"/>
      <w:r>
        <w:t>i</w:t>
      </w:r>
      <w:proofErr w:type="spellEnd"/>
      <w:r>
        <w:t xml:space="preserve">) </w:t>
      </w:r>
      <w:r w:rsidR="00817B3F">
        <w:t xml:space="preserve">any certificate provided under </w:t>
      </w:r>
      <w:r>
        <w:t>Section 2.1.8 (</w:t>
      </w:r>
      <w:r>
        <w:rPr>
          <w:i/>
          <w:iCs/>
        </w:rPr>
        <w:t>VIE Certification</w:t>
      </w:r>
      <w:r>
        <w:t>) if Seller cooperates with GPC during the cure period and Seller takes commercially reasonable actions (without causing a material adverse effect on GPC) necessary to bring about a determination by GPC and its independent auditor that Seller does not constitute a VIE for which GPC is the Primary Beneficiary</w:t>
      </w:r>
      <w:r w:rsidR="003E2FF7">
        <w:t xml:space="preserve"> as a result of this PPA</w:t>
      </w:r>
      <w:r>
        <w:t>; or (ii) Section 2.1.14 (</w:t>
      </w:r>
      <w:r>
        <w:rPr>
          <w:i/>
          <w:iCs/>
        </w:rPr>
        <w:t>Environmental Compliance Certification</w:t>
      </w:r>
      <w:r>
        <w:t>) if GPC determines in its sole discretion, that the incorrect representation, warranty, or covenant is not material, Seller cooperates with GPC during the cure period, and Seller takes commercially reasonable actions (without causing a material adverse effect on GPC) necessary to correct the immaterial representation, warranty, or covenant to GPC’s satisfaction.</w:t>
      </w:r>
    </w:p>
    <w:p w:rsidRPr="006E0A0D" w:rsidR="00D96326" w:rsidP="00AD4B08" w:rsidRDefault="00D96326" w14:paraId="0016C097" w14:textId="7C825E81">
      <w:pPr>
        <w:pStyle w:val="zGTC03"/>
      </w:pPr>
      <w:r>
        <w:rPr>
          <w:b/>
          <w:bCs/>
        </w:rPr>
        <w:t>Involuntary Bankruptcy, Insolvency, or Reorganization.</w:t>
      </w:r>
      <w:r>
        <w:t xml:space="preserve"> A court having jurisdiction enters: (</w:t>
      </w:r>
      <w:proofErr w:type="spellStart"/>
      <w:r>
        <w:t>i</w:t>
      </w:r>
      <w:proofErr w:type="spellEnd"/>
      <w:r>
        <w:t>) a decree or order for relief in respect of Seller in an involuntary case or proceeding under any applicable Federal or state bankruptcy, insolvency, reorganization, or other similar law; or (ii) a decree or order, the entry of which was sought by an entity other than Seller, adjudicating Seller bankrupt or insolvent, or approving as properly filed a petition seeking reorganization, arrangement, adjustment, or composition of or in respect of Seller under any applicable Federal or state law, or appointing a custodian, receiver, liquidator, assignee, trustee, sequestrator, or other similar official of Seller or of any substantial part of its affairs and the proceeding is not stayed or dismissed within 60 Days.</w:t>
      </w:r>
    </w:p>
    <w:p w:rsidRPr="006E0A0D" w:rsidR="00D96326" w:rsidP="00AD4B08" w:rsidRDefault="00D96326" w14:paraId="03E704AD" w14:textId="77777777">
      <w:pPr>
        <w:pStyle w:val="zGTC03"/>
      </w:pPr>
      <w:r>
        <w:rPr>
          <w:b/>
          <w:bCs/>
        </w:rPr>
        <w:t>Voluntary Bankruptcy, Insolvency or Reorganization.</w:t>
      </w:r>
      <w:r>
        <w:t xml:space="preserve"> Seller: (</w:t>
      </w:r>
      <w:proofErr w:type="spellStart"/>
      <w:r>
        <w:t>i</w:t>
      </w:r>
      <w:proofErr w:type="spellEnd"/>
      <w:r>
        <w:t>) commences a voluntary case or proceeding under any applicable federal or state bankruptcy, insolvency, reorganization, or other similar law or any other case or proceeding to be adjudicated bankrupt or insolvent; (ii) consents to the entry of a decree or order for relief in respect of Seller in any involuntary case or proceeding under any applicable federal or state bankruptcy, insolvency, reorganization, or other similar law or to the commencement of any bankruptcy or insolvency case or proceeding against Seller; (iii) files any petition, answer, or consent seeking reorganization or similar relief under any applicable federal or state law, which, if granted would have the effect of relieving Seller of any of its obligations; (iv) consents to the filing of any petition or to the appointment of or taking possession by a custodian, receiver, liquidator, assignee, trustee, sequestrator, or similar official of Seller or of any substantial part of its property; (v) makes an assignment for the benefit of creditors; (vi) admits in writing its inability to generally pay its debts as they become due; or (vii) takes any action in furtherance of any of the preceding.</w:t>
      </w:r>
    </w:p>
    <w:p w:rsidRPr="006E0A0D" w:rsidR="00D96326" w:rsidP="00AD4B08" w:rsidRDefault="00D96326" w14:paraId="50AB0D95" w14:textId="72257766">
      <w:pPr>
        <w:pStyle w:val="zGTC03"/>
      </w:pPr>
      <w:r>
        <w:rPr>
          <w:b/>
          <w:bCs/>
        </w:rPr>
        <w:t>Failure to Comply with Performance Security Requirements.</w:t>
      </w:r>
      <w:r>
        <w:t xml:space="preserve"> (</w:t>
      </w:r>
      <w:proofErr w:type="spellStart"/>
      <w:r>
        <w:t>i</w:t>
      </w:r>
      <w:proofErr w:type="spellEnd"/>
      <w:r>
        <w:t>) Seller fails to comply or cause compliance with Performance Security requirements of Section 6.1 (</w:t>
      </w:r>
      <w:r>
        <w:rPr>
          <w:i/>
          <w:iCs/>
        </w:rPr>
        <w:t>Performance Security</w:t>
      </w:r>
      <w:r>
        <w:t>); or (ii) Seller Guarantor breaches any of its obligations under the Seller Guaranty or if any representation or warranty Seller Guarantor made in the Seller Guaranty is incorrect in any material respect when made, unless Seller cures any of the preceding by the end of the fifth Business Day following Seller’s receipt of GPC’s notice of a failure under this Section 16.1.4 (</w:t>
      </w:r>
      <w:r>
        <w:rPr>
          <w:i/>
          <w:iCs/>
        </w:rPr>
        <w:t>Failure to Comply with Performance Security Requirements</w:t>
      </w:r>
      <w:r>
        <w:t>).</w:t>
      </w:r>
    </w:p>
    <w:p w:rsidRPr="006E0A0D" w:rsidR="00D96326" w:rsidP="00AD4B08" w:rsidRDefault="00D96326" w14:paraId="4D34DF1E" w14:textId="399AFC96">
      <w:pPr>
        <w:pStyle w:val="zGTC03"/>
      </w:pPr>
      <w:r>
        <w:rPr>
          <w:b/>
          <w:bCs/>
        </w:rPr>
        <w:t>Failure to Comply with Other Material PPA Terms.</w:t>
      </w:r>
      <w:r>
        <w:t xml:space="preserve"> Seller fails to perform or observe any material </w:t>
      </w:r>
      <w:r w:rsidR="0063417A">
        <w:t xml:space="preserve">PPA </w:t>
      </w:r>
      <w:r>
        <w:t>obligation of Seller, other than those obligations specifically addressed in this Section 16.1 (</w:t>
      </w:r>
      <w:r>
        <w:rPr>
          <w:i/>
          <w:iCs/>
        </w:rPr>
        <w:t>Default By Seller</w:t>
      </w:r>
      <w:r>
        <w:t xml:space="preserve">), which failure continues for a period of 30 Days after notice </w:t>
      </w:r>
      <w:r w:rsidR="008961BA">
        <w:t xml:space="preserve">of the failure </w:t>
      </w:r>
      <w:r>
        <w:t>from GPC, unless the cure is not capable of being effected within a 30-Day period, in which case Seller will have an additional 60-Day period in which to perform the cure, so long as the cure is diligently pursued.</w:t>
      </w:r>
    </w:p>
    <w:p w:rsidRPr="006E0A0D" w:rsidR="00D96326" w:rsidP="00AD4B08" w:rsidRDefault="00D96326" w14:paraId="00606F4C" w14:textId="09D8E5A8">
      <w:pPr>
        <w:pStyle w:val="zGTC03"/>
      </w:pPr>
      <w:r>
        <w:rPr>
          <w:b/>
          <w:bCs/>
        </w:rPr>
        <w:t>Failure To Comply with PPA Assignment Requirements.</w:t>
      </w:r>
      <w:r>
        <w:t xml:space="preserve"> Seller violates the requirements of Part 18 (</w:t>
      </w:r>
      <w:r>
        <w:rPr>
          <w:i/>
          <w:iCs/>
        </w:rPr>
        <w:t>Assignment, Transfers, and Changes of Control</w:t>
      </w:r>
      <w:r>
        <w:t>) through an unpermitted assignment or transfer of this PPA or an ownership interest in the Facility</w:t>
      </w:r>
      <w:r w:rsidR="00F52124">
        <w:t>, including any Unit,</w:t>
      </w:r>
      <w:r>
        <w:t xml:space="preserve"> or through a Change of Control Transaction.</w:t>
      </w:r>
    </w:p>
    <w:p w:rsidRPr="006E0A0D" w:rsidR="00D96326" w:rsidP="00AD4B08" w:rsidRDefault="00D96326" w14:paraId="0E9A7195" w14:textId="60EF055E">
      <w:pPr>
        <w:pStyle w:val="zGTC03"/>
      </w:pPr>
      <w:r>
        <w:rPr>
          <w:b/>
          <w:bCs/>
        </w:rPr>
        <w:lastRenderedPageBreak/>
        <w:t>Failure to Pay Amounts Due to GPC.</w:t>
      </w:r>
      <w:r>
        <w:t xml:space="preserve"> Seller fails, by the due date, to pay GPC any undisputed amount payable by Seller to GPC </w:t>
      </w:r>
      <w:r w:rsidR="00741AB0">
        <w:t xml:space="preserve">in accordance with </w:t>
      </w:r>
      <w:r>
        <w:t>this PPA</w:t>
      </w:r>
      <w:r w:rsidR="00C745AC">
        <w:t xml:space="preserve"> and</w:t>
      </w:r>
      <w:r>
        <w:t xml:space="preserve"> fails to cure the failure to pay within 15 Days after receipt of written demand from GPC.</w:t>
      </w:r>
    </w:p>
    <w:p w:rsidRPr="006E0A0D" w:rsidR="00D96326" w:rsidP="000A2525" w:rsidRDefault="00D96326" w14:paraId="560412BB" w14:textId="00850DA6">
      <w:pPr>
        <w:pStyle w:val="zGTC03"/>
        <w:spacing w:line="259" w:lineRule="auto"/>
      </w:pPr>
      <w:r>
        <w:rPr>
          <w:b/>
          <w:bCs/>
        </w:rPr>
        <w:t>Failure to Maintain Availability Percentage.</w:t>
      </w:r>
      <w:r>
        <w:t xml:space="preserve"> The Availability Percentage is below 60% for any six consecutive Months. However, Seller may, within 15 Days after the end of the six-Month period, submit a cure plan that is reasonably acceptable to GPC and expected to resolve the cause of the unsatisfactory Availability Percentage as soon as practicable, but in no event later than 180 Days from the end of the six-Month period. If Seller fails to submit a cure plan in a timely manner or fails to diligently pursue implementation of the cure plan, or if the unsatisfactory Availability Percentage is not, in fact, cured by the end of the 180-Day period, then GPC will have the right to declare an Event of Default. The cause of the unsatisfactory Availability Percentage will be cured only if: (a) Seller can resume performance of its obligations under this PPA and provides GPC with a written certification reasonably acceptable to GPC that the cause of the unsatisfactory Availability Percentage has been cured; and (b) the MAP determined for the first full Month following GPC’s receipt of such certification of successful completion of the cure plan is at least 60%. For the purposes of this Section 16.1.8 (</w:t>
      </w:r>
      <w:r>
        <w:rPr>
          <w:i/>
        </w:rPr>
        <w:t>Failure to Maintain Availability Percentage</w:t>
      </w:r>
      <w:r>
        <w:t>), the “</w:t>
      </w:r>
      <w:r w:rsidRPr="00C11C7C">
        <w:rPr>
          <w:b/>
        </w:rPr>
        <w:t>Availability Percentage</w:t>
      </w:r>
      <w:r>
        <w:t>” will mean the percentage calculated for the relevant period using the MAP formulas shown in Section 3.2 (</w:t>
      </w:r>
      <w:r>
        <w:rPr>
          <w:i/>
        </w:rPr>
        <w:t>Calculation of Monthly Availability Percentage</w:t>
      </w:r>
      <w:r>
        <w:t>) of Exhibit B (</w:t>
      </w:r>
      <w:r>
        <w:rPr>
          <w:i/>
          <w:iCs/>
        </w:rPr>
        <w:t>Capacity; Capacity Payments and Payment Reductions; Buydown</w:t>
      </w:r>
      <w:r>
        <w:t>), with the calculation applied to the total relevant period and with ARDH equal to zero.</w:t>
      </w:r>
    </w:p>
    <w:p w:rsidRPr="006E0A0D" w:rsidR="00D96326" w:rsidP="00AD4B08" w:rsidRDefault="00D96326" w14:paraId="754F8194" w14:textId="6B429975">
      <w:pPr>
        <w:pStyle w:val="zGTC03"/>
      </w:pPr>
      <w:r>
        <w:rPr>
          <w:b/>
          <w:bCs/>
        </w:rPr>
        <w:t>Inadequate Tested Reliable Capacity; Curing.</w:t>
      </w:r>
      <w:r>
        <w:t xml:space="preserve"> Despite any other PPA provision, if at any time after the Delivery Commencement Date, the Tested Standard Reliable Capacity is below 70% of the Nominal Standard Capability or the Tested Winter Reliable Capacity is below 70% of the Nominal Winter Capability, and Seller fails to: (I) submit to GPC, within 10 Days after determination by the Performance Test of the inadequate Tested Reliable Capacity, a cure plan reasonably acceptable to GPC for the inadequate Tested Reliable Capacity; and (II) cure the inadequate Tested Reliable Capacity within a reasonable period of time, not to exceed one </w:t>
      </w:r>
      <w:r w:rsidR="00423C69">
        <w:t>120</w:t>
      </w:r>
      <w:r>
        <w:t xml:space="preserve"> Days from the completion of the Performance Test (“</w:t>
      </w:r>
      <w:r>
        <w:rPr>
          <w:b/>
        </w:rPr>
        <w:t>Cure Period</w:t>
      </w:r>
      <w:r>
        <w:t>”), except that the Cure Period may be extended in accordance with Section 16.1.9(</w:t>
      </w:r>
      <w:proofErr w:type="spellStart"/>
      <w:r>
        <w:t>i</w:t>
      </w:r>
      <w:proofErr w:type="spellEnd"/>
      <w:r>
        <w:t>) (</w:t>
      </w:r>
      <w:r>
        <w:rPr>
          <w:i/>
          <w:iCs/>
        </w:rPr>
        <w:t>Cure Period Extension</w:t>
      </w:r>
      <w:r>
        <w:t>) if Seller elects to extend the Cure Period to cover (to the extent of the degraded capacity) GPC’s Schedules through an Alternate Resource in accordance with Section 4.1.4(iii) (</w:t>
      </w:r>
      <w:r>
        <w:rPr>
          <w:i/>
          <w:iCs/>
        </w:rPr>
        <w:t>Requirements for Exercising Delivery Right from an Alternate Resource</w:t>
      </w:r>
      <w:r>
        <w:t>). GPC will have the right to declare an Event of Default if Seller fails to: (a) establish the cure plan within the required 10-Day period or, if applicable, establish the revised cure plan within the required 15-Day period under Section 16.1.9(</w:t>
      </w:r>
      <w:proofErr w:type="spellStart"/>
      <w:r>
        <w:t>i</w:t>
      </w:r>
      <w:proofErr w:type="spellEnd"/>
      <w:r>
        <w:t>), or (b) diligently implement the cure plan (including implementation of such actions as GPC may reasonably request), or (c) cure the inadequate Tested Reliable Capacity within the Cure Period (as the Cure Period may be extended under Section 16.1.9(</w:t>
      </w:r>
      <w:proofErr w:type="spellStart"/>
      <w:r>
        <w:t>i</w:t>
      </w:r>
      <w:proofErr w:type="spellEnd"/>
      <w:r>
        <w:t>)) as set forth in Section 16.1.9(ii) (</w:t>
      </w:r>
      <w:r>
        <w:rPr>
          <w:i/>
          <w:iCs/>
        </w:rPr>
        <w:t>Requirements to Cure Inadequate Tested Reliable Capacity</w:t>
      </w:r>
      <w:r>
        <w:t>).</w:t>
      </w:r>
    </w:p>
    <w:p w:rsidRPr="006E0A0D" w:rsidR="00D96326" w:rsidP="00D96326" w:rsidRDefault="00D96326" w14:paraId="062B0188" w14:textId="0553839E">
      <w:pPr>
        <w:pStyle w:val="zGTC04"/>
        <w:rPr>
          <w:rFonts w:cs="Arial"/>
        </w:rPr>
      </w:pPr>
      <w:bookmarkStart w:name="_Hlk24123717" w:id="233"/>
      <w:r>
        <w:rPr>
          <w:rFonts w:cs="Arial"/>
          <w:b/>
          <w:bCs/>
        </w:rPr>
        <w:t xml:space="preserve">Cure Period Extension. </w:t>
      </w:r>
      <w:r>
        <w:rPr>
          <w:rFonts w:cs="Arial"/>
        </w:rPr>
        <w:t xml:space="preserve">If Seller establishes a cure plan in accordance with </w:t>
      </w:r>
      <w:r w:rsidR="00D02549">
        <w:rPr>
          <w:rFonts w:cs="Arial"/>
        </w:rPr>
        <w:t xml:space="preserve">this </w:t>
      </w:r>
      <w:r>
        <w:rPr>
          <w:rFonts w:cs="Arial"/>
        </w:rPr>
        <w:t>Section 16.1.9 (</w:t>
      </w:r>
      <w:r>
        <w:rPr>
          <w:rFonts w:cs="Arial"/>
          <w:i/>
          <w:iCs/>
        </w:rPr>
        <w:t>Inadequate Tested Reliable Capacity;</w:t>
      </w:r>
      <w:r>
        <w:rPr>
          <w:rFonts w:cs="Arial"/>
        </w:rPr>
        <w:t xml:space="preserve"> </w:t>
      </w:r>
      <w:r>
        <w:rPr>
          <w:rFonts w:cs="Arial"/>
          <w:i/>
          <w:iCs/>
        </w:rPr>
        <w:t>Curing</w:t>
      </w:r>
      <w:r>
        <w:rPr>
          <w:rFonts w:cs="Arial"/>
        </w:rPr>
        <w:t xml:space="preserve">) but requires a Cure Period of more than </w:t>
      </w:r>
      <w:r w:rsidR="00423C69">
        <w:rPr>
          <w:rFonts w:cs="Arial"/>
        </w:rPr>
        <w:t>120</w:t>
      </w:r>
      <w:r>
        <w:rPr>
          <w:rFonts w:cs="Arial"/>
        </w:rPr>
        <w:t xml:space="preserve"> Days to cure the inadequate Tested Reliable Capacity, then the Cure Period will be extended for a reasonable additional period of time, which extension will not in any case exceed </w:t>
      </w:r>
      <w:r w:rsidR="0008377A">
        <w:rPr>
          <w:rFonts w:cs="Arial"/>
        </w:rPr>
        <w:t>420</w:t>
      </w:r>
      <w:r w:rsidR="00437F88">
        <w:rPr>
          <w:rFonts w:cs="Arial"/>
        </w:rPr>
        <w:t xml:space="preserve"> </w:t>
      </w:r>
      <w:r>
        <w:rPr>
          <w:rFonts w:cs="Arial"/>
        </w:rPr>
        <w:t xml:space="preserve">Days, so long as, by no later than 15 Days before the expiration of the </w:t>
      </w:r>
      <w:r w:rsidR="00423C69">
        <w:rPr>
          <w:rFonts w:cs="Arial"/>
        </w:rPr>
        <w:t>120</w:t>
      </w:r>
      <w:r>
        <w:rPr>
          <w:rFonts w:cs="Arial"/>
        </w:rPr>
        <w:t xml:space="preserve">-Day Cure Period, Seller provides to GPC: (a) a revised cure plan setting forth a reasonable extension of the Cure Period, such extension not to exceed </w:t>
      </w:r>
      <w:r w:rsidR="00423C69">
        <w:rPr>
          <w:rFonts w:cs="Arial"/>
        </w:rPr>
        <w:t>420</w:t>
      </w:r>
      <w:r w:rsidR="00437F88">
        <w:rPr>
          <w:rFonts w:cs="Arial"/>
        </w:rPr>
        <w:t xml:space="preserve"> </w:t>
      </w:r>
      <w:r>
        <w:rPr>
          <w:rFonts w:cs="Arial"/>
        </w:rPr>
        <w:t>Days, which revised cure plan and extension will be reasonably acceptable to GPC, and (b) a written certification reasonably acceptable to GPC confirming that in order for Seller to cure the inadequate Tested Reliable Capacity Seller must be afforded such reasonable additional period of time; and (c) Seller’s election for such extended Cure Period to cover (to the extent of the degraded capacity) GPC’s Schedules through an Alternate Resource in accordance with Section 4.1.4(iii) (</w:t>
      </w:r>
      <w:r>
        <w:rPr>
          <w:rFonts w:cs="Arial"/>
          <w:i/>
          <w:iCs/>
        </w:rPr>
        <w:t>Requirements for Exercising Delivery Right from an Alternate Resource</w:t>
      </w:r>
      <w:r>
        <w:rPr>
          <w:rFonts w:cs="Arial"/>
        </w:rPr>
        <w:t xml:space="preserve">). The total duration of the Cure Period, as extended, must not exceed </w:t>
      </w:r>
      <w:r w:rsidR="0048038E">
        <w:rPr>
          <w:rFonts w:cs="Arial"/>
        </w:rPr>
        <w:t>540</w:t>
      </w:r>
      <w:r w:rsidR="00437F88">
        <w:rPr>
          <w:rFonts w:cs="Arial"/>
        </w:rPr>
        <w:t xml:space="preserve"> </w:t>
      </w:r>
      <w:r>
        <w:rPr>
          <w:rFonts w:cs="Arial"/>
        </w:rPr>
        <w:t>Days</w:t>
      </w:r>
      <w:bookmarkEnd w:id="233"/>
      <w:r>
        <w:rPr>
          <w:rFonts w:cs="Arial"/>
        </w:rPr>
        <w:t>. Seller must satisfy all the preceding conditions for GPC to grant the extension.</w:t>
      </w:r>
    </w:p>
    <w:p w:rsidRPr="006E0A0D" w:rsidR="00D96326" w:rsidP="00D96326" w:rsidRDefault="00D96326" w14:paraId="3AE66E23" w14:textId="2469BD03">
      <w:pPr>
        <w:pStyle w:val="zGTC04"/>
        <w:rPr>
          <w:rFonts w:cs="Arial"/>
        </w:rPr>
      </w:pPr>
      <w:r>
        <w:rPr>
          <w:rFonts w:cs="Arial"/>
          <w:b/>
          <w:bCs/>
        </w:rPr>
        <w:t xml:space="preserve">Requirements to Cure Inadequate Tested Reliable Capacity. </w:t>
      </w:r>
      <w:r>
        <w:rPr>
          <w:rFonts w:cs="Arial"/>
        </w:rPr>
        <w:t>The cause of the inadequate Tested Reliable Capacity will be cured under this Section 16.1.9 (</w:t>
      </w:r>
      <w:r>
        <w:rPr>
          <w:rFonts w:cs="Arial"/>
          <w:i/>
          <w:iCs/>
        </w:rPr>
        <w:t>Inadequate Tested Reliable Capacity; Curing</w:t>
      </w:r>
      <w:r>
        <w:rPr>
          <w:rFonts w:cs="Arial"/>
        </w:rPr>
        <w:t>) only if: (</w:t>
      </w:r>
      <w:proofErr w:type="spellStart"/>
      <w:r>
        <w:rPr>
          <w:rFonts w:cs="Arial"/>
        </w:rPr>
        <w:t>i</w:t>
      </w:r>
      <w:proofErr w:type="spellEnd"/>
      <w:r>
        <w:rPr>
          <w:rFonts w:cs="Arial"/>
        </w:rPr>
        <w:t xml:space="preserve">) Seller provides GPC with a written certification reasonably acceptable to GPC confirming that the inadequate Tested Reliable Capacity has been cured; and (ii) the inadequate Tested Reliable Capacity is increased to a value equal to or greater than 70% </w:t>
      </w:r>
      <w:r>
        <w:rPr>
          <w:rFonts w:cs="Arial"/>
        </w:rPr>
        <w:lastRenderedPageBreak/>
        <w:t>of the Nominal Standard Capability or the Nominal Winter Capability, as applicable, as demonstrated by the most recent Performance Test (for the avoidance of doubt, if the inadequate Tested Reliable Capacity is the Tested Standard Reliable Capacity, it must be increased to a value equal to or greater than 70% of the Nominal Standard Capability, and if the inadequate Tested Reliable Capacity is the Tested Winter Reliable Capacity, it must be increased to a value equal to or greater than 70% of the Nominal Winter Capability). Throughout the duration of any Cure Period, the applicable Declared Capacity will be deemed to be the applicable Tested Reliable Capacity determined by the most recent Performance Test</w:t>
      </w:r>
      <w:r>
        <w:rPr>
          <w:color w:val="0000FF"/>
          <w:u w:color="0000FF"/>
          <w:shd w:val="clear" w:color="auto" w:fill="FFFFFF"/>
        </w:rPr>
        <w:t xml:space="preserve"> </w:t>
      </w:r>
      <w:r>
        <w:rPr>
          <w:rFonts w:cs="Arial"/>
        </w:rPr>
        <w:t>(for the avoidance of doubt, if the inadequate Tested Reliable Capacity is the Tested Standard Reliable Capacity, the Declared Standard Capacity will be deemed to be the Tested Standard Reliable Capacity determined in accordance with the most recent Performance Test, and if the inadequate Tested Reliable Capacity is the Tested Winter Reliable Capacity, the Declared Winter Capacity will be deemed to be the Tested Winter Reliable Capacity determined in accordance with the most recent Performance Test).</w:t>
      </w:r>
    </w:p>
    <w:p w:rsidRPr="006E0A0D" w:rsidR="00D96326" w:rsidP="00D96326" w:rsidRDefault="00D96326" w14:paraId="351C033E" w14:textId="7B10C18A">
      <w:pPr>
        <w:pStyle w:val="zGTC04"/>
        <w:rPr>
          <w:rFonts w:cs="Arial"/>
        </w:rPr>
      </w:pPr>
      <w:r>
        <w:rPr>
          <w:rFonts w:cs="Arial"/>
          <w:b/>
          <w:bCs/>
        </w:rPr>
        <w:t xml:space="preserve">GPC’s Right to Select a Remedy. </w:t>
      </w:r>
      <w:r>
        <w:rPr>
          <w:rFonts w:cs="Arial"/>
        </w:rPr>
        <w:t>Despite the previous provisions of this Section 16.1.9 (</w:t>
      </w:r>
      <w:r>
        <w:rPr>
          <w:rFonts w:cs="Arial"/>
          <w:i/>
          <w:iCs/>
        </w:rPr>
        <w:t>Inadequate Tested Reliable Capacity;</w:t>
      </w:r>
      <w:r>
        <w:rPr>
          <w:rFonts w:cs="Arial"/>
        </w:rPr>
        <w:t xml:space="preserve"> </w:t>
      </w:r>
      <w:r>
        <w:rPr>
          <w:rFonts w:cs="Arial"/>
          <w:i/>
          <w:iCs/>
        </w:rPr>
        <w:t>Curing</w:t>
      </w:r>
      <w:r>
        <w:rPr>
          <w:rFonts w:cs="Arial"/>
        </w:rPr>
        <w:t>), at any time after the Delivery Commencement Date, whenever the Tested Standard Reliable Capacity is below 70% of the Nominal Standard Capability, or the Tested Winter Reliable Capacity is below 70% of the Nominal Winter Capability, GPC will have the unilateral right to elect the remedy specified in Exhibit B (</w:t>
      </w:r>
      <w:r>
        <w:rPr>
          <w:rFonts w:cs="Arial"/>
          <w:i/>
          <w:iCs/>
        </w:rPr>
        <w:t>Capacity; Capacity Payments</w:t>
      </w:r>
      <w:r>
        <w:rPr>
          <w:i/>
        </w:rPr>
        <w:t xml:space="preserve"> and Payment Reductions; Buydown</w:t>
      </w:r>
      <w:r>
        <w:rPr>
          <w:rFonts w:cs="Arial"/>
        </w:rPr>
        <w:t>), Section 1.4 (</w:t>
      </w:r>
      <w:r>
        <w:rPr>
          <w:rFonts w:cs="Arial"/>
          <w:i/>
          <w:iCs/>
        </w:rPr>
        <w:t>Tested Reliable Capacity Below Contracted Capacity Range; Capacity Buydown</w:t>
      </w:r>
      <w:r>
        <w:rPr>
          <w:rFonts w:cs="Arial"/>
        </w:rPr>
        <w:t>), in which case, the remedy will be available for the inadequate Tested Reliable Capacity at and below 70% of the Nominal Standard Capability or the Nominal Winter Capability, as applicable. To elect such remedy GPC must notify Seller in writing of this election and must waive its right in the notice to declare a Seller Event of Default under this Section 16.1.9 with respect to the specific event (but not any other additional events) of inadequate Tested Reliable Capacity</w:t>
      </w:r>
      <w:r>
        <w:rPr>
          <w:rFonts w:cs="Arial"/>
          <w:i/>
        </w:rPr>
        <w:t>.</w:t>
      </w:r>
    </w:p>
    <w:p w:rsidRPr="006E0A0D" w:rsidR="00D96326" w:rsidP="00AF2F0C" w:rsidRDefault="00D96326" w14:paraId="0EB522CA" w14:textId="4CADCED9">
      <w:pPr>
        <w:pStyle w:val="zGTC03"/>
        <w:tabs>
          <w:tab w:val="clear" w:pos="1368"/>
          <w:tab w:val="num" w:pos="1530"/>
        </w:tabs>
        <w:rPr>
          <w:szCs w:val="20"/>
        </w:rPr>
      </w:pPr>
      <w:r>
        <w:rPr>
          <w:b/>
          <w:bCs/>
        </w:rPr>
        <w:t xml:space="preserve">Breach of Energy Delivery Obligation. </w:t>
      </w:r>
      <w:r>
        <w:t xml:space="preserve">Seller breaches its obligation to deliver energy in accordance with GPC’s Schedule(s) to the extent </w:t>
      </w:r>
      <w:r w:rsidR="00B45AA8">
        <w:t xml:space="preserve">that </w:t>
      </w:r>
      <w:r>
        <w:t xml:space="preserve">the </w:t>
      </w:r>
      <w:r w:rsidR="00F52124">
        <w:t xml:space="preserve">Facility </w:t>
      </w:r>
      <w:r>
        <w:t>or a designated Alternate Resource, if applicable, is Available, and the breach continues for more than two Hours after GPC provides written (by email) and verbal (by telephone call) notice of the breach to the Seller Representative designated in the Operating Procedures as the Person to whom GPC will provide notice of operational issues.</w:t>
      </w:r>
    </w:p>
    <w:p w:rsidRPr="006E0A0D" w:rsidR="00D96326" w:rsidP="00AF2F0C" w:rsidRDefault="00D96326" w14:paraId="56045AE0" w14:textId="07DF5C24">
      <w:pPr>
        <w:pStyle w:val="zGTC03"/>
        <w:tabs>
          <w:tab w:val="clear" w:pos="1368"/>
          <w:tab w:val="num" w:pos="1530"/>
        </w:tabs>
        <w:rPr>
          <w:szCs w:val="20"/>
        </w:rPr>
      </w:pPr>
      <w:r>
        <w:rPr>
          <w:b/>
          <w:bCs/>
        </w:rPr>
        <w:t>Abandonment or Failure to Achieve RCOD.</w:t>
      </w:r>
      <w:r>
        <w:t xml:space="preserve"> </w:t>
      </w:r>
      <w:r w:rsidR="006C13FF">
        <w:t>(</w:t>
      </w:r>
      <w:proofErr w:type="spellStart"/>
      <w:r w:rsidR="006C13FF">
        <w:t>i</w:t>
      </w:r>
      <w:proofErr w:type="spellEnd"/>
      <w:r w:rsidR="006C13FF">
        <w:t xml:space="preserve">) </w:t>
      </w:r>
      <w:r>
        <w:t>Abandonment</w:t>
      </w:r>
      <w:r w:rsidR="00326209">
        <w:t>;</w:t>
      </w:r>
      <w:r>
        <w:t xml:space="preserve"> </w:t>
      </w:r>
      <w:r w:rsidR="006C13FF">
        <w:t>or (ii)</w:t>
      </w:r>
      <w:r>
        <w:t xml:space="preserve"> Seller </w:t>
      </w:r>
      <w:r w:rsidR="00B31F4E">
        <w:t>(</w:t>
      </w:r>
      <w:r w:rsidR="006C13FF">
        <w:t>a</w:t>
      </w:r>
      <w:r w:rsidR="00B31F4E">
        <w:t xml:space="preserve">) </w:t>
      </w:r>
      <w:r>
        <w:t>fails to achieve Commercial Operation by no later than nine Months after the RCOD</w:t>
      </w:r>
      <w:r w:rsidR="00B31F4E">
        <w:t>;</w:t>
      </w:r>
      <w:r w:rsidR="008A7868">
        <w:t>(</w:t>
      </w:r>
      <w:r w:rsidR="006C13FF">
        <w:t>b</w:t>
      </w:r>
      <w:r w:rsidR="008A7868">
        <w:t>)</w:t>
      </w:r>
      <w:r>
        <w:t xml:space="preserve"> notifies GPC that Seller has reasonably determined that Seller will not achieve Commercial Operation or that Commercial Operation will not be achieved by no later than nine Months after the RCOD</w:t>
      </w:r>
      <w:r w:rsidR="008A7868">
        <w:t>; or (</w:t>
      </w:r>
      <w:r w:rsidR="00B82F2C">
        <w:t>c</w:t>
      </w:r>
      <w:r w:rsidR="008A7868">
        <w:t>) terminates th</w:t>
      </w:r>
      <w:r w:rsidR="00D67580">
        <w:t>is</w:t>
      </w:r>
      <w:r w:rsidR="008A7868">
        <w:t xml:space="preserve"> PPA in accordance with </w:t>
      </w:r>
      <w:r w:rsidRPr="00AA1967" w:rsidR="00AA1967">
        <w:t>Section 7.</w:t>
      </w:r>
      <w:r w:rsidR="00C006E3">
        <w:t>4</w:t>
      </w:r>
      <w:r w:rsidRPr="00AA1967" w:rsidR="00AA1967">
        <w:t>.</w:t>
      </w:r>
      <w:r w:rsidR="00E662D7">
        <w:t>3</w:t>
      </w:r>
      <w:r w:rsidRPr="00AA1967" w:rsidR="00AA1967">
        <w:t xml:space="preserve"> </w:t>
      </w:r>
      <w:r w:rsidRPr="00E662D7" w:rsidR="00AA1967">
        <w:t>(</w:t>
      </w:r>
      <w:r w:rsidRPr="00E662D7" w:rsidR="00E662D7">
        <w:rPr>
          <w:i/>
          <w:iCs/>
        </w:rPr>
        <w:t xml:space="preserve">Seller Payment of Delay Liquidated Damages; </w:t>
      </w:r>
      <w:r w:rsidRPr="00E662D7" w:rsidR="00AA1967">
        <w:rPr>
          <w:i/>
          <w:w w:val="0"/>
        </w:rPr>
        <w:t xml:space="preserve">Pre-COD </w:t>
      </w:r>
      <w:r w:rsidRPr="00AA1967" w:rsidR="00AA1967">
        <w:rPr>
          <w:i/>
          <w:iCs/>
        </w:rPr>
        <w:t>Termination Damages</w:t>
      </w:r>
      <w:r w:rsidRPr="00AA1967" w:rsidR="00AA1967">
        <w:t>)</w:t>
      </w:r>
      <w:r>
        <w:t>.</w:t>
      </w:r>
    </w:p>
    <w:p w:rsidRPr="006E0A0D" w:rsidR="00D96326" w:rsidP="00AF2F0C" w:rsidRDefault="00D96326" w14:paraId="001F25C3" w14:textId="7E7FABE5">
      <w:pPr>
        <w:pStyle w:val="zGTC03"/>
        <w:tabs>
          <w:tab w:val="clear" w:pos="1368"/>
          <w:tab w:val="num" w:pos="1530"/>
        </w:tabs>
        <w:rPr>
          <w:szCs w:val="20"/>
        </w:rPr>
      </w:pPr>
      <w:r>
        <w:rPr>
          <w:b/>
          <w:bCs/>
        </w:rPr>
        <w:t xml:space="preserve">Failure to Obtain Air Permit by Air Permit </w:t>
      </w:r>
      <w:r w:rsidR="00B464F9">
        <w:rPr>
          <w:b/>
          <w:bCs/>
        </w:rPr>
        <w:t xml:space="preserve">Milestone </w:t>
      </w:r>
      <w:r>
        <w:rPr>
          <w:b/>
          <w:bCs/>
        </w:rPr>
        <w:t xml:space="preserve">Date. </w:t>
      </w:r>
      <w:r>
        <w:t xml:space="preserve">Seller fails to obtain the Air Permit by the Air Permit </w:t>
      </w:r>
      <w:r w:rsidR="00B464F9">
        <w:t xml:space="preserve">Milestone </w:t>
      </w:r>
      <w:r>
        <w:t xml:space="preserve">Date, or Seller notifies GPC that Seller has reasonably determined that Seller will not obtain the Air Permit by the Air Permit </w:t>
      </w:r>
      <w:r w:rsidR="003A72AB">
        <w:t xml:space="preserve">Milestone </w:t>
      </w:r>
      <w:r>
        <w:t>Date.</w:t>
      </w:r>
    </w:p>
    <w:p w:rsidRPr="006E0A0D" w:rsidR="00D96326" w:rsidP="00AF2F0C" w:rsidRDefault="00D96326" w14:paraId="45F849E9" w14:textId="238148F8">
      <w:pPr>
        <w:pStyle w:val="zGTC03"/>
        <w:tabs>
          <w:tab w:val="clear" w:pos="1368"/>
          <w:tab w:val="num" w:pos="1530"/>
        </w:tabs>
        <w:rPr>
          <w:szCs w:val="20"/>
        </w:rPr>
      </w:pPr>
      <w:r>
        <w:rPr>
          <w:b/>
          <w:bCs/>
        </w:rPr>
        <w:t>Adjusting Meter or Interconnection Facilities without GPC’s Consent</w:t>
      </w:r>
      <w:r>
        <w:t xml:space="preserve">. Seller or any Seller Representative willfully adjusts the Metering System or the Interconnection Facilities without GPC’s written consent and which adjustment has the effect of falsely increasing </w:t>
      </w:r>
      <w:r w:rsidR="006E1BC5">
        <w:t>any</w:t>
      </w:r>
      <w:r>
        <w:t xml:space="preserve"> amount owed by GPC under this PPA.</w:t>
      </w:r>
    </w:p>
    <w:p w:rsidRPr="006E0A0D" w:rsidR="00D96326" w:rsidP="00AF2F0C" w:rsidRDefault="00D96326" w14:paraId="61383F98" w14:textId="3E5074C9">
      <w:pPr>
        <w:pStyle w:val="zGTC03"/>
        <w:tabs>
          <w:tab w:val="clear" w:pos="1368"/>
          <w:tab w:val="num" w:pos="1530"/>
        </w:tabs>
      </w:pPr>
      <w:r>
        <w:rPr>
          <w:b/>
          <w:bCs/>
        </w:rPr>
        <w:t xml:space="preserve">Breach of Covenant. </w:t>
      </w:r>
      <w:r>
        <w:t>Any failure of any covenant made by Seller in Section 2.1 (</w:t>
      </w:r>
      <w:r>
        <w:rPr>
          <w:i/>
          <w:iCs/>
        </w:rPr>
        <w:t>Seller Representations, Warranties, and Covenants</w:t>
      </w:r>
      <w:r>
        <w:t>), unless Seller promptly commences and diligently pursues action and cures the failure by no later than 30 Days after notice of the failure has been given to Seller by GPC, (unless the cure is not capable of being effected within the 30-Day period in which case Seller must submit a cure plan before the end of the 30-Day period outlining steps to assure GPC that the failure will be cured, which cure plan will be subject to GPC’s approval, the approval not to be unreasonably withheld by GPC, but in no event will the total cure period exceed 180 Days) and the cure removes any adverse effect on GPC of the failure of such covenant</w:t>
      </w:r>
      <w:r>
        <w:rPr>
          <w:rStyle w:val="DeltaViewInsertion"/>
          <w:rFonts w:cs="Arial"/>
          <w:color w:val="auto"/>
          <w:w w:val="0"/>
          <w:u w:val="none"/>
        </w:rPr>
        <w:t xml:space="preserve">. However, no Event of Default by Seller </w:t>
      </w:r>
      <w:r>
        <w:t>will</w:t>
      </w:r>
      <w:r>
        <w:rPr>
          <w:rStyle w:val="DeltaViewInsertion"/>
          <w:rFonts w:cs="Arial"/>
          <w:color w:val="auto"/>
          <w:u w:val="none"/>
        </w:rPr>
        <w:t xml:space="preserve"> </w:t>
      </w:r>
      <w:r>
        <w:rPr>
          <w:rStyle w:val="DeltaViewInsertion"/>
          <w:rFonts w:cs="Arial"/>
          <w:color w:val="auto"/>
          <w:w w:val="0"/>
          <w:u w:val="none"/>
        </w:rPr>
        <w:t xml:space="preserve">occur </w:t>
      </w:r>
      <w:r>
        <w:t>in accordance with</w:t>
      </w:r>
      <w:r>
        <w:rPr>
          <w:rStyle w:val="DeltaViewInsertion"/>
          <w:rFonts w:cs="Arial"/>
          <w:color w:val="auto"/>
          <w:w w:val="0"/>
          <w:u w:val="none"/>
        </w:rPr>
        <w:t xml:space="preserve"> this Section </w:t>
      </w:r>
      <w:r>
        <w:rPr>
          <w:rStyle w:val="DeltaViewInsertion"/>
          <w:rFonts w:cs="Arial"/>
          <w:color w:val="auto"/>
          <w:u w:val="none"/>
        </w:rPr>
        <w:t>16</w:t>
      </w:r>
      <w:r>
        <w:rPr>
          <w:rStyle w:val="DeltaViewInsertion"/>
          <w:rFonts w:cs="Arial"/>
          <w:color w:val="auto"/>
          <w:w w:val="0"/>
          <w:u w:val="none"/>
        </w:rPr>
        <w:t xml:space="preserve">.1.14 </w:t>
      </w:r>
      <w:r>
        <w:rPr>
          <w:rStyle w:val="DeltaViewInsertion"/>
          <w:rFonts w:cs="Arial"/>
          <w:color w:val="auto"/>
          <w:u w:val="none"/>
        </w:rPr>
        <w:t>(</w:t>
      </w:r>
      <w:r>
        <w:rPr>
          <w:rStyle w:val="DeltaViewInsertion"/>
          <w:rFonts w:cs="Arial"/>
          <w:i/>
          <w:color w:val="auto"/>
          <w:u w:val="none"/>
        </w:rPr>
        <w:t>Breach of Covenant</w:t>
      </w:r>
      <w:r>
        <w:rPr>
          <w:rStyle w:val="DeltaViewInsertion"/>
          <w:rFonts w:cs="Arial"/>
          <w:color w:val="auto"/>
          <w:u w:val="none"/>
        </w:rPr>
        <w:t xml:space="preserve">) </w:t>
      </w:r>
      <w:r>
        <w:rPr>
          <w:rStyle w:val="DeltaViewInsertion"/>
          <w:rFonts w:cs="Arial"/>
          <w:color w:val="auto"/>
          <w:w w:val="0"/>
          <w:u w:val="none"/>
        </w:rPr>
        <w:t xml:space="preserve">unless </w:t>
      </w:r>
      <w:r>
        <w:t>GPC</w:t>
      </w:r>
      <w:r>
        <w:rPr>
          <w:rStyle w:val="DeltaViewInsertion"/>
          <w:rFonts w:cs="Arial"/>
          <w:color w:val="auto"/>
          <w:u w:val="none"/>
        </w:rPr>
        <w:t xml:space="preserve"> </w:t>
      </w:r>
      <w:r>
        <w:rPr>
          <w:rStyle w:val="DeltaViewInsertion"/>
          <w:rFonts w:cs="Arial"/>
          <w:color w:val="auto"/>
          <w:w w:val="0"/>
          <w:u w:val="none"/>
        </w:rPr>
        <w:t xml:space="preserve">cooperates with Seller during the cure period and, if applicable, takes commercially reasonable actions (without causing a material adverse effect on </w:t>
      </w:r>
      <w:r>
        <w:t>GPC</w:t>
      </w:r>
      <w:r>
        <w:rPr>
          <w:rStyle w:val="DeltaViewInsertion"/>
          <w:rFonts w:cs="Arial"/>
          <w:color w:val="auto"/>
          <w:w w:val="0"/>
          <w:u w:val="none"/>
        </w:rPr>
        <w:t xml:space="preserve">) necessary to bring about a determination by </w:t>
      </w:r>
      <w:r>
        <w:t>GPC</w:t>
      </w:r>
      <w:r>
        <w:rPr>
          <w:rStyle w:val="DeltaViewInsertion"/>
          <w:rFonts w:cs="Arial"/>
          <w:color w:val="auto"/>
          <w:u w:val="none"/>
        </w:rPr>
        <w:t xml:space="preserve"> </w:t>
      </w:r>
      <w:r>
        <w:rPr>
          <w:rStyle w:val="DeltaViewInsertion"/>
          <w:rFonts w:cs="Arial"/>
          <w:color w:val="auto"/>
          <w:w w:val="0"/>
          <w:u w:val="none"/>
        </w:rPr>
        <w:t>and its independent auditor that Seller does not constitute a VIE as because of this PPA</w:t>
      </w:r>
      <w:r>
        <w:t>.</w:t>
      </w:r>
    </w:p>
    <w:p w:rsidRPr="006E0A0D" w:rsidR="00D96326" w:rsidP="00AF2F0C" w:rsidRDefault="00D96326" w14:paraId="18599B44" w14:textId="0BA70B86">
      <w:pPr>
        <w:pStyle w:val="zGTC03"/>
        <w:tabs>
          <w:tab w:val="clear" w:pos="1368"/>
          <w:tab w:val="num" w:pos="1530"/>
        </w:tabs>
        <w:spacing w:after="0"/>
      </w:pPr>
      <w:r>
        <w:rPr>
          <w:b/>
          <w:bCs/>
        </w:rPr>
        <w:lastRenderedPageBreak/>
        <w:t xml:space="preserve">Applicable Law Violation. </w:t>
      </w:r>
      <w:r>
        <w:t xml:space="preserve">Seller violates any applicable law and the violation would have a material adverse effect on Seller’s ability to perform under this PPA and such violation is not cured within 30 </w:t>
      </w:r>
      <w:r w:rsidR="00AD176F">
        <w:t>D</w:t>
      </w:r>
      <w:r>
        <w:t xml:space="preserve">ays after notice from GPC unless the cure is not capable of being effected within the 30-Day period, in which case Seller will have an additional 60-Day period in which to commence the cure </w:t>
      </w:r>
      <w:r w:rsidR="008178B8">
        <w:t>so long as Seller</w:t>
      </w:r>
      <w:r>
        <w:t xml:space="preserve"> diligently pursues the cure and completes the cure within 90 Days and the cure removes any material adverse effect on Seller’s ability to perform under this PPA. Seller will be deemed not to have committed an Event of Default </w:t>
      </w:r>
      <w:r w:rsidR="007738B6">
        <w:t>under this Section 16.1.15 (</w:t>
      </w:r>
      <w:r w:rsidRPr="007738B6" w:rsidR="007738B6">
        <w:rPr>
          <w:i/>
          <w:iCs/>
        </w:rPr>
        <w:t>Applicable Law Violation</w:t>
      </w:r>
      <w:r w:rsidR="007738B6">
        <w:t xml:space="preserve">) </w:t>
      </w:r>
      <w:r>
        <w:t xml:space="preserve">if Seller has validly contested the alleged violation, the matter remains pending before the applicable Governmental Authorities, and any </w:t>
      </w:r>
      <w:proofErr w:type="gramStart"/>
      <w:r>
        <w:t>cease and desist</w:t>
      </w:r>
      <w:proofErr w:type="gramEnd"/>
      <w:r>
        <w:t xml:space="preserve"> order or other enforcement action due to an alleged violation of the applicable laws has been stayed.</w:t>
      </w:r>
    </w:p>
    <w:p w:rsidR="0EB55157" w:rsidP="54C72364" w:rsidRDefault="003C785D" w14:paraId="5B0881AF" w14:textId="55D00BBB">
      <w:pPr>
        <w:pStyle w:val="zGTC03"/>
        <w:tabs>
          <w:tab w:val="clear" w:pos="1368"/>
          <w:tab w:val="num" w:pos="1530"/>
        </w:tabs>
        <w:spacing w:after="0"/>
      </w:pPr>
      <w:r>
        <w:rPr>
          <w:b/>
          <w:bCs/>
        </w:rPr>
        <w:t>IA Termination</w:t>
      </w:r>
      <w:r w:rsidR="0EB55157">
        <w:t xml:space="preserve">. </w:t>
      </w:r>
      <w:r>
        <w:t>Termination of the IA due to a Seller event of default under the IA.</w:t>
      </w:r>
    </w:p>
    <w:p w:rsidRPr="006E0A0D" w:rsidR="00D96326" w:rsidP="00BE5870" w:rsidRDefault="00D96326" w14:paraId="40A64B28" w14:textId="77777777">
      <w:pPr>
        <w:spacing w:before="0" w:after="0"/>
        <w:rPr>
          <w:rFonts w:cs="Arial"/>
        </w:rPr>
      </w:pPr>
    </w:p>
    <w:p w:rsidRPr="006E0A0D" w:rsidR="00D96326" w:rsidP="00BE5870" w:rsidRDefault="00D96326" w14:paraId="469E1400" w14:textId="77777777">
      <w:pPr>
        <w:pStyle w:val="zGTC02"/>
        <w:spacing w:before="0"/>
        <w:rPr>
          <w:rFonts w:ascii="Arial" w:hAnsi="Arial" w:eastAsia="PMingLiU" w:cs="Arial"/>
          <w:vanish/>
          <w:szCs w:val="20"/>
          <w:specVanish/>
        </w:rPr>
      </w:pPr>
      <w:bookmarkStart w:name="_Toc212475719" w:id="234"/>
      <w:bookmarkStart w:name="_Toc227838417" w:id="235"/>
      <w:r>
        <w:rPr>
          <w:rFonts w:ascii="Arial" w:hAnsi="Arial" w:cs="Arial"/>
          <w:szCs w:val="20"/>
        </w:rPr>
        <w:t>Default by GPC.</w:t>
      </w:r>
      <w:bookmarkEnd w:id="234"/>
      <w:bookmarkEnd w:id="235"/>
    </w:p>
    <w:p w:rsidRPr="006E0A0D" w:rsidR="00D96326" w:rsidRDefault="00D96326" w14:paraId="39720F01" w14:textId="54170105">
      <w:pPr>
        <w:pStyle w:val="zGNormal"/>
      </w:pPr>
      <w:r>
        <w:t xml:space="preserve"> The occurrence of any of the following events will constitute a GPC Event of Default:</w:t>
      </w:r>
    </w:p>
    <w:p w:rsidRPr="006E0A0D" w:rsidR="00D96326" w:rsidP="00900323" w:rsidRDefault="00D96326" w14:paraId="67B66C62" w14:textId="1159AE92">
      <w:pPr>
        <w:pStyle w:val="zGTC03"/>
      </w:pPr>
      <w:r>
        <w:rPr>
          <w:b/>
          <w:bCs/>
        </w:rPr>
        <w:t xml:space="preserve">GPC Payment Default. </w:t>
      </w:r>
      <w:r>
        <w:t>GPC fails</w:t>
      </w:r>
      <w:r w:rsidR="003C6C10">
        <w:t>, by the due date,</w:t>
      </w:r>
      <w:r>
        <w:t xml:space="preserve"> to pay Seller any undisputed amount payable by GPC to Seller in accordance with this PPA and fails to cure the failure to pay within 15 Days after </w:t>
      </w:r>
      <w:r w:rsidR="002D4489">
        <w:t>receipt of written demand from Seller</w:t>
      </w:r>
      <w:r>
        <w:t>.</w:t>
      </w:r>
    </w:p>
    <w:p w:rsidRPr="006E0A0D" w:rsidR="00D96326" w:rsidP="00900323" w:rsidRDefault="00D96326" w14:paraId="5C68CF54" w14:textId="3F42FEBB">
      <w:pPr>
        <w:pStyle w:val="zGTC03"/>
      </w:pPr>
      <w:r>
        <w:rPr>
          <w:b/>
        </w:rPr>
        <w:t>Failure to Comply with Other Material PPA Terms.</w:t>
      </w:r>
      <w:r>
        <w:t xml:space="preserve"> GPC fails to perform or observe any material obligation of GPC under this PPA, other than those obligations included in this Section 16.2 (</w:t>
      </w:r>
      <w:r>
        <w:rPr>
          <w:i/>
          <w:iCs/>
        </w:rPr>
        <w:t>Default by GPC</w:t>
      </w:r>
      <w:r>
        <w:t xml:space="preserve">), which failure materially and adversely affects the ability of Seller or GPC to perform their respective obligations under this PPA and continues for a period of 30 Days after notice </w:t>
      </w:r>
      <w:r w:rsidR="008961BA">
        <w:t xml:space="preserve">of the failure </w:t>
      </w:r>
      <w:r>
        <w:t>from Seller (unless the cure is not capable of being effected within the 30-Day period, in which case GPC will have an additional 30-Day period in which to perform the cure).</w:t>
      </w:r>
    </w:p>
    <w:p w:rsidRPr="006E0A0D" w:rsidR="00D96326" w:rsidP="00900323" w:rsidRDefault="00D96326" w14:paraId="1E79992B" w14:textId="51430E98">
      <w:pPr>
        <w:pStyle w:val="zGTC03"/>
      </w:pPr>
      <w:r>
        <w:rPr>
          <w:b/>
          <w:bCs/>
        </w:rPr>
        <w:t xml:space="preserve">Incorrect Representation or Warranty. </w:t>
      </w:r>
      <w:r>
        <w:t xml:space="preserve">Any representation or warranty made by GPC in this PPA or in any certificate or other document delivered to Seller in accordance with this PPA proves to be incorrect in any material respect when made, unless GPC promptly commences and diligently pursues action to cause the representation or warranty to become true in all material respects and does so within 30 Days after Seller has given GPC notice (unless the cure is not capable of being effected within such 30-Day period in which case GPC will have an additional 30-Day period in which to perform the cure) and the cure removes any material adverse effect on Seller because of the representation or warranty having been incorrect. </w:t>
      </w:r>
    </w:p>
    <w:p w:rsidRPr="006E0A0D" w:rsidR="00D96326" w:rsidP="00900323" w:rsidRDefault="00D96326" w14:paraId="22DD03A9" w14:textId="66F85593">
      <w:pPr>
        <w:pStyle w:val="zGTC03"/>
        <w:rPr>
          <w:szCs w:val="20"/>
        </w:rPr>
      </w:pPr>
      <w:r>
        <w:rPr>
          <w:b/>
        </w:rPr>
        <w:t xml:space="preserve">Involuntary Bankruptcy, Insolvency, or Reorganization. </w:t>
      </w:r>
      <w:r>
        <w:t>A court having jurisdiction enters: (</w:t>
      </w:r>
      <w:proofErr w:type="spellStart"/>
      <w:r>
        <w:t>i</w:t>
      </w:r>
      <w:proofErr w:type="spellEnd"/>
      <w:r>
        <w:t>) a decree or order for relief in respect of GPC in an involuntary case or proceeding under any applicable Federal or state bankruptcy, insolvency, reorganization or other similar law; or (ii) a decree or order adjudicating GPC bankrupt or insolvent, or approving as properly filed a petition seeking reorganization, arrangement, adjustment or composition of or regarding GPC under any applicable Federal or state law, or appointing a custodian, receiver, liquidator, assignee, trustee, sequestrator, or other similar official of GPC or of any substantial part of its affairs.</w:t>
      </w:r>
    </w:p>
    <w:p w:rsidRPr="006E0A0D" w:rsidR="00D96326" w:rsidP="00900323" w:rsidRDefault="00D96326" w14:paraId="13E23A45" w14:textId="77777777">
      <w:pPr>
        <w:pStyle w:val="zGTC03"/>
        <w:rPr>
          <w:szCs w:val="20"/>
        </w:rPr>
      </w:pPr>
      <w:r>
        <w:rPr>
          <w:b/>
          <w:bCs/>
        </w:rPr>
        <w:t>V</w:t>
      </w:r>
      <w:r>
        <w:rPr>
          <w:b/>
        </w:rPr>
        <w:t>oluntary Bankruptcy, Insolvency, or Reorganization.</w:t>
      </w:r>
      <w:r>
        <w:t xml:space="preserve"> GPC: (</w:t>
      </w:r>
      <w:proofErr w:type="spellStart"/>
      <w:r>
        <w:t>i</w:t>
      </w:r>
      <w:proofErr w:type="spellEnd"/>
      <w:r>
        <w:t>) commences a voluntary case or proceeding under any applicable Federal or state bankruptcy, insolvency, reorganization, or other similar law or any other case or proceeding to be adjudicated bankrupt or insolvent; (ii) consents to the entry of a decree or order for relief in respect of GPC in any involuntary case or proceeding under any applicable Federal or state bankruptcy, insolvency, reorganization, or other similar law or to the commencement of any bankruptcy or insolvency case or proceeding against it; (iii) files any petition, answer or consent seeking reorganization or similar relief under any applicable Federal or state law, which, if granted would have the effect of relieving GPC of any of its obligations; (iv) consents to the filing of any petition or to the appointment of or taking possession by a custodian, receiver, liquidator, assignee, trustee, sequestrator, or similar official of GPC or of any substantial part of its property; (v) makes an assignment for the benefit of creditors; (vi) admits in writing its inability to generally pay its debts as they become due; or (vii) takes any action in furtherance of any of the foregoing.</w:t>
      </w:r>
    </w:p>
    <w:p w:rsidRPr="006E0A0D" w:rsidR="00D96326" w:rsidP="00900323" w:rsidRDefault="00D96326" w14:paraId="68E234AB" w14:textId="35035960">
      <w:pPr>
        <w:pStyle w:val="zGTC03"/>
      </w:pPr>
      <w:r>
        <w:rPr>
          <w:b/>
          <w:bCs/>
        </w:rPr>
        <w:t xml:space="preserve">Failure to Comply with PPA Assignment Requirements. </w:t>
      </w:r>
      <w:r>
        <w:t>GPC violates the requirements of Part 18 (</w:t>
      </w:r>
      <w:r>
        <w:rPr>
          <w:i/>
        </w:rPr>
        <w:t>Assignment, Transfers, and Changes of Control</w:t>
      </w:r>
      <w:r>
        <w:t>) through an unpermitted assignment or transfer of this PPA.</w:t>
      </w:r>
    </w:p>
    <w:p w:rsidRPr="006E0A0D" w:rsidR="00D96326" w:rsidP="00900323" w:rsidRDefault="00D96326" w14:paraId="490B6886" w14:textId="08331524">
      <w:pPr>
        <w:pStyle w:val="zGTC03"/>
        <w:rPr>
          <w:szCs w:val="20"/>
        </w:rPr>
      </w:pPr>
      <w:r>
        <w:rPr>
          <w:b/>
          <w:bCs/>
        </w:rPr>
        <w:t>Material Violation of Applicable Law.</w:t>
      </w:r>
      <w:r>
        <w:t xml:space="preserve"> GPC violates an applicable </w:t>
      </w:r>
      <w:proofErr w:type="gramStart"/>
      <w:r>
        <w:t>law</w:t>
      </w:r>
      <w:proofErr w:type="gramEnd"/>
      <w:r>
        <w:t xml:space="preserve"> and the violation would have a material adverse effect on GPC’s ability to perform under this PPA and the violation is not cured </w:t>
      </w:r>
      <w:r>
        <w:lastRenderedPageBreak/>
        <w:t xml:space="preserve">within 30 Days after GPC receives Seller’s notice. If the cure is not capable of being </w:t>
      </w:r>
      <w:proofErr w:type="gramStart"/>
      <w:r>
        <w:t>effected</w:t>
      </w:r>
      <w:proofErr w:type="gramEnd"/>
      <w:r>
        <w:t xml:space="preserve"> within the 30-Day period, GPC will have an additional 30-Day period in which to commence the cure and after commencing the cure GPC will diligently pursue the cure and complete the cure within 60 Days. The cure must remove the material adverse effect(s) on GPC’s ability to perform under this PPA. GPC will be deemed not to have committed an Event of Default under this PPA if GPC has validly contested the alleged violation, the matter remains pending before the applicable Governmental Authorities, and the </w:t>
      </w:r>
      <w:proofErr w:type="gramStart"/>
      <w:r>
        <w:t>cease and desist</w:t>
      </w:r>
      <w:proofErr w:type="gramEnd"/>
      <w:r>
        <w:t xml:space="preserve"> order or other enforcement action due to an alleged violation of the applicable laws has been stayed.</w:t>
      </w:r>
    </w:p>
    <w:p w:rsidRPr="006E0A0D" w:rsidR="00D96326" w:rsidP="00900323" w:rsidRDefault="00D96326" w14:paraId="55B5C5CE" w14:textId="2ABECB50">
      <w:pPr>
        <w:pStyle w:val="zGTC03"/>
      </w:pPr>
      <w:r>
        <w:rPr>
          <w:b/>
          <w:bCs/>
        </w:rPr>
        <w:t>Breach of Covenant Regarding Designation of Alternate Resource.</w:t>
      </w:r>
      <w:r>
        <w:t xml:space="preserve"> Any failure of any covenant made by GPC in Section 2.2.7 (</w:t>
      </w:r>
      <w:r>
        <w:rPr>
          <w:i/>
          <w:iCs/>
        </w:rPr>
        <w:t>Designation of Alternate Resource as a Secondary Resource</w:t>
      </w:r>
      <w:r>
        <w:t xml:space="preserve">), unless GPC promptly commences and diligently pursues action to cure the failure within 30 Days after notice </w:t>
      </w:r>
      <w:r w:rsidR="00F97EC7">
        <w:t xml:space="preserve">of the failure </w:t>
      </w:r>
      <w:r>
        <w:t>has been given to GPC by Seller, (unless the cure is not capable of being effected within such 30-Day period in which case GPC must submit a cure plan prior to the end of the 30-Day period outlining steps to assure Seller that the failure will be cured, which cure plan will be subject to Seller’s approval, such approval not to be unreasonably withheld by Seller, but in no event will the total cure period exceed 180 Days) and the cure removes any adverse effect on Seller of the failure of such covenant.</w:t>
      </w:r>
    </w:p>
    <w:p w:rsidRPr="006E0A0D" w:rsidR="00D96326" w:rsidP="00D96326" w:rsidRDefault="00D96326" w14:paraId="6F986DFE" w14:textId="77777777">
      <w:pPr>
        <w:pStyle w:val="zGTC02"/>
        <w:rPr>
          <w:rFonts w:ascii="Arial" w:hAnsi="Arial" w:eastAsia="PMingLiU" w:cs="Arial"/>
          <w:vanish/>
          <w:szCs w:val="20"/>
          <w:specVanish/>
        </w:rPr>
      </w:pPr>
      <w:bookmarkStart w:name="_Toc212475720" w:id="236"/>
      <w:bookmarkStart w:name="_Toc227838418" w:id="237"/>
      <w:r>
        <w:rPr>
          <w:rFonts w:ascii="Arial" w:hAnsi="Arial" w:cs="Arial"/>
          <w:szCs w:val="20"/>
        </w:rPr>
        <w:t>Remedies.</w:t>
      </w:r>
      <w:bookmarkEnd w:id="236"/>
      <w:bookmarkEnd w:id="237"/>
    </w:p>
    <w:p w:rsidRPr="006E0A0D" w:rsidR="00D96326" w:rsidRDefault="00D96326" w14:paraId="45C09D90" w14:textId="77777777">
      <w:pPr>
        <w:pStyle w:val="zGTC02"/>
        <w:numPr>
          <w:ilvl w:val="0"/>
          <w:numId w:val="0"/>
        </w:numPr>
        <w:rPr>
          <w:rFonts w:ascii="Arial" w:hAnsi="Arial" w:cs="Arial"/>
          <w:szCs w:val="20"/>
        </w:rPr>
      </w:pPr>
    </w:p>
    <w:p w:rsidR="00A776F3" w:rsidP="00900323" w:rsidRDefault="00D96326" w14:paraId="032C06D0" w14:textId="528E0B94">
      <w:pPr>
        <w:pStyle w:val="zGTC03"/>
      </w:pPr>
      <w:r>
        <w:rPr>
          <w:b/>
          <w:bCs/>
        </w:rPr>
        <w:t xml:space="preserve">Remedies for Event of Default. </w:t>
      </w:r>
      <w:r w:rsidR="00245564">
        <w:t>Except as provided in this Section 16.3.1 (</w:t>
      </w:r>
      <w:r w:rsidRPr="00245564" w:rsidR="00245564">
        <w:rPr>
          <w:i/>
          <w:iCs/>
        </w:rPr>
        <w:t>Remedies for Event of Default</w:t>
      </w:r>
      <w:r w:rsidR="00245564">
        <w:t>),</w:t>
      </w:r>
      <w:r>
        <w:t xml:space="preserve"> </w:t>
      </w:r>
      <w:r w:rsidR="00872C8E">
        <w:t>i</w:t>
      </w:r>
      <w:r>
        <w:t>f an Event of Default occurs at any time during the Term, the Party not in default under this PPA (“</w:t>
      </w:r>
      <w:r>
        <w:rPr>
          <w:b/>
          <w:bCs/>
        </w:rPr>
        <w:t>Non-Defaulting Party</w:t>
      </w:r>
      <w:r>
        <w:t>”) may, for so long as the Event of Default is continuing, subject to Part 19 (</w:t>
      </w:r>
      <w:r>
        <w:rPr>
          <w:i/>
          <w:iCs/>
        </w:rPr>
        <w:t>Dispute Resolution</w:t>
      </w:r>
      <w:r>
        <w:t>), take one or more of the following actions: (</w:t>
      </w:r>
      <w:proofErr w:type="spellStart"/>
      <w:r>
        <w:t>i</w:t>
      </w:r>
      <w:proofErr w:type="spellEnd"/>
      <w:r>
        <w:t>) establish a date, no later than 10 Business Days after the Non-Defaulting Party delivers to the Party in default under this PPA (“</w:t>
      </w:r>
      <w:r>
        <w:rPr>
          <w:b/>
          <w:bCs/>
        </w:rPr>
        <w:t>Defaulting Party</w:t>
      </w:r>
      <w:r>
        <w:t>”) notice of the date, on which this PPA will terminate (“</w:t>
      </w:r>
      <w:r>
        <w:rPr>
          <w:b/>
          <w:bCs/>
        </w:rPr>
        <w:t>Early Termination Date</w:t>
      </w:r>
      <w:r>
        <w:t>”); (ii) proceed by appropriate proceedings in accordance with this PPA at law, in equity, or otherwise, to protect and enforce: (a) Non-Defaulting Party’s right to recover actual or liquidated damages; or (b) where the Event of Default is one other than the failure to pay money, equitable relief, including specific performance; and (iii) immediately stop performance or withhold any payments, or both, due under this PPA.</w:t>
      </w:r>
      <w:r w:rsidR="00CF55FE">
        <w:t xml:space="preserve"> </w:t>
      </w:r>
      <w:r w:rsidR="00960DC8">
        <w:t>Despite the previous sentence</w:t>
      </w:r>
      <w:r w:rsidR="00CF55FE">
        <w:t xml:space="preserve">, if a </w:t>
      </w:r>
      <w:r w:rsidR="004634D5">
        <w:t xml:space="preserve">Seller </w:t>
      </w:r>
      <w:r w:rsidR="00CF55FE">
        <w:t xml:space="preserve">Event of Default occurs </w:t>
      </w:r>
      <w:r w:rsidR="00E40556">
        <w:t>under Section 16.1.12</w:t>
      </w:r>
      <w:r w:rsidR="00C9616F">
        <w:t xml:space="preserve"> </w:t>
      </w:r>
      <w:r w:rsidR="00E40556">
        <w:t>(</w:t>
      </w:r>
      <w:r w:rsidRPr="00E40556" w:rsidR="00E40556">
        <w:rPr>
          <w:i/>
          <w:iCs/>
        </w:rPr>
        <w:t xml:space="preserve">Failure to Obtain Air Permit by Air Permit </w:t>
      </w:r>
      <w:r w:rsidR="00B82F2C">
        <w:rPr>
          <w:i/>
          <w:iCs/>
        </w:rPr>
        <w:t>Milestone</w:t>
      </w:r>
      <w:r w:rsidRPr="00E40556" w:rsidR="00E40556">
        <w:rPr>
          <w:i/>
          <w:iCs/>
        </w:rPr>
        <w:t xml:space="preserve"> Date</w:t>
      </w:r>
      <w:r w:rsidR="00E40556">
        <w:rPr>
          <w:i/>
          <w:iCs/>
        </w:rPr>
        <w:t>)</w:t>
      </w:r>
      <w:r w:rsidRPr="00E40556" w:rsidR="00E40556">
        <w:t>,</w:t>
      </w:r>
      <w:r w:rsidR="00434703">
        <w:t xml:space="preserve"> GPC </w:t>
      </w:r>
      <w:r w:rsidR="00960DC8">
        <w:t xml:space="preserve">will not have a right to terminate this </w:t>
      </w:r>
      <w:r w:rsidR="004634D5">
        <w:t xml:space="preserve">PPA </w:t>
      </w:r>
      <w:r w:rsidR="006749FA">
        <w:t>under this Section 16.3.1 (</w:t>
      </w:r>
      <w:r w:rsidRPr="006749FA" w:rsidR="006749FA">
        <w:rPr>
          <w:i/>
          <w:iCs/>
        </w:rPr>
        <w:t>Remedies for Event of Default</w:t>
      </w:r>
      <w:r w:rsidR="006749FA">
        <w:t xml:space="preserve">) </w:t>
      </w:r>
      <w:r w:rsidR="00960DC8">
        <w:t>as a result of</w:t>
      </w:r>
      <w:r w:rsidR="004634D5">
        <w:t xml:space="preserve"> </w:t>
      </w:r>
      <w:r w:rsidR="006A2AE5">
        <w:t>that</w:t>
      </w:r>
      <w:r w:rsidR="004634D5">
        <w:t xml:space="preserve"> Seller E</w:t>
      </w:r>
      <w:r w:rsidR="00B87B06">
        <w:t xml:space="preserve">vent of Default </w:t>
      </w:r>
      <w:r w:rsidR="006749FA">
        <w:t>(</w:t>
      </w:r>
      <w:r w:rsidR="00FB1AB3">
        <w:t xml:space="preserve">or </w:t>
      </w:r>
      <w:r w:rsidR="00687D2A">
        <w:t xml:space="preserve">continuation of </w:t>
      </w:r>
      <w:r w:rsidR="004C7260">
        <w:t>that</w:t>
      </w:r>
      <w:r w:rsidR="00FB1AB3">
        <w:t xml:space="preserve"> Seller Event of Default</w:t>
      </w:r>
      <w:r w:rsidR="006749FA">
        <w:t>)</w:t>
      </w:r>
      <w:r w:rsidR="00687D2A">
        <w:t xml:space="preserve"> </w:t>
      </w:r>
      <w:r w:rsidR="00A94AE8">
        <w:t>until</w:t>
      </w:r>
      <w:r w:rsidR="00A776F3">
        <w:t xml:space="preserve"> the earlier of</w:t>
      </w:r>
      <w:r w:rsidR="00A94AE8">
        <w:t xml:space="preserve"> </w:t>
      </w:r>
      <w:r w:rsidR="00A776F3">
        <w:t>(</w:t>
      </w:r>
      <w:proofErr w:type="spellStart"/>
      <w:r w:rsidR="00A776F3">
        <w:t>i</w:t>
      </w:r>
      <w:proofErr w:type="spellEnd"/>
      <w:r w:rsidR="00A776F3">
        <w:t xml:space="preserve">) the date on which </w:t>
      </w:r>
      <w:r w:rsidR="009377F4">
        <w:t xml:space="preserve">GPC receives notice from Seller that Seller has reasonably determined it will not obtain the Air Permit by the </w:t>
      </w:r>
      <w:r w:rsidR="00347CF7">
        <w:t>Air Permit Outside Date</w:t>
      </w:r>
      <w:r w:rsidR="009377F4">
        <w:t xml:space="preserve">, or (ii) the </w:t>
      </w:r>
      <w:r w:rsidR="00347CF7">
        <w:t>Air Permit Outside Date</w:t>
      </w:r>
      <w:r w:rsidR="003532F6">
        <w:t xml:space="preserve">, if </w:t>
      </w:r>
      <w:r w:rsidR="00595272">
        <w:t xml:space="preserve">the Air Permit has not been obtained by </w:t>
      </w:r>
      <w:r w:rsidR="00A101C4">
        <w:t>that</w:t>
      </w:r>
      <w:r w:rsidR="00595272">
        <w:t xml:space="preserve"> date</w:t>
      </w:r>
      <w:r w:rsidR="009377F4">
        <w:t>.</w:t>
      </w:r>
    </w:p>
    <w:p w:rsidRPr="006E0A0D" w:rsidR="00D96326" w:rsidP="00900323" w:rsidRDefault="6FE45F77" w14:paraId="2D82EB0D" w14:textId="5A3D846C">
      <w:pPr>
        <w:pStyle w:val="zGTC03"/>
      </w:pPr>
      <w:r>
        <w:rPr>
          <w:b/>
          <w:bCs/>
        </w:rPr>
        <w:t>Termination Payment.</w:t>
      </w:r>
      <w:r>
        <w:t xml:space="preserve"> If an Early Termination Date has been established and Non-Defaulting Party has not successfully pursued an action for specific performance, Non-Defaulting Party will in good faith calculate its Gains, Losses, or Costs resulting from the PPA termination, aggregate into a single net amount Gains, Losses, or Costs, and then notify Defaulting Party. If Non-Defaulting Party’s aggregate Losses and Costs exceed Non-Defaulting Party’s aggregate Gains, Defaulting Party will, unless Defaulting Party disagrees with the calculation, within 15 Business Days </w:t>
      </w:r>
      <w:r w:rsidR="0057577A">
        <w:t>after</w:t>
      </w:r>
      <w:r>
        <w:t xml:space="preserve"> receipt of </w:t>
      </w:r>
      <w:r w:rsidR="00765C31">
        <w:t xml:space="preserve">the </w:t>
      </w:r>
      <w:r>
        <w:t>notice</w:t>
      </w:r>
      <w:r w:rsidR="00765C31">
        <w:t xml:space="preserve"> from the </w:t>
      </w:r>
      <w:r>
        <w:t>Non-Defaulting Party, pay to Non-Defaulting Party the net amount (“</w:t>
      </w:r>
      <w:r>
        <w:rPr>
          <w:b/>
        </w:rPr>
        <w:t>Termination Payment</w:t>
      </w:r>
      <w:r>
        <w:t xml:space="preserve">”). The Termination Payment will bear interest at the Interest Rate from the Early Termination Date until paid to Non-Defaulting </w:t>
      </w:r>
      <w:r w:rsidR="00681E7A">
        <w:t>P</w:t>
      </w:r>
      <w:r>
        <w:t>arty. If Non-Defaulting Party’s aggregate Gains exceed aggregate Losses and Costs, if any, resulting from the PPA termination, Non-Defaulting Party may retain the Gains. If Defaulting Party disagrees with the calculation of the Termination Payment, the issue will be resolved in accordance with Part 19 (</w:t>
      </w:r>
      <w:r>
        <w:rPr>
          <w:i/>
          <w:iCs/>
        </w:rPr>
        <w:t>Dispute Resolution</w:t>
      </w:r>
      <w:r>
        <w:t>) provisions applicable to Termination Payment disputes, and the resulting Termination Payment will be due by no later than three Business Days after the award. Despite any provision in this PPA, for any GPC PPA termination</w:t>
      </w:r>
      <w:r w:rsidR="00A5687A">
        <w:t xml:space="preserve"> </w:t>
      </w:r>
      <w:r w:rsidR="00725523">
        <w:t xml:space="preserve">for a Seller Event of Default </w:t>
      </w:r>
      <w:r w:rsidR="00650B82">
        <w:t xml:space="preserve">that occurs before the Facility achieves Commercial Operation, </w:t>
      </w:r>
      <w:r>
        <w:t xml:space="preserve">rather than the application of a calculation of Gains, Losses, or Costs resulting from the PPA termination, the </w:t>
      </w:r>
      <w:r>
        <w:rPr>
          <w:rFonts w:cs="Arial"/>
        </w:rPr>
        <w:t>Termination Payment will be liquidated damages in an amount equal to the full amount of the then-required Performance Security amount shown in Part 1 (</w:t>
      </w:r>
      <w:r>
        <w:rPr>
          <w:rFonts w:cs="Arial"/>
          <w:i/>
          <w:iCs/>
        </w:rPr>
        <w:t>Performance Security</w:t>
      </w:r>
      <w:r>
        <w:rPr>
          <w:rFonts w:cs="Arial"/>
        </w:rPr>
        <w:t>) of Exhibit A-2 (</w:t>
      </w:r>
      <w:r>
        <w:rPr>
          <w:rFonts w:cs="Arial"/>
          <w:i/>
        </w:rPr>
        <w:t>Performance Security and Liquidated Damages</w:t>
      </w:r>
      <w:r>
        <w:rPr>
          <w:rFonts w:cs="Arial"/>
        </w:rPr>
        <w:t xml:space="preserve">). In each case, </w:t>
      </w:r>
      <w:r>
        <w:t xml:space="preserve">Seller must also pay to GPC </w:t>
      </w:r>
      <w:r w:rsidR="00736DD6">
        <w:t xml:space="preserve">all </w:t>
      </w:r>
      <w:r>
        <w:t>other damages owed to GPC under this PPA, including any applicable amount specified in Section 7.3 (</w:t>
      </w:r>
      <w:r>
        <w:rPr>
          <w:i/>
          <w:iCs/>
        </w:rPr>
        <w:t>Permitting</w:t>
      </w:r>
      <w:r>
        <w:t>) or Section 7.4 (</w:t>
      </w:r>
      <w:r>
        <w:rPr>
          <w:i/>
          <w:iCs/>
        </w:rPr>
        <w:t>Failure to Achieve Commercial Operation by RCOD</w:t>
      </w:r>
      <w:r>
        <w:t>).</w:t>
      </w:r>
    </w:p>
    <w:p w:rsidRPr="006E0A0D" w:rsidR="00D96326" w:rsidP="000A2525" w:rsidRDefault="00D96326" w14:paraId="12800ABF" w14:textId="1E8F0664">
      <w:pPr>
        <w:pStyle w:val="zGTC03"/>
        <w:spacing w:line="259" w:lineRule="auto"/>
      </w:pPr>
      <w:r>
        <w:rPr>
          <w:b/>
          <w:bCs/>
        </w:rPr>
        <w:lastRenderedPageBreak/>
        <w:t>Determining Gains, Losses, and Costs.</w:t>
      </w:r>
      <w:r>
        <w:t xml:space="preserve"> Subject to Section 10.3.1 (</w:t>
      </w:r>
      <w:r>
        <w:rPr>
          <w:i/>
          <w:iCs/>
        </w:rPr>
        <w:t>Alternative Determination of Capacity Payment</w:t>
      </w:r>
      <w:r>
        <w:t>), Gains, Losses, or Costs will be determined by comparing the cost of the capacity and energy that</w:t>
      </w:r>
      <w:r w:rsidR="00CC7035">
        <w:t xml:space="preserve"> </w:t>
      </w:r>
      <w:r>
        <w:t xml:space="preserve">would be available </w:t>
      </w:r>
      <w:r w:rsidR="005A372D">
        <w:t>for</w:t>
      </w:r>
      <w:r>
        <w:t xml:space="preserve"> the remainder of the Term had this PPA not been terminated to the market price of capacity and energy of equivalent reliability and Scheduling flexibility for the remaining Term (had this PPA not been terminated). Nothing in Part 6 (</w:t>
      </w:r>
      <w:r>
        <w:rPr>
          <w:i/>
          <w:iCs/>
        </w:rPr>
        <w:t>Performance Security</w:t>
      </w:r>
      <w:r>
        <w:t>) is intended to limit liability under this Section 16.3 (</w:t>
      </w:r>
      <w:r>
        <w:rPr>
          <w:i/>
          <w:iCs/>
        </w:rPr>
        <w:t>Remedies</w:t>
      </w:r>
      <w:r>
        <w:t xml:space="preserve">). To ascertain the market price, Non-Defaulting Party may consider, among other evidence, the settlement prices of NYMEX energy futures contracts, quotations from leading dealers in energy and gas swap contracts, offers for replacement capacity and energy, or bids to purchase the </w:t>
      </w:r>
      <w:r>
        <w:rPr>
          <w:rStyle w:val="DeltaViewInsertion"/>
          <w:rFonts w:cs="Arial"/>
          <w:color w:val="auto"/>
          <w:u w:val="none"/>
        </w:rPr>
        <w:t>remaining</w:t>
      </w:r>
      <w:r>
        <w:t xml:space="preserve"> capacity and energy that was to be sold in accordance with this PPA, in either case made by bona fide third-parties (including offers Non-Defaulting Party received in response to any request for proposals for capacity and energy contracts), all adjusted for the length of the remaining Term (as of the PPA termination date) and differences in locational basis (including costs of transmission investments and transmission service), reliability, Scheduling flexibility, and any other considerations affecting value. Neither Party will be required to </w:t>
      </w:r>
      <w:proofErr w:type="gramStart"/>
      <w:r>
        <w:t>enter into</w:t>
      </w:r>
      <w:proofErr w:type="gramEnd"/>
      <w:r>
        <w:t xml:space="preserve"> replacement transactions to determine the Termination Payment. As used in this Section 16.3: (</w:t>
      </w:r>
      <w:proofErr w:type="spellStart"/>
      <w:r>
        <w:t>i</w:t>
      </w:r>
      <w:proofErr w:type="spellEnd"/>
      <w:r>
        <w:t>) “</w:t>
      </w:r>
      <w:r>
        <w:rPr>
          <w:b/>
        </w:rPr>
        <w:t>Costs</w:t>
      </w:r>
      <w:r>
        <w:t>” means: “Brokerage fees, commissions, and other similar transaction costs and expenses reasonably incurred by a Party either in terminating any agreement it has entered into to fulfill its obligations under this PPA or entering into new agreements which replace this PPA, and attorneys’ fees, if any, incurred enforcing its rights under this PPA; (ii) “</w:t>
      </w:r>
      <w:r>
        <w:rPr>
          <w:b/>
        </w:rPr>
        <w:t>Gains</w:t>
      </w:r>
      <w:r>
        <w:t xml:space="preserve">” means: An amount equal to the economic benefit determined on a mark to market basis (exclusive of Costs), if any, to </w:t>
      </w:r>
      <w:r>
        <w:rPr>
          <w:w w:val="0"/>
        </w:rPr>
        <w:t xml:space="preserve">the Non-Defaulting Party </w:t>
      </w:r>
      <w:r>
        <w:t>resulting from the termination of this PPA; and (iii) “</w:t>
      </w:r>
      <w:r>
        <w:rPr>
          <w:b/>
        </w:rPr>
        <w:t>Losses</w:t>
      </w:r>
      <w:r>
        <w:t xml:space="preserve">” means: An amount equal to the economic loss determined on a mark to market basis (exclusive of Costs), if any, to </w:t>
      </w:r>
      <w:r>
        <w:rPr>
          <w:w w:val="0"/>
        </w:rPr>
        <w:t>the Non-Defaulting Party</w:t>
      </w:r>
      <w:r>
        <w:t xml:space="preserve"> resulting from the termination of this PPA.</w:t>
      </w:r>
    </w:p>
    <w:p w:rsidRPr="006E0A0D" w:rsidR="00D96326" w:rsidP="00D96326" w:rsidRDefault="00D96326" w14:paraId="5528FDA1" w14:textId="77777777">
      <w:pPr>
        <w:pStyle w:val="zGTC02"/>
        <w:rPr>
          <w:rFonts w:ascii="Arial" w:hAnsi="Arial" w:eastAsia="PMingLiU" w:cs="Arial"/>
          <w:vanish/>
          <w:szCs w:val="20"/>
          <w:specVanish/>
        </w:rPr>
      </w:pPr>
      <w:bookmarkStart w:name="_Toc212475721" w:id="238"/>
      <w:bookmarkStart w:name="_Toc227838419" w:id="239"/>
      <w:r>
        <w:rPr>
          <w:rFonts w:ascii="Arial" w:hAnsi="Arial" w:cs="Arial"/>
          <w:szCs w:val="20"/>
        </w:rPr>
        <w:t>Rights of Specific Performance.</w:t>
      </w:r>
      <w:bookmarkEnd w:id="238"/>
      <w:bookmarkEnd w:id="239"/>
    </w:p>
    <w:p w:rsidRPr="006E0A0D" w:rsidR="00D96326" w:rsidRDefault="00D96326" w14:paraId="2096E4D4" w14:textId="38924F49">
      <w:pPr>
        <w:pStyle w:val="zGNormal"/>
      </w:pPr>
      <w:r>
        <w:t xml:space="preserve"> For an Event of Default, the Parties recognize that a remedy at law may be inadequate because this PPA is unique or because the actual </w:t>
      </w:r>
      <w:proofErr w:type="gramStart"/>
      <w:r>
        <w:t>damages</w:t>
      </w:r>
      <w:proofErr w:type="gramEnd"/>
      <w:r>
        <w:t xml:space="preserve"> of the Non-Defaulting Party may exceed any guaranty or other collateral</w:t>
      </w:r>
      <w:r>
        <w:rPr>
          <w:b/>
          <w:bCs/>
          <w:i/>
          <w:iCs/>
        </w:rPr>
        <w:t xml:space="preserve"> </w:t>
      </w:r>
      <w:r>
        <w:t xml:space="preserve">available to the Non-Defaulting Party. The Parties agree that in an Event of Default for which </w:t>
      </w:r>
      <w:r w:rsidR="002A426F">
        <w:t>this</w:t>
      </w:r>
      <w:r>
        <w:t xml:space="preserve"> PPA has not prescribed a specific remedy, Non-Defaulting Party will be entitled to pursue an action for specific performance, and Defaulting Party waives Defaulting Party’s rights to assert as a defense to a specific performance action that the Non-Defaulting Party’s remedy at law is adequate. The Non-Defaulting Party will not be entitled to receive both specific performance and a Termination Payment from the Defaulting Party. </w:t>
      </w:r>
    </w:p>
    <w:p w:rsidRPr="006E0A0D" w:rsidR="00D96326" w:rsidP="00D96326" w:rsidRDefault="00D96326" w14:paraId="57D55C9A" w14:textId="77777777">
      <w:pPr>
        <w:pStyle w:val="zGTC02"/>
        <w:rPr>
          <w:rFonts w:ascii="Arial" w:hAnsi="Arial" w:eastAsia="PMingLiU" w:cs="Arial"/>
          <w:vanish/>
          <w:szCs w:val="20"/>
          <w:specVanish/>
        </w:rPr>
      </w:pPr>
      <w:bookmarkStart w:name="_Toc212475722" w:id="240"/>
      <w:bookmarkStart w:name="_Toc227838420" w:id="241"/>
      <w:r>
        <w:rPr>
          <w:rFonts w:ascii="Arial" w:hAnsi="Arial" w:cs="Arial"/>
          <w:szCs w:val="20"/>
        </w:rPr>
        <w:t>Limitation of Remedies, Liability, and Damages.</w:t>
      </w:r>
      <w:bookmarkEnd w:id="240"/>
      <w:bookmarkEnd w:id="241"/>
    </w:p>
    <w:p w:rsidR="00FA7E50" w:rsidP="00FA7E50" w:rsidRDefault="00D96326" w14:paraId="4BC4DFA9" w14:textId="417D0FC8">
      <w:pPr>
        <w:pStyle w:val="zGNormal"/>
        <w:rPr>
          <w:b/>
          <w:bCs/>
        </w:rPr>
      </w:pPr>
      <w:r>
        <w:t xml:space="preserve"> </w:t>
      </w:r>
      <w:r>
        <w:rPr>
          <w:b/>
          <w:bCs/>
          <w:u w:val="single"/>
        </w:rPr>
        <w:t xml:space="preserve">Each Party confirms that the express remedies and measures of damages provided in this PPA satisfy the essential purpose of this PPA for breach of any provision for which an express remedy or measure of damages is provided, </w:t>
      </w:r>
      <w:r w:rsidR="002A426F">
        <w:rPr>
          <w:b/>
          <w:bCs/>
          <w:u w:val="single"/>
        </w:rPr>
        <w:t xml:space="preserve">in which event </w:t>
      </w:r>
      <w:r>
        <w:rPr>
          <w:b/>
          <w:bCs/>
          <w:u w:val="single"/>
        </w:rPr>
        <w:t>the express remedy or measure of damages will be the exclusive remedy, subject to Section 19.6 (</w:t>
      </w:r>
      <w:r>
        <w:rPr>
          <w:b/>
          <w:bCs/>
          <w:i/>
          <w:iCs/>
          <w:u w:val="single"/>
        </w:rPr>
        <w:t>Injunctive Relief</w:t>
      </w:r>
      <w:r>
        <w:rPr>
          <w:b/>
          <w:bCs/>
          <w:u w:val="single"/>
        </w:rPr>
        <w:t>) regarding injunctive relief. Except to the extent expressly provided in Section 7.4 (</w:t>
      </w:r>
      <w:r>
        <w:rPr>
          <w:b/>
          <w:bCs/>
          <w:i/>
          <w:iCs/>
          <w:u w:val="single"/>
        </w:rPr>
        <w:t>Failure to Achieve Commercial Operation by RCOD</w:t>
      </w:r>
      <w:r>
        <w:rPr>
          <w:b/>
          <w:bCs/>
          <w:u w:val="single"/>
        </w:rPr>
        <w:t xml:space="preserve">), and subject to Section 19.6, where an express remedy or measure of damage is provided, the Party’s liability will be limited as set forth in the provision and all other remedies or damages at law or in equity are waived. However, if no remedy or measure of damages is expressly provided in this </w:t>
      </w:r>
      <w:r>
        <w:rPr>
          <w:b/>
          <w:u w:val="single"/>
        </w:rPr>
        <w:t>PPA</w:t>
      </w:r>
      <w:r>
        <w:rPr>
          <w:b/>
          <w:bCs/>
          <w:u w:val="single"/>
        </w:rPr>
        <w:t xml:space="preserve">, and subject to Section 19.6, a Party’s liability will be limited to direct actual damages only. Subject to Section 19.6, </w:t>
      </w:r>
      <w:proofErr w:type="gramStart"/>
      <w:r>
        <w:rPr>
          <w:b/>
          <w:bCs/>
          <w:u w:val="single"/>
        </w:rPr>
        <w:t>the direct</w:t>
      </w:r>
      <w:proofErr w:type="gramEnd"/>
      <w:r>
        <w:rPr>
          <w:b/>
          <w:bCs/>
          <w:u w:val="single"/>
        </w:rPr>
        <w:t xml:space="preserve"> actual damages will be the exclusive remedy and all other remedies or damages at law or in equity are waived. The Parties explicitly agree and intend that Section 7.4.1 (</w:t>
      </w:r>
      <w:r>
        <w:rPr>
          <w:b/>
          <w:bCs/>
          <w:i/>
          <w:iCs/>
          <w:u w:val="single"/>
        </w:rPr>
        <w:t>Delay Liquidated Damages</w:t>
      </w:r>
      <w:r>
        <w:rPr>
          <w:b/>
          <w:bCs/>
          <w:u w:val="single"/>
        </w:rPr>
        <w:t>), Section 16.3.2 (</w:t>
      </w:r>
      <w:r>
        <w:rPr>
          <w:b/>
          <w:bCs/>
          <w:i/>
          <w:iCs/>
          <w:u w:val="single"/>
        </w:rPr>
        <w:t>Termination Payment</w:t>
      </w:r>
      <w:r>
        <w:rPr>
          <w:b/>
          <w:bCs/>
          <w:u w:val="single"/>
        </w:rPr>
        <w:t>), Exhibit B (</w:t>
      </w:r>
      <w:r>
        <w:rPr>
          <w:b/>
          <w:bCs/>
          <w:i/>
          <w:iCs/>
          <w:u w:val="single"/>
        </w:rPr>
        <w:t>Capacity; Capacity Payments and Payment Reductions; Buydown</w:t>
      </w:r>
      <w:r>
        <w:rPr>
          <w:b/>
          <w:bCs/>
          <w:u w:val="single"/>
        </w:rPr>
        <w:t>), and Exhibit C (</w:t>
      </w:r>
      <w:r>
        <w:rPr>
          <w:b/>
          <w:bCs/>
          <w:i/>
          <w:iCs/>
          <w:u w:val="single"/>
        </w:rPr>
        <w:t>Energy Payment Calculation</w:t>
      </w:r>
      <w:r>
        <w:rPr>
          <w:b/>
          <w:bCs/>
          <w:u w:val="single"/>
        </w:rPr>
        <w:t>) will be fully enforceable by any court exercising jurisdiction over any dispute between the Parties arising under this PPA. Each Party irrevocably waives any defense available to it under applicable law or equity relating to the enforceability of the liquidated damages provisions set forth in Section 7.4.1, Exhibit B, and Exhibit C</w:t>
      </w:r>
      <w:r>
        <w:rPr>
          <w:b/>
          <w:bCs/>
        </w:rPr>
        <w:t xml:space="preserve">. </w:t>
      </w:r>
      <w:bookmarkStart w:name="_Toc212475723" w:id="242"/>
    </w:p>
    <w:p w:rsidRPr="006E0A0D" w:rsidR="00CD5AFA" w:rsidP="00CD5AFA" w:rsidRDefault="00D96326" w14:paraId="1163EE61" w14:textId="77777777">
      <w:pPr>
        <w:pStyle w:val="zGTC02"/>
        <w:rPr>
          <w:rFonts w:eastAsia="PMingLiU"/>
          <w:vanish/>
          <w:specVanish/>
        </w:rPr>
      </w:pPr>
      <w:bookmarkStart w:name="_Toc227838421" w:id="243"/>
      <w:r w:rsidRPr="001B0F77">
        <w:t>Waiver of Consequential Damages.</w:t>
      </w:r>
      <w:bookmarkEnd w:id="242"/>
      <w:bookmarkEnd w:id="243"/>
    </w:p>
    <w:p w:rsidRPr="00CD5AFA" w:rsidR="00270D00" w:rsidP="00CD5AFA" w:rsidRDefault="002A5B8C" w14:paraId="203C3A6B" w14:textId="41BCAAC6">
      <w:pPr>
        <w:pStyle w:val="zGNormal"/>
        <w:rPr>
          <w:b/>
          <w:bCs/>
          <w:u w:val="single"/>
        </w:rPr>
      </w:pPr>
      <w:r w:rsidRPr="001B0F77">
        <w:t xml:space="preserve"> </w:t>
      </w:r>
      <w:r w:rsidRPr="00CD5AFA">
        <w:rPr>
          <w:b/>
          <w:bCs/>
          <w:u w:val="single"/>
        </w:rPr>
        <w:t>Unless expressly provided in this PPA, neither Party nor its Affiliates will be liable for: (</w:t>
      </w:r>
      <w:proofErr w:type="spellStart"/>
      <w:r w:rsidRPr="00CD5AFA">
        <w:rPr>
          <w:b/>
          <w:bCs/>
          <w:u w:val="single"/>
        </w:rPr>
        <w:t>i</w:t>
      </w:r>
      <w:proofErr w:type="spellEnd"/>
      <w:r w:rsidRPr="00CD5AFA">
        <w:rPr>
          <w:b/>
          <w:bCs/>
          <w:u w:val="single"/>
        </w:rPr>
        <w:t xml:space="preserve">) consequential, incidental, special, punitive, exemplary, treble, or indirect damages (including lost profits; loss of use, income tax benefit, data, business opportunity or anticipated savings; idled equipment costs; or increased overhead, financing, or operating costs); or (ii) other business interruption damages arising out of this PPA, any damage or delay in connection with this PPA, a Party’s act or failure to act, or a Party’s performance or non-performance under this PPA, whether or not reasonable, foreseeable, contemplated, or avoidable and whether by statute, in tort or contract, under any </w:t>
      </w:r>
      <w:r w:rsidRPr="00CD5AFA">
        <w:rPr>
          <w:b/>
          <w:bCs/>
          <w:u w:val="single"/>
        </w:rPr>
        <w:lastRenderedPageBreak/>
        <w:t>indemnity provision, or otherwise. The preceding sentence will not apply: (a) for amounts owed to a third party for which this PPA requires indemnification; (b) to limit the liability of Seller for liquidated damages specified in this PPA; (c) to limit the liability of a Person whose actions giving rise to the liability constitute gross negligence or willful misconduct; or (d) to limit or reduce the amounts owed by a defaulting Party under Section 16.3 (</w:t>
      </w:r>
      <w:r w:rsidRPr="00CD5AFA">
        <w:rPr>
          <w:b/>
          <w:bCs/>
          <w:i/>
          <w:u w:val="single"/>
        </w:rPr>
        <w:t>Remedies</w:t>
      </w:r>
      <w:r w:rsidRPr="00CD5AFA">
        <w:rPr>
          <w:b/>
          <w:bCs/>
          <w:u w:val="single"/>
        </w:rPr>
        <w:t>), it being expressly agreed that no portion of any amount owed under Section 16.3 will be considered consequential damages and it being expressly agreed that the lost value of any investment tax credit (ITC), production tax credit (PTC), or any other similar Tax credit or benefit will be considered consequential damages. To the extent any damages required to be paid under this PPA are liquidated, the Parties acknowledge that: (I) the actual damages likely to be incurred are difficult or impossible to determine; (II) otherwise obtaining an adequate remedy is inconvenient; and (III) the liquidated damages do not constitute a penalty and are a reasonable approximation of the actual harm or loss. Despite any other provision in this PPA, in no event will GPC’s liability to Seller for a termination payment under this PPA exceed an amount equal to the sum of any amount</w:t>
      </w:r>
      <w:r w:rsidRPr="00CD5AFA" w:rsidR="00005489">
        <w:rPr>
          <w:b/>
          <w:bCs/>
          <w:u w:val="single"/>
        </w:rPr>
        <w:t>s</w:t>
      </w:r>
      <w:r w:rsidRPr="00CD5AFA">
        <w:rPr>
          <w:b/>
          <w:bCs/>
          <w:u w:val="single"/>
        </w:rPr>
        <w:t xml:space="preserve"> then owed by GPC under this PPA plus the total of all remaining monthly capacity payments following termination that would have been payable to Seller under this PPA had the PPA remained in effect through the end of the Term. The limitations in Section 16.5 (</w:t>
      </w:r>
      <w:r w:rsidRPr="00CD5AFA">
        <w:rPr>
          <w:b/>
          <w:bCs/>
          <w:i/>
          <w:u w:val="single"/>
        </w:rPr>
        <w:t>Limitation of Remedies, Liability, and Damages</w:t>
      </w:r>
      <w:r w:rsidRPr="00CD5AFA">
        <w:rPr>
          <w:b/>
          <w:bCs/>
          <w:u w:val="single"/>
        </w:rPr>
        <w:t xml:space="preserve">) and </w:t>
      </w:r>
      <w:proofErr w:type="gramStart"/>
      <w:r w:rsidRPr="00CD5AFA">
        <w:rPr>
          <w:b/>
          <w:bCs/>
          <w:u w:val="single"/>
        </w:rPr>
        <w:t>this Section</w:t>
      </w:r>
      <w:proofErr w:type="gramEnd"/>
      <w:r w:rsidRPr="00CD5AFA">
        <w:rPr>
          <w:b/>
          <w:bCs/>
          <w:u w:val="single"/>
        </w:rPr>
        <w:t xml:space="preserve"> 16.6 (</w:t>
      </w:r>
      <w:r w:rsidRPr="00CD5AFA">
        <w:rPr>
          <w:b/>
          <w:bCs/>
          <w:i/>
          <w:u w:val="single"/>
        </w:rPr>
        <w:t>Waiver of Consequential Damages</w:t>
      </w:r>
      <w:r w:rsidRPr="00CD5AFA">
        <w:rPr>
          <w:b/>
          <w:bCs/>
          <w:u w:val="single"/>
        </w:rPr>
        <w:t>) apply regardless of fault and will survive PPA termination, cancellation, suspension, completion, or expiration.</w:t>
      </w:r>
    </w:p>
    <w:p w:rsidRPr="006E0A0D" w:rsidR="00D96326" w:rsidP="001B0F77" w:rsidRDefault="00D96326" w14:paraId="571353F9" w14:textId="77777777">
      <w:pPr>
        <w:pStyle w:val="zGTC02"/>
        <w:rPr>
          <w:rFonts w:eastAsia="PMingLiU"/>
          <w:vanish/>
          <w:specVanish/>
        </w:rPr>
      </w:pPr>
      <w:bookmarkStart w:name="_Toc212475724" w:id="244"/>
      <w:bookmarkStart w:name="_Toc227838422" w:id="245"/>
      <w:r>
        <w:t>Disclaimer of Warranties.</w:t>
      </w:r>
      <w:bookmarkEnd w:id="244"/>
      <w:bookmarkEnd w:id="245"/>
    </w:p>
    <w:p w:rsidRPr="006E0A0D" w:rsidR="00D96326" w:rsidRDefault="00D96326" w14:paraId="1B895E69" w14:textId="77777777">
      <w:pPr>
        <w:pStyle w:val="zGNormal"/>
        <w:rPr>
          <w:b/>
          <w:bCs/>
          <w:u w:val="single"/>
        </w:rPr>
      </w:pPr>
      <w:r>
        <w:t xml:space="preserve"> </w:t>
      </w:r>
      <w:r>
        <w:rPr>
          <w:b/>
          <w:bCs/>
          <w:u w:val="single"/>
        </w:rPr>
        <w:t xml:space="preserve">There are no warranties under this </w:t>
      </w:r>
      <w:r>
        <w:rPr>
          <w:b/>
          <w:u w:val="single"/>
        </w:rPr>
        <w:t xml:space="preserve">PPA </w:t>
      </w:r>
      <w:r>
        <w:rPr>
          <w:b/>
          <w:bCs/>
          <w:u w:val="single"/>
        </w:rPr>
        <w:t xml:space="preserve">except to the extent specifically set forth in </w:t>
      </w:r>
      <w:r>
        <w:rPr>
          <w:b/>
          <w:u w:val="single"/>
        </w:rPr>
        <w:t>this PPA.</w:t>
      </w:r>
      <w:r>
        <w:rPr>
          <w:b/>
          <w:bCs/>
          <w:u w:val="single"/>
        </w:rPr>
        <w:t xml:space="preserve"> The Parties specifically disclaim and exclude all implied warranties, including the implied warranties of merchantability and of fitness for a particular purpose.</w:t>
      </w:r>
    </w:p>
    <w:p w:rsidRPr="006E0A0D" w:rsidR="00D96326" w:rsidP="00D96326" w:rsidRDefault="00D96326" w14:paraId="7FF7ABA5" w14:textId="77777777">
      <w:pPr>
        <w:pStyle w:val="zGTC02"/>
        <w:rPr>
          <w:rFonts w:ascii="Arial" w:hAnsi="Arial" w:eastAsia="PMingLiU" w:cs="Arial"/>
          <w:vanish/>
          <w:szCs w:val="20"/>
          <w:specVanish/>
        </w:rPr>
      </w:pPr>
      <w:bookmarkStart w:name="_Toc212475725" w:id="246"/>
      <w:bookmarkStart w:name="_Toc227838423" w:id="247"/>
      <w:r>
        <w:rPr>
          <w:rFonts w:ascii="Arial" w:hAnsi="Arial" w:cs="Arial"/>
          <w:szCs w:val="20"/>
        </w:rPr>
        <w:t>No Interruption.</w:t>
      </w:r>
      <w:bookmarkEnd w:id="246"/>
      <w:bookmarkEnd w:id="247"/>
    </w:p>
    <w:p w:rsidRPr="006E0A0D" w:rsidR="00D96326" w:rsidRDefault="00D96326" w14:paraId="5B80E069" w14:textId="77777777">
      <w:pPr>
        <w:pStyle w:val="zGNormal"/>
      </w:pPr>
      <w:r>
        <w:t xml:space="preserve"> Except as otherwise provided in this PPA, unless this PPA has been terminated, neither Party will, because of any breach or alleged breach by the other Party: (</w:t>
      </w:r>
      <w:proofErr w:type="spellStart"/>
      <w:r>
        <w:t>i</w:t>
      </w:r>
      <w:proofErr w:type="spellEnd"/>
      <w:r>
        <w:t>) refuse to deliver, or suspend or delay any delivery of, capacity or associated energy to be provided under this PPA; (ii) refuse to take energy to the extent required under this PPA; or (iii) suspend, delay, or refuse to make any of the payments required under this PPA.</w:t>
      </w:r>
    </w:p>
    <w:p w:rsidRPr="006E0A0D" w:rsidR="00D96326" w:rsidP="00D96326" w:rsidRDefault="00D96326" w14:paraId="7A2E0591" w14:textId="77777777">
      <w:pPr>
        <w:pStyle w:val="zGTC02"/>
        <w:rPr>
          <w:rFonts w:ascii="Arial" w:hAnsi="Arial" w:eastAsia="PMingLiU" w:cs="Arial"/>
          <w:vanish/>
          <w:szCs w:val="20"/>
          <w:specVanish/>
        </w:rPr>
      </w:pPr>
      <w:bookmarkStart w:name="_Toc212475726" w:id="248"/>
      <w:bookmarkStart w:name="_Toc227838424" w:id="249"/>
      <w:r>
        <w:rPr>
          <w:rFonts w:ascii="Arial" w:hAnsi="Arial" w:cs="Arial"/>
          <w:szCs w:val="20"/>
        </w:rPr>
        <w:t>Duty to Mitigate.</w:t>
      </w:r>
      <w:bookmarkEnd w:id="248"/>
      <w:bookmarkEnd w:id="249"/>
    </w:p>
    <w:p w:rsidRPr="006E0A0D" w:rsidR="00D96326" w:rsidRDefault="00D96326" w14:paraId="52987B51" w14:textId="3E1F683C">
      <w:pPr>
        <w:pStyle w:val="zGNormal"/>
      </w:pPr>
      <w:r>
        <w:t xml:space="preserve"> Despite any other provision of this PPA, each Party must: (</w:t>
      </w:r>
      <w:proofErr w:type="spellStart"/>
      <w:r>
        <w:t>i</w:t>
      </w:r>
      <w:proofErr w:type="spellEnd"/>
      <w:r>
        <w:t>) mitigate damages; and (ii) use commercially reasonable efforts to minimize any damages it may incur because of the other Party’s performance or non-performance.</w:t>
      </w:r>
    </w:p>
    <w:p w:rsidRPr="006E0A0D" w:rsidR="00D96326" w:rsidP="00D96326" w:rsidRDefault="00D96326" w14:paraId="3EBFC524" w14:textId="12E7EDE4">
      <w:pPr>
        <w:pStyle w:val="zGTC01"/>
        <w:rPr>
          <w:rFonts w:ascii="Arial" w:hAnsi="Arial"/>
          <w:szCs w:val="20"/>
        </w:rPr>
      </w:pPr>
      <w:bookmarkStart w:name="_Toc212475727" w:id="250"/>
      <w:bookmarkStart w:name="_Toc227838425" w:id="251"/>
      <w:r>
        <w:rPr>
          <w:rFonts w:ascii="Arial" w:hAnsi="Arial"/>
          <w:szCs w:val="20"/>
        </w:rPr>
        <w:t>Compliance with Laws</w:t>
      </w:r>
      <w:bookmarkEnd w:id="250"/>
      <w:bookmarkEnd w:id="251"/>
    </w:p>
    <w:p w:rsidRPr="006E0A0D" w:rsidR="00D96326" w:rsidP="00D96326" w:rsidRDefault="00D96326" w14:paraId="5DFAD370" w14:textId="77777777">
      <w:pPr>
        <w:pStyle w:val="zGTC02"/>
        <w:rPr>
          <w:rFonts w:ascii="Arial" w:hAnsi="Arial" w:eastAsia="PMingLiU" w:cs="Arial"/>
          <w:vanish/>
          <w:szCs w:val="20"/>
          <w:specVanish/>
        </w:rPr>
      </w:pPr>
      <w:bookmarkStart w:name="_Toc212475728" w:id="252"/>
      <w:bookmarkStart w:name="_Toc227838426" w:id="253"/>
      <w:r>
        <w:rPr>
          <w:rFonts w:ascii="Arial" w:hAnsi="Arial" w:cs="Arial"/>
          <w:szCs w:val="20"/>
        </w:rPr>
        <w:t>New GHG Law.</w:t>
      </w:r>
      <w:bookmarkEnd w:id="252"/>
      <w:bookmarkEnd w:id="253"/>
    </w:p>
    <w:p w:rsidRPr="006E0A0D" w:rsidR="00D96326" w:rsidRDefault="00D96326" w14:paraId="7A8E55F6" w14:textId="77777777">
      <w:pPr>
        <w:pStyle w:val="zGTC02"/>
        <w:numPr>
          <w:ilvl w:val="0"/>
          <w:numId w:val="0"/>
        </w:numPr>
        <w:rPr>
          <w:rFonts w:ascii="Arial" w:hAnsi="Arial" w:cs="Arial"/>
          <w:szCs w:val="20"/>
        </w:rPr>
      </w:pPr>
    </w:p>
    <w:p w:rsidRPr="006E0A0D" w:rsidR="00D96326" w:rsidP="004930C7" w:rsidRDefault="00D96326" w14:paraId="4184BC3F" w14:textId="288D5247">
      <w:pPr>
        <w:pStyle w:val="zGTC03"/>
      </w:pPr>
      <w:r>
        <w:rPr>
          <w:b/>
          <w:bCs/>
        </w:rPr>
        <w:t xml:space="preserve">Reimbursement and Use of Credits. </w:t>
      </w:r>
      <w:r>
        <w:t xml:space="preserve">If a Governmental Authority enacts a New GHG Law, GPC will reimburse Seller for the required GHG Charges Seller paid under the New GHG Law for Greenhouse Gas emitted due to </w:t>
      </w:r>
      <w:r w:rsidR="00F52124">
        <w:t xml:space="preserve">each </w:t>
      </w:r>
      <w:r>
        <w:t>Unit producing and delivering energy in accordance with GPC Schedule</w:t>
      </w:r>
      <w:r w:rsidR="00870ED6">
        <w:t>s</w:t>
      </w:r>
      <w:r>
        <w:t>. Seller must use GHG Credits, if any, to avoid or mitigate the GHG Charges in accordance with Section 17.1.3 (</w:t>
      </w:r>
      <w:r>
        <w:rPr>
          <w:i/>
          <w:iCs/>
        </w:rPr>
        <w:t>Mitigation</w:t>
      </w:r>
      <w:r>
        <w:t>). Despite the preceding sentences, GPC will not be responsible for GHG Charges associated with: (</w:t>
      </w:r>
      <w:proofErr w:type="spellStart"/>
      <w:r>
        <w:t>i</w:t>
      </w:r>
      <w:proofErr w:type="spellEnd"/>
      <w:r>
        <w:t>) Greenhouse Gas emissions that exceed the GHG Cap</w:t>
      </w:r>
      <w:r w:rsidR="005A08E5">
        <w:t xml:space="preserve">, </w:t>
      </w:r>
      <w:r w:rsidRPr="00AD0C5B" w:rsidR="00AD0C5B">
        <w:t xml:space="preserve">unless the excess emissions are the result of operating </w:t>
      </w:r>
      <w:r w:rsidR="00F52124">
        <w:t>each</w:t>
      </w:r>
      <w:r w:rsidRPr="00AD0C5B" w:rsidR="00AD0C5B">
        <w:t xml:space="preserve"> Unit as required by order of a Governmental Authority exercising emergency authority, including an order under Section 202(c) of the Federal Power Act</w:t>
      </w:r>
      <w:r>
        <w:t xml:space="preserve">; or (ii) the operation of </w:t>
      </w:r>
      <w:r w:rsidR="00F52124">
        <w:t xml:space="preserve">each </w:t>
      </w:r>
      <w:r>
        <w:t>Unit other than in accordance with GPC-issued Schedule Instructions.</w:t>
      </w:r>
    </w:p>
    <w:p w:rsidRPr="006E0A0D" w:rsidR="00D96326" w:rsidP="004930C7" w:rsidRDefault="00D96326" w14:paraId="1C369CB9" w14:textId="509A2CA8">
      <w:pPr>
        <w:pStyle w:val="zGTC03"/>
      </w:pPr>
      <w:r>
        <w:rPr>
          <w:b/>
          <w:bCs/>
        </w:rPr>
        <w:t>Conditions for Reimbursement.</w:t>
      </w:r>
      <w:r>
        <w:t xml:space="preserve"> As a condition to GPC’s obligation to reimburse Seller for GHG Charges under Section 17.1.1 (</w:t>
      </w:r>
      <w:r>
        <w:rPr>
          <w:i/>
          <w:iCs/>
        </w:rPr>
        <w:t>Reimbursement and Use of Credits</w:t>
      </w:r>
      <w:r>
        <w:t>), Seller must submit to GPC documentation, to GPC’s reasonable satisfaction, of the GHG Charges that establishes: (</w:t>
      </w:r>
      <w:proofErr w:type="spellStart"/>
      <w:r>
        <w:t>i</w:t>
      </w:r>
      <w:proofErr w:type="spellEnd"/>
      <w:r>
        <w:t xml:space="preserve">) the GHG Charges; (ii) Seller is responsible for the payment of the GHG Charges to a Governmental Authority in whose jurisdiction the Facility is located or that otherwise has jurisdiction over Seller or the Facility, and Seller has paid the GHG Charges to the Governmental Authority; (iii) Seller incurred GHG Charges for Greenhouse Gas emitted due to </w:t>
      </w:r>
      <w:r w:rsidR="00F52124">
        <w:t xml:space="preserve">each </w:t>
      </w:r>
      <w:r>
        <w:t>Unit producing and delivering energy in accordance with GPC-issued Scheduling Instructions; and (iv) Seller took all reasonable steps to mitigate the cost or such GHG Charges, including utilizing GHG Credits in accordance with Section 17.1.3 (</w:t>
      </w:r>
      <w:r>
        <w:rPr>
          <w:i/>
          <w:iCs/>
        </w:rPr>
        <w:t>Mitigation</w:t>
      </w:r>
      <w:r>
        <w:t>), but expressly excluding any obligation for Seller to incur capital or operational costs to mitigate such costs or GHG Charges.</w:t>
      </w:r>
    </w:p>
    <w:p w:rsidRPr="006E0A0D" w:rsidR="00D96326" w:rsidP="004930C7" w:rsidRDefault="00D96326" w14:paraId="762724E5" w14:textId="0EB27C6F">
      <w:pPr>
        <w:pStyle w:val="zGTC03"/>
      </w:pPr>
      <w:r>
        <w:rPr>
          <w:b/>
          <w:bCs/>
        </w:rPr>
        <w:lastRenderedPageBreak/>
        <w:t>Mitigation.</w:t>
      </w:r>
      <w:r>
        <w:t xml:space="preserve"> Seller must use GHG Credits allocated to or for </w:t>
      </w:r>
      <w:r w:rsidR="00F52124">
        <w:t xml:space="preserve">each </w:t>
      </w:r>
      <w:proofErr w:type="gramStart"/>
      <w:r>
        <w:t>Unit, or</w:t>
      </w:r>
      <w:proofErr w:type="gramEnd"/>
      <w:r>
        <w:t xml:space="preserve"> otherwise granted to or received by Seller for </w:t>
      </w:r>
      <w:r w:rsidR="00F52124">
        <w:t xml:space="preserve">each </w:t>
      </w:r>
      <w:r>
        <w:t>Unit, to avoid or mitigate GHG Charges otherwise reimbursable by GPC under Section 17.1.</w:t>
      </w:r>
      <w:bookmarkStart w:name="_Hlk160015138" w:id="254"/>
      <w:r>
        <w:t>1 (</w:t>
      </w:r>
      <w:r>
        <w:rPr>
          <w:i/>
          <w:iCs/>
        </w:rPr>
        <w:t>Reimbursement and Use of Credits</w:t>
      </w:r>
      <w:r>
        <w:t>)</w:t>
      </w:r>
      <w:bookmarkEnd w:id="254"/>
      <w:r>
        <w:t>. If Seller is allocated, issued, or has the right to obtain GHG Credits, from the same Governmental Authority allocating, issuing, or providing the right to obtain for the Units, for a portion of, or its entire fleet of, generating units, Seller must, at no cost to GPC, utilize a proportion of the GHG Credits to mitigate the GHG Charges otherwise reimbursable by GPC under Section 17.1.1. For purposes of this Section 17.1.3 (</w:t>
      </w:r>
      <w:r>
        <w:rPr>
          <w:i/>
          <w:iCs/>
        </w:rPr>
        <w:t>Mitigation</w:t>
      </w:r>
      <w:r>
        <w:t>), all references to “Seller” will be deemed to include Seller’s Affiliates or other entity to which GHG Credits may be or have been allocated to or given rights to obtain for the Unit</w:t>
      </w:r>
      <w:r w:rsidR="00F52124">
        <w:t>s</w:t>
      </w:r>
      <w:r>
        <w:t>. The proportion of GHG Credits will be calculated based on the method, formula, or other similar calculation by which the Governmental Authority used to determine such GHG Credits attributable to each generating unit compared to the sum of all GHG Credits for all Seller’s generating units. As a condition to GPC’s obligation to reimburse Seller for GHG Charges under Section 17.1.1, Seller must provide GPC with all information reasonably requested by GPC to document GHG Credits and Seller’s compliance with this Section 17.1.3.</w:t>
      </w:r>
    </w:p>
    <w:p w:rsidRPr="006E0A0D" w:rsidR="00D96326" w:rsidP="004930C7" w:rsidRDefault="00D96326" w14:paraId="56BF4E2A" w14:textId="67BEF8E1">
      <w:pPr>
        <w:pStyle w:val="zGTC03"/>
      </w:pPr>
      <w:r>
        <w:rPr>
          <w:b/>
          <w:bCs/>
        </w:rPr>
        <w:t>Alternate Resource GHG Charges.</w:t>
      </w:r>
      <w:r>
        <w:t xml:space="preserve"> GPC will be required to reimburse Seller for GHG Charges associated with an Alternate Resource (including any energy produced by or fuel utilized by that Alternate Resource), but in no event will GPC be obligated to reimburse any amount in respect thereof in excess of the GHG Charges that would have been incurred had the </w:t>
      </w:r>
      <w:r w:rsidR="005D3E7C">
        <w:t xml:space="preserve">applicable </w:t>
      </w:r>
      <w:r>
        <w:t>Unit, rather than the Alternate Resource, been operating at the relevant time.</w:t>
      </w:r>
    </w:p>
    <w:p w:rsidRPr="006E0A0D" w:rsidR="00D96326" w:rsidP="004930C7" w:rsidRDefault="00D96326" w14:paraId="04268D88" w14:textId="2A7124CC">
      <w:pPr>
        <w:pStyle w:val="zGTC03"/>
      </w:pPr>
      <w:r>
        <w:rPr>
          <w:b/>
          <w:bCs/>
        </w:rPr>
        <w:t xml:space="preserve">Transfer of Rights. </w:t>
      </w:r>
      <w:r>
        <w:t>Seller must not transfer or provide any other Person rights regarding GHG Credits that Seller is required to use to mitigate GHG Charges under Section 17.1.3 (</w:t>
      </w:r>
      <w:r>
        <w:rPr>
          <w:i/>
          <w:iCs/>
        </w:rPr>
        <w:t>Mitigation</w:t>
      </w:r>
      <w:r>
        <w:t>). If and to the extent that any GHG Credits for a calendar year addressed by Section 17.1.3 exceed those required for the production of energy by the Unit</w:t>
      </w:r>
      <w:r w:rsidR="00143EBD">
        <w:t>(s)</w:t>
      </w:r>
      <w:r>
        <w:t xml:space="preserve"> to satisfy GPC’s Schedules for a calendar year, then, upon request by GPC and as permitted by applicable laws, Seller must transfer to GPC the GHG Credits at no additional cost to GPC.</w:t>
      </w:r>
    </w:p>
    <w:p w:rsidRPr="006E0A0D" w:rsidR="00D96326" w:rsidP="00D96326" w:rsidRDefault="00D96326" w14:paraId="56105FF0" w14:textId="2A1692D8">
      <w:pPr>
        <w:pStyle w:val="zGTC02"/>
        <w:rPr>
          <w:rFonts w:ascii="Arial" w:hAnsi="Arial" w:eastAsia="PMingLiU" w:cs="Arial"/>
          <w:vanish/>
          <w:szCs w:val="20"/>
          <w:specVanish/>
        </w:rPr>
      </w:pPr>
      <w:bookmarkStart w:name="_Toc212475729" w:id="255"/>
      <w:bookmarkStart w:name="_Toc227838427" w:id="256"/>
      <w:r>
        <w:rPr>
          <w:rFonts w:ascii="Arial" w:hAnsi="Arial" w:cs="Arial"/>
          <w:szCs w:val="20"/>
        </w:rPr>
        <w:t>Change of Law.</w:t>
      </w:r>
      <w:bookmarkEnd w:id="255"/>
      <w:bookmarkEnd w:id="256"/>
    </w:p>
    <w:p w:rsidRPr="006E0A0D" w:rsidR="00D96326" w:rsidP="004022A1" w:rsidRDefault="00F9044B" w14:paraId="7D8703AE" w14:textId="242C1B1F">
      <w:pPr>
        <w:pStyle w:val="zGTC03"/>
        <w:numPr>
          <w:ilvl w:val="0"/>
          <w:numId w:val="0"/>
        </w:numPr>
      </w:pPr>
      <w:r w:rsidRPr="00F9044B">
        <w:t>If a Change of Law occurs, Seller may request to recover Excess Expenditures as described in this Section 17.</w:t>
      </w:r>
      <w:r>
        <w:t>2</w:t>
      </w:r>
      <w:r w:rsidRPr="00F9044B">
        <w:t xml:space="preserve"> (</w:t>
      </w:r>
      <w:r w:rsidRPr="00F9044B">
        <w:rPr>
          <w:i/>
          <w:iCs/>
        </w:rPr>
        <w:t>Change of Law</w:t>
      </w:r>
      <w:r w:rsidRPr="00F9044B">
        <w:t>).</w:t>
      </w:r>
      <w:r w:rsidR="00FE1DB0">
        <w:t xml:space="preserve"> </w:t>
      </w:r>
      <w:r w:rsidRPr="00341121" w:rsidR="00BF1B6B">
        <w:rPr>
          <w:rFonts w:eastAsiaTheme="minorEastAsia"/>
        </w:rPr>
        <w:t xml:space="preserve">Except as described in this </w:t>
      </w:r>
      <w:r w:rsidRPr="008600AF" w:rsidR="00BF1B6B">
        <w:rPr>
          <w:rFonts w:eastAsiaTheme="minorEastAsia"/>
        </w:rPr>
        <w:t>Section 17.</w:t>
      </w:r>
      <w:r w:rsidRPr="008600AF" w:rsidR="00A16C12">
        <w:rPr>
          <w:rFonts w:eastAsiaTheme="minorEastAsia"/>
        </w:rPr>
        <w:t>2</w:t>
      </w:r>
      <w:r w:rsidRPr="008600AF" w:rsidR="00725CE0">
        <w:t xml:space="preserve"> (</w:t>
      </w:r>
      <w:r w:rsidRPr="008600AF" w:rsidR="00725CE0">
        <w:rPr>
          <w:i/>
          <w:iCs/>
        </w:rPr>
        <w:t>Change of Law</w:t>
      </w:r>
      <w:r w:rsidRPr="008600AF" w:rsidR="00725CE0">
        <w:t>)</w:t>
      </w:r>
      <w:r w:rsidRPr="008600AF" w:rsidR="00BF1B6B">
        <w:rPr>
          <w:rFonts w:eastAsiaTheme="minorEastAsia"/>
        </w:rPr>
        <w:t>,</w:t>
      </w:r>
      <w:r w:rsidRPr="00341121" w:rsidR="00BF1B6B">
        <w:rPr>
          <w:rFonts w:eastAsiaTheme="minorEastAsia"/>
        </w:rPr>
        <w:t xml:space="preserve"> Seller is not entitled to any PPA modification due to any Change of Law.</w:t>
      </w:r>
      <w:r w:rsidR="00C4273B">
        <w:rPr>
          <w:rFonts w:eastAsiaTheme="minorEastAsia"/>
        </w:rPr>
        <w:t xml:space="preserve"> </w:t>
      </w:r>
      <w:r w:rsidRPr="006253D4" w:rsidR="00C4273B">
        <w:rPr>
          <w:rFonts w:cs="Arial" w:eastAsiaTheme="minorEastAsia"/>
          <w:bCs/>
        </w:rPr>
        <w:t xml:space="preserve">For the avoidance of doubt, no Change of Law relieves Seller of its obligations to comply with this PPA and applicable law, and Seller’s sole relief, if any, is limited to the remedies expressly set forth in </w:t>
      </w:r>
      <w:r w:rsidR="00166488">
        <w:rPr>
          <w:rFonts w:cs="Arial" w:eastAsiaTheme="minorEastAsia"/>
          <w:bCs/>
        </w:rPr>
        <w:t>Section 17.1 (</w:t>
      </w:r>
      <w:r w:rsidRPr="00166488" w:rsidR="00166488">
        <w:rPr>
          <w:rFonts w:cs="Arial" w:eastAsiaTheme="minorEastAsia"/>
          <w:bCs/>
          <w:i/>
          <w:iCs/>
        </w:rPr>
        <w:t>New GHG Law</w:t>
      </w:r>
      <w:r w:rsidR="00166488">
        <w:rPr>
          <w:rFonts w:cs="Arial" w:eastAsiaTheme="minorEastAsia"/>
          <w:bCs/>
        </w:rPr>
        <w:t xml:space="preserve">) and </w:t>
      </w:r>
      <w:r w:rsidRPr="006253D4" w:rsidR="00C4273B">
        <w:rPr>
          <w:rFonts w:cs="Arial" w:eastAsiaTheme="minorEastAsia"/>
          <w:bCs/>
        </w:rPr>
        <w:t xml:space="preserve">this </w:t>
      </w:r>
      <w:r w:rsidRPr="000C2B29" w:rsidR="00C4273B">
        <w:rPr>
          <w:rFonts w:cs="Arial" w:eastAsiaTheme="minorEastAsia"/>
          <w:bCs/>
        </w:rPr>
        <w:t>Section 17.</w:t>
      </w:r>
      <w:r w:rsidRPr="000C2B29" w:rsidR="00425A24">
        <w:rPr>
          <w:rFonts w:cs="Arial" w:eastAsiaTheme="minorEastAsia"/>
          <w:bCs/>
        </w:rPr>
        <w:t>2</w:t>
      </w:r>
      <w:r w:rsidRPr="000C2B29" w:rsidR="00C4273B">
        <w:rPr>
          <w:rFonts w:cs="Arial" w:eastAsiaTheme="minorEastAsia"/>
          <w:bCs/>
        </w:rPr>
        <w:t>.</w:t>
      </w:r>
    </w:p>
    <w:p w:rsidRPr="006E0A0D" w:rsidR="00D96326" w:rsidP="006471AC" w:rsidRDefault="00D96326" w14:paraId="3FA5288A" w14:textId="1CFACB00">
      <w:pPr>
        <w:pStyle w:val="zGTC03"/>
      </w:pPr>
      <w:r>
        <w:rPr>
          <w:b/>
        </w:rPr>
        <w:t>Notice and Periodic Updates.</w:t>
      </w:r>
      <w:r>
        <w:t xml:space="preserve"> </w:t>
      </w:r>
      <w:r w:rsidRPr="002D1293" w:rsidR="002D1293">
        <w:rPr>
          <w:rFonts w:eastAsiaTheme="minorEastAsia"/>
        </w:rPr>
        <w:t xml:space="preserve"> </w:t>
      </w:r>
      <w:r w:rsidRPr="00341121" w:rsidR="002D1293">
        <w:rPr>
          <w:rFonts w:eastAsiaTheme="minorEastAsia"/>
        </w:rPr>
        <w:t>If Seller expects, or should reasonably expect, to incur any Change of Law Expenditures (including amounts less than the Threshold Amount), Seller must</w:t>
      </w:r>
      <w:r w:rsidRPr="00341121" w:rsidDel="00D74A7B" w:rsidR="002D1293">
        <w:rPr>
          <w:rFonts w:eastAsiaTheme="minorEastAsia"/>
        </w:rPr>
        <w:t xml:space="preserve"> </w:t>
      </w:r>
      <w:r w:rsidRPr="00341121" w:rsidR="002D1293">
        <w:rPr>
          <w:rFonts w:eastAsiaTheme="minorEastAsia"/>
        </w:rPr>
        <w:t xml:space="preserve">notify GPC through a Change of Law Notice by no later than </w:t>
      </w:r>
      <w:r w:rsidRPr="001A0A92" w:rsidR="002D1293">
        <w:rPr>
          <w:rFonts w:eastAsiaTheme="minorEastAsia"/>
        </w:rPr>
        <w:t>45</w:t>
      </w:r>
      <w:r w:rsidRPr="00341121" w:rsidR="002D1293">
        <w:rPr>
          <w:rFonts w:eastAsiaTheme="minorEastAsia"/>
        </w:rPr>
        <w:t xml:space="preserve"> Days after the enactment of the applicable Change of Law. The Change of Law Notice must include: (</w:t>
      </w:r>
      <w:proofErr w:type="spellStart"/>
      <w:r w:rsidRPr="00341121" w:rsidR="002D1293">
        <w:rPr>
          <w:rFonts w:eastAsiaTheme="minorEastAsia"/>
        </w:rPr>
        <w:t>i</w:t>
      </w:r>
      <w:proofErr w:type="spellEnd"/>
      <w:r w:rsidRPr="00341121" w:rsidR="002D1293">
        <w:rPr>
          <w:rFonts w:eastAsiaTheme="minorEastAsia"/>
        </w:rPr>
        <w:t xml:space="preserve">) a description of Change of Law; (ii) Seller’s preliminary plan to comply with the Change of Law (including any additional or different Facility equipment or other modification of the Facility required to comply with the Change of Law); (iii) identification of the categories of costs or losses Seller will incur because of the Change of Law; and (iv) a good faith preliminary estimate of Change </w:t>
      </w:r>
      <w:r w:rsidR="00671280">
        <w:rPr>
          <w:rFonts w:eastAsiaTheme="minorEastAsia"/>
        </w:rPr>
        <w:t>of</w:t>
      </w:r>
      <w:r w:rsidRPr="00341121" w:rsidR="002D1293">
        <w:rPr>
          <w:rFonts w:eastAsiaTheme="minorEastAsia"/>
        </w:rPr>
        <w:t xml:space="preserve"> Law Expenditures with supporting documentation.</w:t>
      </w:r>
      <w:r w:rsidRPr="00341121" w:rsidDel="00484EA7" w:rsidR="002D1293">
        <w:rPr>
          <w:rFonts w:eastAsiaTheme="minorEastAsia"/>
        </w:rPr>
        <w:t xml:space="preserve"> </w:t>
      </w:r>
      <w:r w:rsidRPr="00341121" w:rsidR="002D1293">
        <w:rPr>
          <w:rFonts w:eastAsiaTheme="minorEastAsia"/>
        </w:rPr>
        <w:t>Seller must provide GPC with periodic updates regarding Seller’s compliance plan and Change of Law Expenditures and any other information GPC reasonably requests</w:t>
      </w:r>
      <w:r>
        <w:t>.</w:t>
      </w:r>
    </w:p>
    <w:p w:rsidRPr="001659B2" w:rsidR="00D96326" w:rsidP="000A2525" w:rsidRDefault="004504FF" w14:paraId="3E111990" w14:textId="05187816">
      <w:pPr>
        <w:pStyle w:val="zGTC03"/>
        <w:spacing w:line="259" w:lineRule="auto"/>
      </w:pPr>
      <w:r>
        <w:rPr>
          <w:b/>
          <w:bCs/>
        </w:rPr>
        <w:t>Threshold Amount; Excess Expenditures Notice</w:t>
      </w:r>
      <w:r w:rsidR="00D96326">
        <w:rPr>
          <w:b/>
          <w:bCs/>
        </w:rPr>
        <w:t>.</w:t>
      </w:r>
      <w:r w:rsidDel="00314EA6" w:rsidR="00314EA6">
        <w:t xml:space="preserve"> </w:t>
      </w:r>
      <w:r w:rsidRPr="002F78AC" w:rsidR="002F78AC">
        <w:rPr>
          <w:rFonts w:eastAsiaTheme="minorEastAsia"/>
        </w:rPr>
        <w:t xml:space="preserve"> </w:t>
      </w:r>
      <w:r w:rsidRPr="00341121" w:rsidR="002F78AC">
        <w:rPr>
          <w:rFonts w:eastAsiaTheme="minorEastAsia"/>
        </w:rPr>
        <w:t xml:space="preserve">The Threshold Amount applies to each Change of Law and will not be aggregated if one of more Changes of Law occur during the Term. Seller is not entitled to any PPA modification unless Seller </w:t>
      </w:r>
      <w:proofErr w:type="gramStart"/>
      <w:r w:rsidRPr="00341121" w:rsidR="002F78AC">
        <w:rPr>
          <w:rFonts w:eastAsiaTheme="minorEastAsia"/>
        </w:rPr>
        <w:t>will incur</w:t>
      </w:r>
      <w:proofErr w:type="gramEnd"/>
      <w:r w:rsidRPr="00341121" w:rsidR="002F78AC">
        <w:rPr>
          <w:rFonts w:eastAsiaTheme="minorEastAsia"/>
        </w:rPr>
        <w:t xml:space="preserve"> Excess Expenditures for the applicable Change of Law, which must be substantiated in accordance with this </w:t>
      </w:r>
      <w:r w:rsidRPr="008600AF" w:rsidR="002F78AC">
        <w:rPr>
          <w:rFonts w:eastAsiaTheme="minorEastAsia"/>
        </w:rPr>
        <w:t>Section 17.</w:t>
      </w:r>
      <w:r w:rsidRPr="008600AF" w:rsidR="00BF6BF4">
        <w:rPr>
          <w:rFonts w:eastAsiaTheme="minorEastAsia"/>
        </w:rPr>
        <w:t>2</w:t>
      </w:r>
      <w:r w:rsidRPr="008600AF" w:rsidR="002F78AC">
        <w:rPr>
          <w:rFonts w:eastAsiaTheme="minorEastAsia"/>
        </w:rPr>
        <w:t xml:space="preserve"> (</w:t>
      </w:r>
      <w:r w:rsidRPr="008600AF" w:rsidR="002F78AC">
        <w:rPr>
          <w:rFonts w:eastAsiaTheme="minorEastAsia"/>
          <w:i/>
          <w:iCs/>
        </w:rPr>
        <w:t>Change of Law</w:t>
      </w:r>
      <w:r w:rsidRPr="008600AF" w:rsidR="002F78AC">
        <w:rPr>
          <w:rFonts w:eastAsiaTheme="minorEastAsia"/>
        </w:rPr>
        <w:t>).</w:t>
      </w:r>
      <w:r w:rsidRPr="00341121" w:rsidR="002F78AC">
        <w:rPr>
          <w:rFonts w:eastAsiaTheme="minorEastAsia"/>
        </w:rPr>
        <w:t xml:space="preserve"> If a Change </w:t>
      </w:r>
      <w:r w:rsidR="00671280">
        <w:rPr>
          <w:rFonts w:eastAsiaTheme="minorEastAsia"/>
        </w:rPr>
        <w:t>of</w:t>
      </w:r>
      <w:r w:rsidRPr="00341121" w:rsidR="002F78AC">
        <w:rPr>
          <w:rFonts w:eastAsiaTheme="minorEastAsia"/>
        </w:rPr>
        <w:t xml:space="preserve"> Law will cause Seller to incur Excess Expenditures, and Seller provided a Change of Law Notice in accordance with </w:t>
      </w:r>
      <w:r w:rsidRPr="00660B9A" w:rsidR="002F78AC">
        <w:rPr>
          <w:rFonts w:eastAsiaTheme="minorEastAsia"/>
        </w:rPr>
        <w:t>Section 17.</w:t>
      </w:r>
      <w:r w:rsidRPr="00660B9A" w:rsidR="00BF6BF4">
        <w:rPr>
          <w:rFonts w:eastAsiaTheme="minorEastAsia"/>
        </w:rPr>
        <w:t>2</w:t>
      </w:r>
      <w:r w:rsidRPr="00660B9A" w:rsidR="002F78AC">
        <w:rPr>
          <w:rFonts w:eastAsiaTheme="minorEastAsia"/>
        </w:rPr>
        <w:t>.1 (</w:t>
      </w:r>
      <w:r w:rsidRPr="00660B9A" w:rsidR="002F78AC">
        <w:rPr>
          <w:rFonts w:eastAsiaTheme="minorEastAsia"/>
          <w:i/>
          <w:iCs/>
        </w:rPr>
        <w:t>Notice and Periodic Updates</w:t>
      </w:r>
      <w:r w:rsidRPr="00660B9A" w:rsidR="002F78AC">
        <w:rPr>
          <w:rFonts w:eastAsiaTheme="minorEastAsia"/>
        </w:rPr>
        <w:t>),</w:t>
      </w:r>
      <w:r w:rsidRPr="00341121" w:rsidR="002F78AC">
        <w:rPr>
          <w:rFonts w:eastAsiaTheme="minorEastAsia"/>
        </w:rPr>
        <w:t xml:space="preserve"> Seller may request recovery of Excess Expenditures by delivering an Excess </w:t>
      </w:r>
      <w:proofErr w:type="gramStart"/>
      <w:r w:rsidRPr="00341121" w:rsidR="002F78AC">
        <w:rPr>
          <w:rFonts w:eastAsiaTheme="minorEastAsia"/>
        </w:rPr>
        <w:t>Expenditures Notice</w:t>
      </w:r>
      <w:proofErr w:type="gramEnd"/>
      <w:r w:rsidRPr="00341121" w:rsidR="002F78AC">
        <w:rPr>
          <w:rFonts w:eastAsiaTheme="minorEastAsia"/>
        </w:rPr>
        <w:t xml:space="preserve"> to GPC by no later than </w:t>
      </w:r>
      <w:r w:rsidRPr="00234E52" w:rsidR="002F78AC">
        <w:rPr>
          <w:rFonts w:eastAsiaTheme="minorEastAsia"/>
        </w:rPr>
        <w:t xml:space="preserve">90 </w:t>
      </w:r>
      <w:r w:rsidRPr="00341121" w:rsidR="002F78AC">
        <w:rPr>
          <w:rFonts w:eastAsiaTheme="minorEastAsia"/>
        </w:rPr>
        <w:t xml:space="preserve">Days after the enactment of the Change of Law. </w:t>
      </w:r>
      <w:r w:rsidRPr="00B50BA8" w:rsidR="0086241B">
        <w:rPr>
          <w:rFonts w:eastAsiaTheme="minorEastAsia"/>
        </w:rPr>
        <w:t xml:space="preserve">If Seller reasonably determines that additional time is required to prepare an Excess Expenditures Notice, Seller may request an extension by notice to </w:t>
      </w:r>
      <w:r w:rsidR="0086241B">
        <w:rPr>
          <w:rFonts w:eastAsiaTheme="minorEastAsia"/>
        </w:rPr>
        <w:t>GPC</w:t>
      </w:r>
      <w:r w:rsidRPr="00B50BA8" w:rsidR="0086241B">
        <w:rPr>
          <w:rFonts w:eastAsiaTheme="minorEastAsia"/>
        </w:rPr>
        <w:t xml:space="preserve"> delivered before expiration of </w:t>
      </w:r>
      <w:r w:rsidR="0086241B">
        <w:rPr>
          <w:rFonts w:eastAsiaTheme="minorEastAsia"/>
        </w:rPr>
        <w:t>the</w:t>
      </w:r>
      <w:r w:rsidRPr="00B50BA8" w:rsidR="0086241B">
        <w:rPr>
          <w:rFonts w:eastAsiaTheme="minorEastAsia"/>
        </w:rPr>
        <w:t xml:space="preserve"> deadline. The </w:t>
      </w:r>
      <w:r w:rsidR="0086241B">
        <w:rPr>
          <w:rFonts w:eastAsiaTheme="minorEastAsia"/>
        </w:rPr>
        <w:t xml:space="preserve">extension </w:t>
      </w:r>
      <w:r w:rsidRPr="00B50BA8" w:rsidR="0086241B">
        <w:rPr>
          <w:rFonts w:eastAsiaTheme="minorEastAsia"/>
        </w:rPr>
        <w:t xml:space="preserve">request must describe in reasonable detail the basis for the request and the additional time reasonably needed. If </w:t>
      </w:r>
      <w:r w:rsidR="0086241B">
        <w:rPr>
          <w:rFonts w:eastAsiaTheme="minorEastAsia"/>
        </w:rPr>
        <w:t>GPC</w:t>
      </w:r>
      <w:r w:rsidRPr="00B50BA8" w:rsidR="0086241B">
        <w:rPr>
          <w:rFonts w:eastAsiaTheme="minorEastAsia"/>
        </w:rPr>
        <w:t xml:space="preserve"> approves the request, the deadline will be extended for the period approved by </w:t>
      </w:r>
      <w:r w:rsidR="0086241B">
        <w:rPr>
          <w:rFonts w:eastAsiaTheme="minorEastAsia"/>
        </w:rPr>
        <w:t>GPC</w:t>
      </w:r>
      <w:r w:rsidRPr="00B50BA8" w:rsidR="0086241B">
        <w:rPr>
          <w:rFonts w:eastAsiaTheme="minorEastAsia"/>
        </w:rPr>
        <w:t>.</w:t>
      </w:r>
      <w:r w:rsidR="0086241B">
        <w:rPr>
          <w:rFonts w:eastAsiaTheme="minorEastAsia"/>
        </w:rPr>
        <w:t xml:space="preserve"> </w:t>
      </w:r>
      <w:r w:rsidRPr="00341121" w:rsidR="002F78AC">
        <w:rPr>
          <w:rFonts w:eastAsiaTheme="minorEastAsia"/>
        </w:rPr>
        <w:t>Seller may also propose Operational Alternatives</w:t>
      </w:r>
      <w:r w:rsidR="00EE7AFA">
        <w:rPr>
          <w:rFonts w:eastAsiaTheme="minorEastAsia"/>
        </w:rPr>
        <w:t xml:space="preserve"> in its Excess Expenditures Notice</w:t>
      </w:r>
      <w:r w:rsidRPr="00341121" w:rsidR="002F78AC">
        <w:rPr>
          <w:rFonts w:eastAsiaTheme="minorEastAsia"/>
        </w:rPr>
        <w:t>. The Excess Expenditures Notice must include all information and documentation necessary for GPC to validate Change of Law Expenditures or Operational Alternatives, including: (</w:t>
      </w:r>
      <w:proofErr w:type="spellStart"/>
      <w:r w:rsidRPr="00341121" w:rsidR="002F78AC">
        <w:rPr>
          <w:rFonts w:eastAsiaTheme="minorEastAsia"/>
        </w:rPr>
        <w:t>i</w:t>
      </w:r>
      <w:proofErr w:type="spellEnd"/>
      <w:r w:rsidRPr="00341121" w:rsidR="002F78AC">
        <w:rPr>
          <w:rFonts w:eastAsiaTheme="minorEastAsia"/>
        </w:rPr>
        <w:t xml:space="preserve">) evidence that the Change of Law applies to the Facility and will cause Seller to incur Change of Law </w:t>
      </w:r>
      <w:r w:rsidRPr="00341121" w:rsidR="002F78AC">
        <w:rPr>
          <w:rFonts w:eastAsiaTheme="minorEastAsia"/>
        </w:rPr>
        <w:lastRenderedPageBreak/>
        <w:t xml:space="preserve">Expenditures that Seller would not have incurred but for the Change of Law; (ii) Seller’s final plan to comply with the Change of Law (including any additional or different Facility equipment or other modification of the Facility required to comply with the Change of Law); (ii) identification of the categories of costs or losses Seller will incur because of the Change of Law; (iv) a reasonable and good faith estimate of Change </w:t>
      </w:r>
      <w:r w:rsidR="00671280">
        <w:rPr>
          <w:rFonts w:eastAsiaTheme="minorEastAsia"/>
        </w:rPr>
        <w:t>of</w:t>
      </w:r>
      <w:r w:rsidRPr="00341121" w:rsidR="002F78AC">
        <w:rPr>
          <w:rFonts w:eastAsiaTheme="minorEastAsia"/>
        </w:rPr>
        <w:t xml:space="preserve"> Law Expenditures with detail and supporting documentation; and (v) Seller’s proposed adjustment to the Annual Capacity Price, with supporting calculations. Seller’s Excess Expenditures Notice must also include the following information, as applicable:</w:t>
      </w:r>
    </w:p>
    <w:p w:rsidR="00366DAB" w:rsidP="00366DAB" w:rsidRDefault="001659B2" w14:paraId="544DC820" w14:textId="77777777">
      <w:pPr>
        <w:pStyle w:val="zGTC04"/>
        <w:spacing w:after="0"/>
      </w:pPr>
      <w:r>
        <w:t xml:space="preserve"> </w:t>
      </w:r>
      <w:r w:rsidRPr="00341121" w:rsidR="00366DAB">
        <w:t>Any Initial Capital Expenditures Notice must include: (A) a detailed description of the addition, modification, or other capital work required to comply with the Change of Law, including the scope of work and the key technical and operational assumptions; (B) an itemized list of the capital expenditures and the expected in-service date(s), including supporting documentation (e.g., vendor quotes, invoices, purchase orders, construction contracts, and change orders); (C) identification and substantiation of Seller’s baseline assumptions and costs before the Change of Law and a calculation of the incremental capital expenditures attributable to the Change of Law; and (D) a schedule for engineering, procurement, and construction (including any material milestones) and identification of any material project risks that could affect cost or timing.</w:t>
      </w:r>
      <w:r w:rsidR="00366DAB">
        <w:t xml:space="preserve"> </w:t>
      </w:r>
    </w:p>
    <w:p w:rsidR="00366DAB" w:rsidP="00366DAB" w:rsidRDefault="00366DAB" w14:paraId="47035B7A" w14:textId="4D871CB4">
      <w:pPr>
        <w:pStyle w:val="zGTC04"/>
        <w:spacing w:after="0"/>
      </w:pPr>
      <w:r w:rsidRPr="00341121">
        <w:t xml:space="preserve">Any Initial Tariff Notice must: (A) identify the applicable </w:t>
      </w:r>
      <w:r w:rsidR="00B178AF">
        <w:t>Tariff</w:t>
      </w:r>
      <w:r w:rsidRPr="00341121">
        <w:t xml:space="preserve">; (B) provide evidence that the </w:t>
      </w:r>
      <w:r w:rsidR="00B178AF">
        <w:t>Tariff</w:t>
      </w:r>
      <w:r w:rsidRPr="00341121">
        <w:t xml:space="preserve"> applies to the Facility; (C) identify the incremental cost to Seller, including identification and substantiation of Seller’s baseline cost before the Change of Law; and (D) include applicable vendor and </w:t>
      </w:r>
      <w:proofErr w:type="gramStart"/>
      <w:r w:rsidRPr="00341121">
        <w:t>governmental</w:t>
      </w:r>
      <w:proofErr w:type="gramEnd"/>
      <w:r w:rsidRPr="00341121">
        <w:t xml:space="preserve"> authority documentation.</w:t>
      </w:r>
      <w:r>
        <w:t xml:space="preserve"> </w:t>
      </w:r>
    </w:p>
    <w:p w:rsidR="00366DAB" w:rsidP="00366DAB" w:rsidRDefault="00366DAB" w14:paraId="66D927B7" w14:textId="53650B38">
      <w:pPr>
        <w:pStyle w:val="zGTC04"/>
        <w:spacing w:after="0"/>
      </w:pPr>
      <w:r w:rsidRPr="00341121">
        <w:t>For any Excess Expenditures resulting from changes in applicable Taxes, the Excess Expenditures Notice must: (A) identify the applicable Tax; (B) evidence that the change in Taxes apply directly to the Facility; (C) identify the incremental increase in Taxes, including identification and substantiation of Seller’s baseline Taxes assumptions before the Change of Law; and (D) include a written certification from an independent accounting firm certifying that the claimed loss is accurate.</w:t>
      </w:r>
      <w:r>
        <w:t xml:space="preserve"> </w:t>
      </w:r>
    </w:p>
    <w:p w:rsidRPr="006B2D70" w:rsidR="00366DAB" w:rsidP="00366DAB" w:rsidRDefault="00366DAB" w14:paraId="33D593DD" w14:textId="666C3769">
      <w:pPr>
        <w:pStyle w:val="zGTC04"/>
        <w:spacing w:after="0"/>
      </w:pPr>
      <w:r w:rsidRPr="006B2D70">
        <w:rPr>
          <w:bCs/>
        </w:rPr>
        <w:t xml:space="preserve">For any Excess Expenditures comprised of additional Facility operating costs, the Excess Expenditures Notice must: (A) include a detailed explanation of the Change of Law’s impact on Facility operations and operating assumptions; (B) identify the incremental operating costs Seller will incur; (D) include any applicable contracts, invoices, and other documentation; and (E) include supporting calculations. </w:t>
      </w:r>
    </w:p>
    <w:p w:rsidR="0052787C" w:rsidP="00686A35" w:rsidRDefault="00366DAB" w14:paraId="2C3A82FD" w14:textId="0FDF7033">
      <w:pPr>
        <w:pStyle w:val="zGNormal"/>
        <w:ind w:left="720"/>
      </w:pPr>
      <w:r w:rsidRPr="00155A55">
        <w:t xml:space="preserve">The Excess Expenditures Notice must demonstrate that: (a) Seller’s proposed plan for complying with the Change of Law is reasonable and conforms with Prudent Industry Practices; and (b) all Excess Expenditures are reasonable, consistent with Prudent Industry Practices, required for compliance with the Change of Law, and otherwise comply with this </w:t>
      </w:r>
      <w:r w:rsidRPr="00234E52">
        <w:t>Section 17.</w:t>
      </w:r>
      <w:r w:rsidRPr="00234E52" w:rsidR="00F63181">
        <w:t>2</w:t>
      </w:r>
      <w:r w:rsidRPr="00234E52">
        <w:t xml:space="preserve"> (</w:t>
      </w:r>
      <w:r w:rsidRPr="00234E52">
        <w:rPr>
          <w:i/>
          <w:iCs/>
        </w:rPr>
        <w:t>Change of Law</w:t>
      </w:r>
      <w:r w:rsidRPr="00234E52">
        <w:t>).</w:t>
      </w:r>
      <w:r w:rsidRPr="00155A55">
        <w:t xml:space="preserve"> In response to any Excess Expenditures Notice, GPC may request, and Seller must provide, any additional information or documentation reasonably necessary for GPC to evaluate and validate Excess Expenditures. If Seller fails to timely deliver any required notice, supporting information, certification, or other substantiation required under this </w:t>
      </w:r>
      <w:r w:rsidRPr="00234E52">
        <w:t>Section 17.</w:t>
      </w:r>
      <w:r w:rsidRPr="00234E52" w:rsidR="00F63181">
        <w:t>2</w:t>
      </w:r>
      <w:r w:rsidRPr="00234E52">
        <w:t>,</w:t>
      </w:r>
      <w:r w:rsidRPr="00155A55">
        <w:t xml:space="preserve"> Seller will be deemed to have waived and released any claim to recover the applicable Excess Expenditures and any related right or entitlement arising from the applicable Change </w:t>
      </w:r>
      <w:r w:rsidR="00671280">
        <w:t>of</w:t>
      </w:r>
      <w:r w:rsidRPr="00155A55">
        <w:t xml:space="preserve"> Law. GPC will have no obligation to consider, approve, or pay any untimely or unsupported claim.</w:t>
      </w:r>
    </w:p>
    <w:p w:rsidR="00CA1E14" w:rsidP="00C73656" w:rsidRDefault="00FD7FA3" w14:paraId="23A0A231" w14:textId="327E900E">
      <w:pPr>
        <w:pStyle w:val="zGTC03"/>
      </w:pPr>
      <w:r w:rsidRPr="00341121">
        <w:rPr>
          <w:b/>
          <w:bCs/>
        </w:rPr>
        <w:t>GPC Review; ACP Adjustment</w:t>
      </w:r>
      <w:r w:rsidRPr="00341121">
        <w:t xml:space="preserve">. </w:t>
      </w:r>
      <w:r w:rsidRPr="00FD7FA3">
        <w:t>After receiving a timely and fully substantiated Excess Expenditures Notice, GPC will review the notice and evaluate Seller’s proposed ACP Adjustment. If Seller is entitled to recover Excess Expenditures, the Annual Capacity Price will be increased by a fixed amount ($/kW-year) to recover the approved Excess Expenditures (“</w:t>
      </w:r>
      <w:r w:rsidRPr="00973BC0">
        <w:rPr>
          <w:b/>
          <w:bCs/>
        </w:rPr>
        <w:t>ACP Adjustment</w:t>
      </w:r>
      <w:r w:rsidRPr="00FD7FA3">
        <w:t xml:space="preserve">”). The ACP Adjustment will begin in the Annual Period in which Seller first incurs Excess Expenditures and will be prorated for the remainder of the Term, subject to any applicable not-to-exceed amount and reconciliation. If the Parties are unable to agree on the ACP Adjustment (including the methodology or inputs) by a date that allows GPC to timely deliver the Election Notice in accordance with </w:t>
      </w:r>
      <w:r w:rsidRPr="00234E52">
        <w:t>Section 17.</w:t>
      </w:r>
      <w:r w:rsidRPr="00234E52" w:rsidR="00BC5193">
        <w:t>2</w:t>
      </w:r>
      <w:r w:rsidRPr="00234E52">
        <w:t>.5 (</w:t>
      </w:r>
      <w:r w:rsidRPr="00234E52">
        <w:rPr>
          <w:i/>
          <w:iCs/>
        </w:rPr>
        <w:t>GPC Election; Objection Period</w:t>
      </w:r>
      <w:r w:rsidRPr="00234E52">
        <w:t>),</w:t>
      </w:r>
      <w:r w:rsidRPr="00FD7FA3">
        <w:t xml:space="preserve"> then GPC may, for purposes of meeting the GPC Election Deadline, deliver an Election Notice that (a) accepts Seller’s request subject to the Parties’ subsequent agreement on the ACP Adjustment, or (b) rejects Seller’s request, in each case without waiver of either Party’s rights under this </w:t>
      </w:r>
      <w:r w:rsidRPr="00234E52">
        <w:t>Part 17</w:t>
      </w:r>
      <w:r w:rsidRPr="00234E52" w:rsidR="00BA429D">
        <w:t xml:space="preserve"> (</w:t>
      </w:r>
      <w:r w:rsidRPr="00234E52" w:rsidR="00BA429D">
        <w:rPr>
          <w:i/>
          <w:iCs/>
        </w:rPr>
        <w:t>Compliance with Laws</w:t>
      </w:r>
      <w:r w:rsidRPr="00234E52" w:rsidR="00BA429D">
        <w:t>)</w:t>
      </w:r>
      <w:r w:rsidRPr="00234E52">
        <w:t>.</w:t>
      </w:r>
      <w:r w:rsidRPr="00FD7FA3">
        <w:t xml:space="preserve"> Subject to </w:t>
      </w:r>
      <w:r w:rsidRPr="00234E52">
        <w:t>Section 17.</w:t>
      </w:r>
      <w:r w:rsidRPr="00234E52" w:rsidR="00BC5193">
        <w:t>2</w:t>
      </w:r>
      <w:r w:rsidRPr="00234E52">
        <w:t>.5,</w:t>
      </w:r>
      <w:r w:rsidRPr="00FD7FA3">
        <w:t xml:space="preserve"> the ACP Adjustment will be calculated as follows:</w:t>
      </w:r>
      <w:r w:rsidR="00C73656">
        <w:t xml:space="preserve">  </w:t>
      </w:r>
    </w:p>
    <w:p w:rsidR="00C73656" w:rsidP="00C73656" w:rsidRDefault="00021852" w14:paraId="2770FE9E" w14:textId="3046C59F">
      <w:pPr>
        <w:pStyle w:val="zGTC04"/>
      </w:pPr>
      <w:r w:rsidRPr="00341121">
        <w:lastRenderedPageBreak/>
        <w:t xml:space="preserve">For Excess Expenditures comprised of capital expenditures, the ACP Adjustment will be based on substantiated capital expenditures required to comply with the Change of Law. Substantiated Excess Expenditures will be converted into a per-kW amount by dividing the amount by the Contracted Capacity (kW) and then annualized over the remaining Term using a fixed charge rate consistent with generally accepted project finance methodologies and otherwise reasonably acceptable to GPC. GPC will include in its Election Notice a fixed not-to-exceed ACP Adjustment, which will be final and may not be rescinded except to the extent (a) Seller fails to fully substantiate its Initial Capital Expenditures Notice as described in </w:t>
      </w:r>
      <w:r w:rsidRPr="009F42E6">
        <w:t>Section 17.</w:t>
      </w:r>
      <w:r w:rsidRPr="009F42E6" w:rsidR="0096231D">
        <w:t>2</w:t>
      </w:r>
      <w:r w:rsidRPr="009F42E6">
        <w:t>.3(iii) (</w:t>
      </w:r>
      <w:r w:rsidRPr="009F42E6">
        <w:rPr>
          <w:i/>
          <w:iCs/>
        </w:rPr>
        <w:t>GPC Review; ACP Adjustment</w:t>
      </w:r>
      <w:r w:rsidRPr="009F42E6">
        <w:t>);</w:t>
      </w:r>
      <w:r w:rsidRPr="00341121">
        <w:t xml:space="preserve"> or (b) Commission approval is withheld or denied, if required by </w:t>
      </w:r>
      <w:r w:rsidRPr="009F42E6">
        <w:t>Section 17.</w:t>
      </w:r>
      <w:r w:rsidRPr="009F42E6" w:rsidR="00100EB0">
        <w:t>2</w:t>
      </w:r>
      <w:r w:rsidRPr="009F42E6">
        <w:t>.7 (</w:t>
      </w:r>
      <w:r w:rsidRPr="009F42E6">
        <w:rPr>
          <w:i/>
          <w:iCs/>
        </w:rPr>
        <w:t>Exclusive Relief; Commission Approval</w:t>
      </w:r>
      <w:r w:rsidRPr="009F42E6">
        <w:t>).</w:t>
      </w:r>
      <w:r w:rsidRPr="00341121">
        <w:t xml:space="preserve"> The not-to-exceed ACP Adjustment will represent the maximum and exclusive amount recoverable by Seller with respect to the Change of Law described in Seller’s Initial Capital Expenditures Notice, and Seller will not be entitled to recover any additional amount regardless of Seller’s actual incurred costs. By no later than 30 Days after the capital project described in the Initial Capital Expenditures Notice is complete, Seller must deliver to GPC a Final Capital Expenditures Notice substantiating the actual Excess Expenditures incurred by Seller. By no later than 60 Days after receipt of the Final Capital Expenditures Notice, GPC will deliver a final notice to Seller either: (a) confirming the not-to-exceed ACP Adjustment; or (b) proposing a reduced ACP Adjustment if GPC reasonably determines, based on its review of Seller’s Final Capital Expenditures Notice, that a lower adjustment is appropriate. If GPC provides notice that a reduced adjustment is appropriate, GPC and Seller will confer in good faith to mutually agree to an ACP Adjustment that is less than the not-to-exceed ACP Adjustment</w:t>
      </w:r>
      <w:r w:rsidRPr="00341121" w:rsidR="00C93DD3">
        <w:t>.</w:t>
      </w:r>
      <w:r w:rsidR="00C73656">
        <w:t xml:space="preserve"> </w:t>
      </w:r>
    </w:p>
    <w:p w:rsidR="00C73656" w:rsidP="00C73656" w:rsidRDefault="00440906" w14:paraId="6A756A05" w14:textId="05EE37B2">
      <w:pPr>
        <w:pStyle w:val="zGTC04"/>
      </w:pPr>
      <w:r w:rsidRPr="00341121">
        <w:t xml:space="preserve">For Excess Expenditures comprised of </w:t>
      </w:r>
      <w:r w:rsidR="00824219">
        <w:t>Tariffs</w:t>
      </w:r>
      <w:r w:rsidRPr="00341121">
        <w:t xml:space="preserve">, the ACP Adjustment will be based on substantiated incremental </w:t>
      </w:r>
      <w:r w:rsidR="00824219">
        <w:t>Tariff</w:t>
      </w:r>
      <w:r w:rsidRPr="00341121" w:rsidR="00824219">
        <w:t xml:space="preserve"> </w:t>
      </w:r>
      <w:r w:rsidRPr="00341121">
        <w:t xml:space="preserve">costs caused by the Change </w:t>
      </w:r>
      <w:r w:rsidR="00671280">
        <w:t>of</w:t>
      </w:r>
      <w:r w:rsidRPr="00341121">
        <w:t xml:space="preserve"> Law. Substantiated Excess Expenditures will be converted into a per-kW amount by dividing the amount by the Contracted Capacity (kW) and then prorating it over the remaining Term. GPC will include in its Election Notice a fixed not-to-exceed ACP Adjustment, which will be final and may not be rescinded except to the extent (a) Seller fails to fully substantiate its Initial Tariff Notice as described in </w:t>
      </w:r>
      <w:r w:rsidRPr="007E5556">
        <w:t>Section 17.</w:t>
      </w:r>
      <w:r w:rsidRPr="007E5556" w:rsidR="00F04104">
        <w:t>2</w:t>
      </w:r>
      <w:r w:rsidRPr="007E5556">
        <w:t>.3(iii) (</w:t>
      </w:r>
      <w:r w:rsidRPr="007E5556">
        <w:rPr>
          <w:i/>
          <w:iCs/>
        </w:rPr>
        <w:t>GPC Review; ACP Adjustment</w:t>
      </w:r>
      <w:r w:rsidRPr="007E5556">
        <w:t>);</w:t>
      </w:r>
      <w:r w:rsidRPr="00341121">
        <w:t xml:space="preserve"> or (b) Commission approval is withheld or denied, if required by </w:t>
      </w:r>
      <w:r w:rsidRPr="007E5556">
        <w:t>Section 17.</w:t>
      </w:r>
      <w:r w:rsidRPr="007E5556" w:rsidR="00CC7097">
        <w:t>2</w:t>
      </w:r>
      <w:r w:rsidRPr="007E5556">
        <w:t>.7 (</w:t>
      </w:r>
      <w:r w:rsidRPr="007E5556">
        <w:rPr>
          <w:i/>
          <w:iCs/>
        </w:rPr>
        <w:t>Exclusive Relief; Commission Approval</w:t>
      </w:r>
      <w:r w:rsidRPr="007E5556">
        <w:t>).</w:t>
      </w:r>
      <w:r w:rsidRPr="00341121">
        <w:t xml:space="preserve"> The not-to-exceed ACP Adjustment will represent the maximum and exclusive amount recoverable by Seller with respect to the Change of Law described in Seller’s Initial Tariff Notice, and Seller will not be entitled to recover any additional amount regardless of Seller’s actual incurred costs. </w:t>
      </w:r>
      <w:proofErr w:type="gramStart"/>
      <w:r w:rsidRPr="00341121">
        <w:t>By no</w:t>
      </w:r>
      <w:proofErr w:type="gramEnd"/>
      <w:r w:rsidRPr="00341121">
        <w:t xml:space="preserve"> later than 30 Days after delivery at the Site of all equipment or other goods described in the Initial Tariff Notice, Seller must deliver to GPC a Final Tariff Notice substantiating the actual Excess Expenditures incurred by Seller. By no later than 60 Days after receipt of the Final Tariff Notice, GPC will deliver a final notice to Seller either: (a) confirming the not-to-exceed ACP Adjustment; or (b) proposing a reduced ACP Adjustment if GPC reasonably determines, based on its review of Seller’s Final Tariff Notice, that a lower adjustment is appropriate. If GPC provides notice that a reduced ACP Adjustment is appropriate, GPC and Seller will confer in good faith to mutually agree to an ACP Adjustment that is less than the not-to-exceed ACP Adjustment</w:t>
      </w:r>
      <w:r w:rsidRPr="00341121" w:rsidR="00964939">
        <w:t>.</w:t>
      </w:r>
      <w:r w:rsidR="00C73656">
        <w:t xml:space="preserve"> </w:t>
      </w:r>
    </w:p>
    <w:p w:rsidR="00C73656" w:rsidP="00C73656" w:rsidRDefault="008A38C2" w14:paraId="267546C6" w14:textId="47B00C09">
      <w:pPr>
        <w:pStyle w:val="zGTC04"/>
      </w:pPr>
      <w:r w:rsidRPr="00341121">
        <w:t xml:space="preserve">For Excess Expenditures comprised of Taxes arising from any loss, reduction, or elimination of tax credits, incentives, or other governmental benefits, the ACP Adjustment will be based on the actual loss, reduction, or elimination caused by the Change </w:t>
      </w:r>
      <w:r w:rsidR="00671280">
        <w:t>of</w:t>
      </w:r>
      <w:r w:rsidRPr="00341121">
        <w:t xml:space="preserve"> Law. The amount will be determined by comparing the tax credits, incentives, or benefits that would have been available to and claimed by Seller in the absence of the Change </w:t>
      </w:r>
      <w:r w:rsidR="00671280">
        <w:t>of</w:t>
      </w:r>
      <w:r w:rsidRPr="00341121">
        <w:t xml:space="preserve"> Law to those available to Seller after the Change </w:t>
      </w:r>
      <w:r w:rsidR="00671280">
        <w:t>of</w:t>
      </w:r>
      <w:r w:rsidRPr="00341121">
        <w:t xml:space="preserve"> Law. The value of </w:t>
      </w:r>
      <w:proofErr w:type="gramStart"/>
      <w:r w:rsidRPr="00341121">
        <w:t>the loss</w:t>
      </w:r>
      <w:proofErr w:type="gramEnd"/>
      <w:r w:rsidRPr="00341121">
        <w:t>, reduction, or elimination must be reasonably supported by the substantiation provided in the Excess Expenditures Notice and must be certified by an independent accounting professional as accurately reflecting the value of the loss, reduction, or elimination incurred by Seller. The resulting amount will be converted into an ACP Adjustment without markup or return</w:t>
      </w:r>
      <w:r w:rsidRPr="00341121" w:rsidR="007C6005">
        <w:t>.</w:t>
      </w:r>
      <w:r w:rsidR="00C73656">
        <w:t xml:space="preserve"> </w:t>
      </w:r>
    </w:p>
    <w:p w:rsidR="00C73656" w:rsidP="00C73656" w:rsidRDefault="00C37DEE" w14:paraId="0D296F2F" w14:textId="528B528C">
      <w:pPr>
        <w:pStyle w:val="zGTC04"/>
      </w:pPr>
      <w:r w:rsidRPr="00341121">
        <w:t xml:space="preserve">For Excess Expenditure comprised of operating costs, the ACP Adjustment will be based on the additional operating costs substantiated by the Excess Expenditures Notice and using assumptions consistent with Prudent Industry Practice and reasonably acceptable to GPC. Substantiated Excess Expenditures will be converted into an ACP Adjustment without markup or </w:t>
      </w:r>
      <w:proofErr w:type="gramStart"/>
      <w:r w:rsidRPr="00341121">
        <w:t>return.</w:t>
      </w:r>
      <w:r w:rsidRPr="006B2D70" w:rsidR="00980206">
        <w:rPr>
          <w:bCs/>
        </w:rPr>
        <w:t>.</w:t>
      </w:r>
      <w:proofErr w:type="gramEnd"/>
    </w:p>
    <w:p w:rsidR="00C73656" w:rsidP="00C73656" w:rsidRDefault="00C73656" w14:paraId="284FDFC0" w14:textId="58A81E74">
      <w:pPr>
        <w:pStyle w:val="zGTC03"/>
      </w:pPr>
      <w:r>
        <w:lastRenderedPageBreak/>
        <w:t xml:space="preserve"> </w:t>
      </w:r>
      <w:r w:rsidRPr="00131903" w:rsidR="00131903">
        <w:rPr>
          <w:b/>
          <w:bCs/>
        </w:rPr>
        <w:t xml:space="preserve">Mitigation; </w:t>
      </w:r>
      <w:r w:rsidRPr="00DB5825" w:rsidR="00F70B93">
        <w:rPr>
          <w:b/>
          <w:bCs/>
        </w:rPr>
        <w:t xml:space="preserve">Operational Alternatives. </w:t>
      </w:r>
      <w:r w:rsidRPr="006253D4" w:rsidR="00267533">
        <w:t xml:space="preserve">Seller must use commercially reasonable efforts, consistent with Prudent Industry Practices, to avoid, minimize, and mitigate any Excess Expenditure arising from a Change of Law. Seller must take reasonable steps to </w:t>
      </w:r>
      <w:r w:rsidR="00267533">
        <w:t>evaluate and propose</w:t>
      </w:r>
      <w:r w:rsidRPr="006253D4" w:rsidR="00267533">
        <w:t xml:space="preserve"> available Operational </w:t>
      </w:r>
      <w:r w:rsidR="00267533">
        <w:t>A</w:t>
      </w:r>
      <w:r w:rsidRPr="006253D4" w:rsidR="00267533">
        <w:t xml:space="preserve">lternatives, seek available exemptions, credits, rebates, or other relief, and avoid incurring unnecessary or avoidable costs. Excess Expenditures will exclude any amount to the extent resulting from Seller’s failure to comply with this </w:t>
      </w:r>
      <w:r w:rsidRPr="007E5556" w:rsidR="00267533">
        <w:t>Section 17.</w:t>
      </w:r>
      <w:r w:rsidRPr="007E5556" w:rsidR="00541178">
        <w:t>2.4 (</w:t>
      </w:r>
      <w:r w:rsidRPr="007E5556" w:rsidR="00541178">
        <w:rPr>
          <w:i/>
          <w:iCs/>
        </w:rPr>
        <w:t>Mitigation; Operational Alternatives</w:t>
      </w:r>
      <w:r w:rsidRPr="007E5556" w:rsidR="00541178">
        <w:t>)</w:t>
      </w:r>
      <w:r w:rsidRPr="007E5556" w:rsidR="00267533">
        <w:t>,</w:t>
      </w:r>
      <w:r w:rsidRPr="006253D4" w:rsidR="00267533">
        <w:t xml:space="preserve"> and </w:t>
      </w:r>
      <w:r w:rsidR="00267533">
        <w:t>GPC</w:t>
      </w:r>
      <w:r w:rsidRPr="006253D4" w:rsidR="00267533">
        <w:t xml:space="preserve"> will have no obligation to pay or include those amounts in any ACP Adjustment or termination payment. </w:t>
      </w:r>
      <w:r w:rsidRPr="00DB5825" w:rsidR="00F70B93">
        <w:t xml:space="preserve">Despite any other provision of this </w:t>
      </w:r>
      <w:r w:rsidRPr="007E5556" w:rsidR="00F70B93">
        <w:t>Section 17.2 (</w:t>
      </w:r>
      <w:r w:rsidRPr="007E5556" w:rsidR="00F70B93">
        <w:rPr>
          <w:i/>
          <w:iCs/>
        </w:rPr>
        <w:t>Change of Law</w:t>
      </w:r>
      <w:r w:rsidRPr="007E5556" w:rsidR="00F70B93">
        <w:t>),</w:t>
      </w:r>
      <w:r w:rsidRPr="00DB5825" w:rsidR="00F70B93">
        <w:t xml:space="preserve"> if Seller submits an Excess Expenditures Notice or otherwise seeks recovery of Excess Expenditures, GPC may, in lieu of approving all or any portion of the requested ACP Adjustment or other recovery, require Seller to implement one or more reasonable Operational Alternatives designed to comply with the applicable Change </w:t>
      </w:r>
      <w:r w:rsidR="00671280">
        <w:t>of</w:t>
      </w:r>
      <w:r w:rsidRPr="00DB5825" w:rsidR="00F70B93">
        <w:t xml:space="preserve"> Law while avoiding or reducing such Excess Expenditures.</w:t>
      </w:r>
      <w:r w:rsidR="00F70B93">
        <w:t xml:space="preserve"> </w:t>
      </w:r>
      <w:r w:rsidRPr="00DB5825" w:rsidR="00F70B93">
        <w:t xml:space="preserve">Operational </w:t>
      </w:r>
      <w:r w:rsidR="00F70B93">
        <w:t>A</w:t>
      </w:r>
      <w:r w:rsidRPr="00DB5825" w:rsidR="00F70B93">
        <w:t xml:space="preserve">lternatives may include changes to operating procedures, dispatch practices, maintenance scheduling, </w:t>
      </w:r>
      <w:r w:rsidRPr="007E5556" w:rsidR="00536537">
        <w:t>fuel usage</w:t>
      </w:r>
      <w:r w:rsidR="004E1242">
        <w:t>,</w:t>
      </w:r>
      <w:r w:rsidRPr="00DB5825" w:rsidR="00F70B93">
        <w:t xml:space="preserve"> monitoring or reporting processes, or other non-capital operational measures that do not require material modification of the Facility. Seller must implement any </w:t>
      </w:r>
      <w:r w:rsidR="00F70B93">
        <w:t>O</w:t>
      </w:r>
      <w:r w:rsidRPr="00DB5825" w:rsidR="00F70B93">
        <w:t xml:space="preserve">perational </w:t>
      </w:r>
      <w:r w:rsidR="00F70B93">
        <w:t>A</w:t>
      </w:r>
      <w:r w:rsidRPr="00DB5825" w:rsidR="00F70B93">
        <w:t xml:space="preserve">lternative directed by </w:t>
      </w:r>
      <w:r w:rsidR="00F70B93">
        <w:t>GPC</w:t>
      </w:r>
      <w:r w:rsidRPr="00DB5825" w:rsidR="00F70B93">
        <w:t xml:space="preserve"> within a commercially reasonable period, provided that such </w:t>
      </w:r>
      <w:r w:rsidR="00F70B93">
        <w:t>O</w:t>
      </w:r>
      <w:r w:rsidRPr="00DB5825" w:rsidR="00F70B93">
        <w:t xml:space="preserve">perational </w:t>
      </w:r>
      <w:r w:rsidR="00F70B93">
        <w:t>A</w:t>
      </w:r>
      <w:r w:rsidRPr="00DB5825" w:rsidR="00F70B93">
        <w:t>lternative: (</w:t>
      </w:r>
      <w:proofErr w:type="spellStart"/>
      <w:r w:rsidRPr="00DB5825" w:rsidR="00F70B93">
        <w:t>i</w:t>
      </w:r>
      <w:proofErr w:type="spellEnd"/>
      <w:r w:rsidRPr="00DB5825" w:rsidR="00F70B93">
        <w:t xml:space="preserve">) permits continued compliance with applicable </w:t>
      </w:r>
      <w:r w:rsidR="00F70B93">
        <w:t>l</w:t>
      </w:r>
      <w:r w:rsidRPr="00DB5825" w:rsidR="00F70B93">
        <w:t xml:space="preserve">aw, (ii) does not materially impair the safe and prudent operation of the Facility, and (iii) does not require Seller to violate any </w:t>
      </w:r>
      <w:r w:rsidR="00F70B93">
        <w:t>P</w:t>
      </w:r>
      <w:r w:rsidRPr="00DB5825" w:rsidR="00F70B93">
        <w:t>ermit, interconnection requirement, or reliability standard.</w:t>
      </w:r>
      <w:r w:rsidR="00F70B93">
        <w:t xml:space="preserve"> </w:t>
      </w:r>
      <w:r w:rsidRPr="00C65B32" w:rsidR="00F70B93">
        <w:t xml:space="preserve">If </w:t>
      </w:r>
      <w:r w:rsidR="00F70B93">
        <w:t>GPC</w:t>
      </w:r>
      <w:r w:rsidRPr="00C65B32" w:rsidR="00F70B93">
        <w:t xml:space="preserve"> requires an </w:t>
      </w:r>
      <w:r w:rsidR="00F70B93">
        <w:t>O</w:t>
      </w:r>
      <w:r w:rsidRPr="00C65B32" w:rsidR="00F70B93">
        <w:t xml:space="preserve">perational </w:t>
      </w:r>
      <w:r w:rsidR="00F70B93">
        <w:t>A</w:t>
      </w:r>
      <w:r w:rsidRPr="00C65B32" w:rsidR="00F70B93">
        <w:t xml:space="preserve">lternative under this Section, </w:t>
      </w:r>
      <w:r w:rsidR="00F70B93">
        <w:t>GPC</w:t>
      </w:r>
      <w:r w:rsidRPr="00C65B32" w:rsidR="00F70B93">
        <w:t xml:space="preserve"> will be responsible only for the incremental direct, out-of-pocket operating costs reasonably incurred by Seller solely </w:t>
      </w:r>
      <w:proofErr w:type="gramStart"/>
      <w:r w:rsidRPr="00C65B32" w:rsidR="00F70B93">
        <w:t>as a result of</w:t>
      </w:r>
      <w:proofErr w:type="gramEnd"/>
      <w:r w:rsidRPr="00C65B32" w:rsidR="00F70B93">
        <w:t xml:space="preserve"> implementing the </w:t>
      </w:r>
      <w:r w:rsidR="00F70B93">
        <w:t>O</w:t>
      </w:r>
      <w:r w:rsidRPr="00C65B32" w:rsidR="00F70B93">
        <w:t xml:space="preserve">perational </w:t>
      </w:r>
      <w:r w:rsidR="00F70B93">
        <w:t>A</w:t>
      </w:r>
      <w:r w:rsidRPr="00C65B32" w:rsidR="00F70B93">
        <w:t xml:space="preserve">lternative, to the extent approved by </w:t>
      </w:r>
      <w:r w:rsidR="00F70B93">
        <w:t>GPC</w:t>
      </w:r>
      <w:r w:rsidRPr="00C65B32" w:rsidR="00F70B93">
        <w:t xml:space="preserve">. Seller will not be entitled to recover any avoided capital expenditures, avoided Taxes, avoided tariffs, lost profits, financing costs, or any other Excess Expenditures that would have been incurred absent the </w:t>
      </w:r>
      <w:r w:rsidR="00177139">
        <w:t>O</w:t>
      </w:r>
      <w:r w:rsidRPr="00C65B32" w:rsidR="00F70B93">
        <w:t xml:space="preserve">perational </w:t>
      </w:r>
      <w:r w:rsidR="00177139">
        <w:t>A</w:t>
      </w:r>
      <w:r w:rsidRPr="00C65B32" w:rsidR="00F70B93">
        <w:t>lternative.</w:t>
      </w:r>
      <w:r w:rsidR="00F70B93">
        <w:t xml:space="preserve"> If any Operational Alternative is accepted by GPC or otherwise requested by GPC that impacts Seller’s ability to achieve required availability or other Facility performance requirements, the Parties will confer in good faith to agree to corresponding adjustments to those performance requirements</w:t>
      </w:r>
    </w:p>
    <w:p w:rsidRPr="00E3051A" w:rsidR="00C73656" w:rsidP="00C73656" w:rsidRDefault="00C73656" w14:paraId="6A6D27FF" w14:textId="47177FBB">
      <w:pPr>
        <w:pStyle w:val="zGTC03"/>
      </w:pPr>
      <w:r>
        <w:t xml:space="preserve"> </w:t>
      </w:r>
      <w:r w:rsidRPr="00341121" w:rsidR="00CD548C">
        <w:rPr>
          <w:b/>
          <w:bCs/>
        </w:rPr>
        <w:t>GPC Election; Objection Period.</w:t>
      </w:r>
      <w:r w:rsidRPr="00CD548C" w:rsidR="00CD548C">
        <w:t xml:space="preserve"> In response to an Excess Expenditures Notice, </w:t>
      </w:r>
      <w:proofErr w:type="gramStart"/>
      <w:r w:rsidRPr="00CD548C" w:rsidR="00CD548C">
        <w:t>GPC,</w:t>
      </w:r>
      <w:proofErr w:type="gramEnd"/>
      <w:r w:rsidRPr="00CD548C" w:rsidR="00CD548C">
        <w:t xml:space="preserve"> may elect to either: (</w:t>
      </w:r>
      <w:proofErr w:type="spellStart"/>
      <w:r w:rsidRPr="00CD548C" w:rsidR="00CD548C">
        <w:t>i</w:t>
      </w:r>
      <w:proofErr w:type="spellEnd"/>
      <w:r w:rsidRPr="00CD548C" w:rsidR="00CD548C">
        <w:t xml:space="preserve">) agree to accept an ACP Adjustment and/or Operational Alternatives; or (ii) terminate this PPA. After </w:t>
      </w:r>
      <w:proofErr w:type="gramStart"/>
      <w:r w:rsidRPr="00CD548C" w:rsidR="00CD548C">
        <w:t>receipt of</w:t>
      </w:r>
      <w:proofErr w:type="gramEnd"/>
      <w:r w:rsidRPr="00CD548C" w:rsidR="00CD548C">
        <w:t xml:space="preserve"> an Excess Expenditures Notice submitted and substantiated in accordance with this </w:t>
      </w:r>
      <w:r w:rsidRPr="007E5556" w:rsidR="00CD548C">
        <w:t>Section 17.</w:t>
      </w:r>
      <w:r w:rsidRPr="007E5556" w:rsidR="00AA2A5A">
        <w:t>2</w:t>
      </w:r>
      <w:r w:rsidRPr="007E5556" w:rsidR="00CD548C">
        <w:t xml:space="preserve"> (</w:t>
      </w:r>
      <w:r w:rsidRPr="007E5556" w:rsidR="00CD548C">
        <w:rPr>
          <w:i/>
          <w:iCs/>
        </w:rPr>
        <w:t>Change of Law</w:t>
      </w:r>
      <w:r w:rsidRPr="007E5556" w:rsidR="00CD548C">
        <w:t>),</w:t>
      </w:r>
      <w:r w:rsidRPr="00CD548C" w:rsidR="00CD548C">
        <w:t xml:space="preserve"> and by no later than the applicable GPC Election Deadline, GPC will provide its GPC Election Notice to Seller. If GPC elects, in its sole discretion, to terminate this PPA, GPC will state in its GPC Election Notice any termination payment to be paid to Seller, as determined in accordance with </w:t>
      </w:r>
      <w:r w:rsidRPr="007E5556" w:rsidR="00CD548C">
        <w:t>Section 17.</w:t>
      </w:r>
      <w:r w:rsidRPr="007E5556" w:rsidR="00AA2A5A">
        <w:t>2</w:t>
      </w:r>
      <w:r w:rsidRPr="007E5556" w:rsidR="00CD548C">
        <w:t>.6 (</w:t>
      </w:r>
      <w:r w:rsidRPr="007E5556" w:rsidR="00CD548C">
        <w:rPr>
          <w:i/>
          <w:iCs/>
        </w:rPr>
        <w:t>Change of Law Termination</w:t>
      </w:r>
      <w:r w:rsidRPr="007E5556" w:rsidR="00CD548C">
        <w:t>).</w:t>
      </w:r>
      <w:r w:rsidRPr="00CD548C" w:rsidR="00CD548C">
        <w:t xml:space="preserve"> Any election made by GPC is conditioned on GPC’s receipt of Commission approval, as contemplated by </w:t>
      </w:r>
      <w:r w:rsidRPr="00E3051A" w:rsidR="00CD548C">
        <w:t xml:space="preserve">Section </w:t>
      </w:r>
      <w:r w:rsidRPr="00E3051A" w:rsidR="00152E9D">
        <w:t>17.2.7</w:t>
      </w:r>
      <w:r w:rsidRPr="00E3051A" w:rsidR="00CD548C">
        <w:t xml:space="preserve"> (</w:t>
      </w:r>
      <w:r w:rsidRPr="00E3051A" w:rsidR="00CD548C">
        <w:rPr>
          <w:i/>
          <w:iCs/>
        </w:rPr>
        <w:t>Exclusive Relief; Commission Approval</w:t>
      </w:r>
      <w:r w:rsidRPr="00E3051A" w:rsidR="00CD548C">
        <w:t>),</w:t>
      </w:r>
      <w:r w:rsidRPr="00CD548C" w:rsidR="00CD548C">
        <w:t xml:space="preserve"> and GPC will have no liability to Seller for GPC’s election until Commission approval is received. </w:t>
      </w:r>
      <w:proofErr w:type="gramStart"/>
      <w:r w:rsidRPr="00CD548C" w:rsidR="00CD548C">
        <w:t>By no</w:t>
      </w:r>
      <w:proofErr w:type="gramEnd"/>
      <w:r w:rsidRPr="00CD548C" w:rsidR="00CD548C">
        <w:t xml:space="preserve"> later than 15 Days after receipt of the GPC Election Notice, Seller may object to any ACP Adjustment stated in the GPC Election Notice by notice delivered to GPC describing in reasonable detail the basis for Seller’s objection. If Seller does not deliver a timely objection, Seller will be deemed to have accepted the ACP Adjustment. After the expiration of any applicable objection period, GPC will seek Commission approval of GPC’s election as contemplated by </w:t>
      </w:r>
      <w:r w:rsidRPr="00E3051A" w:rsidR="00CD548C">
        <w:t>Section 17.</w:t>
      </w:r>
      <w:r w:rsidRPr="00E3051A" w:rsidR="00311580">
        <w:t>2</w:t>
      </w:r>
      <w:r w:rsidRPr="00E3051A" w:rsidR="00CD548C">
        <w:t>.7.</w:t>
      </w:r>
    </w:p>
    <w:p w:rsidRPr="00A06EFC" w:rsidR="00C73656" w:rsidP="00C73656" w:rsidRDefault="00C73656" w14:paraId="27F4460D" w14:textId="7905BF30">
      <w:pPr>
        <w:pStyle w:val="zGTC03"/>
      </w:pPr>
      <w:r>
        <w:t xml:space="preserve">  </w:t>
      </w:r>
      <w:r w:rsidRPr="00341121" w:rsidR="00A06EFC">
        <w:rPr>
          <w:b/>
          <w:bCs/>
        </w:rPr>
        <w:t>Change of Law Termination.</w:t>
      </w:r>
      <w:r w:rsidRPr="00341121" w:rsidR="00A06EFC">
        <w:rPr>
          <w:b/>
          <w:bCs/>
          <w:kern w:val="0"/>
        </w:rPr>
        <w:t xml:space="preserve"> </w:t>
      </w:r>
      <w:r w:rsidRPr="00A06EFC" w:rsidR="00A06EFC">
        <w:rPr>
          <w:kern w:val="0"/>
        </w:rPr>
        <w:t xml:space="preserve">Subject to </w:t>
      </w:r>
      <w:r w:rsidRPr="00B02BB6" w:rsidR="00A06EFC">
        <w:rPr>
          <w:kern w:val="0"/>
        </w:rPr>
        <w:t>Section 17.</w:t>
      </w:r>
      <w:r w:rsidRPr="00B02BB6" w:rsidR="001F1AE1">
        <w:rPr>
          <w:kern w:val="0"/>
        </w:rPr>
        <w:t>2</w:t>
      </w:r>
      <w:r w:rsidRPr="00B02BB6" w:rsidR="00A06EFC">
        <w:rPr>
          <w:kern w:val="0"/>
        </w:rPr>
        <w:t>.7 (</w:t>
      </w:r>
      <w:r w:rsidRPr="00B02BB6" w:rsidR="00A06EFC">
        <w:rPr>
          <w:i/>
          <w:iCs/>
          <w:kern w:val="0"/>
        </w:rPr>
        <w:t>Exclusive Relief; Commission Approval</w:t>
      </w:r>
      <w:r w:rsidRPr="00B02BB6" w:rsidR="00A06EFC">
        <w:rPr>
          <w:kern w:val="0"/>
        </w:rPr>
        <w:t>),</w:t>
      </w:r>
      <w:r w:rsidRPr="00A06EFC" w:rsidR="00A06EFC">
        <w:rPr>
          <w:kern w:val="0"/>
        </w:rPr>
        <w:t xml:space="preserve"> if the Facility has achieved Commercial Operation and GPC elects to terminate this </w:t>
      </w:r>
      <w:r w:rsidR="001645DA">
        <w:rPr>
          <w:kern w:val="0"/>
        </w:rPr>
        <w:t>PPA</w:t>
      </w:r>
      <w:r w:rsidRPr="00A06EFC" w:rsidR="00A06EFC">
        <w:rPr>
          <w:kern w:val="0"/>
        </w:rPr>
        <w:t xml:space="preserve"> in lieu of accepting an ACP Adjustment, GPC will pay to Seller a termination payment calculated per the formula set forth in </w:t>
      </w:r>
      <w:r w:rsidRPr="00B02BB6" w:rsidR="00A06EFC">
        <w:rPr>
          <w:kern w:val="0"/>
        </w:rPr>
        <w:t>Section 17.</w:t>
      </w:r>
      <w:r w:rsidRPr="00B02BB6" w:rsidR="001F1AE1">
        <w:rPr>
          <w:kern w:val="0"/>
        </w:rPr>
        <w:t>2</w:t>
      </w:r>
      <w:r w:rsidRPr="00B02BB6" w:rsidR="00A06EFC">
        <w:rPr>
          <w:kern w:val="0"/>
        </w:rPr>
        <w:t>.6(</w:t>
      </w:r>
      <w:proofErr w:type="spellStart"/>
      <w:r w:rsidRPr="00B02BB6" w:rsidR="00A06EFC">
        <w:rPr>
          <w:kern w:val="0"/>
        </w:rPr>
        <w:t>i</w:t>
      </w:r>
      <w:proofErr w:type="spellEnd"/>
      <w:r w:rsidRPr="00B02BB6" w:rsidR="00A06EFC">
        <w:rPr>
          <w:kern w:val="0"/>
        </w:rPr>
        <w:t>).</w:t>
      </w:r>
      <w:r w:rsidRPr="00A06EFC" w:rsidR="00A06EFC">
        <w:rPr>
          <w:kern w:val="0"/>
        </w:rPr>
        <w:t xml:space="preserve"> The termination payment will be Seller’s sole and exclusive remedy arising from or relating to GPC’s termination of </w:t>
      </w:r>
      <w:r w:rsidR="00EA3BC0">
        <w:rPr>
          <w:kern w:val="0"/>
        </w:rPr>
        <w:t>this</w:t>
      </w:r>
      <w:r w:rsidRPr="00A06EFC" w:rsidR="00A06EFC">
        <w:rPr>
          <w:kern w:val="0"/>
        </w:rPr>
        <w:t xml:space="preserve"> PPA, and, upon GPC’s payment of the termination payment, Seller will have no further right to payment, damages, or other recovery under this PPA arising from or relating to the termination or any Change of Law. If the Facility has not achieved Commercial Operation by the effective date of termination, GPC will not owe any termination payment and may terminate this PPA in accordance with Section 17.1.6 (</w:t>
      </w:r>
      <w:r w:rsidRPr="00A06EFC" w:rsidR="00A06EFC">
        <w:rPr>
          <w:i/>
          <w:iCs/>
          <w:kern w:val="0"/>
        </w:rPr>
        <w:t>GPC Election; Objection Period</w:t>
      </w:r>
      <w:r w:rsidRPr="00A06EFC" w:rsidR="00A06EFC">
        <w:rPr>
          <w:kern w:val="0"/>
        </w:rPr>
        <w:t xml:space="preserve">) without any liability to Seller. Upon termination under this </w:t>
      </w:r>
      <w:r w:rsidRPr="00B02BB6" w:rsidR="00A06EFC">
        <w:rPr>
          <w:kern w:val="0"/>
        </w:rPr>
        <w:t>Section 17.</w:t>
      </w:r>
      <w:r w:rsidRPr="00B02BB6" w:rsidR="001D597C">
        <w:rPr>
          <w:kern w:val="0"/>
        </w:rPr>
        <w:t>2</w:t>
      </w:r>
      <w:r w:rsidRPr="00B02BB6" w:rsidR="00A06EFC">
        <w:rPr>
          <w:kern w:val="0"/>
        </w:rPr>
        <w:t xml:space="preserve"> (</w:t>
      </w:r>
      <w:r w:rsidRPr="00B02BB6" w:rsidR="00A06EFC">
        <w:rPr>
          <w:i/>
          <w:iCs/>
          <w:kern w:val="0"/>
        </w:rPr>
        <w:t>Change of Law</w:t>
      </w:r>
      <w:r w:rsidRPr="00B02BB6" w:rsidR="00A06EFC">
        <w:rPr>
          <w:kern w:val="0"/>
        </w:rPr>
        <w:t>)</w:t>
      </w:r>
      <w:r w:rsidRPr="00A06EFC" w:rsidR="00A06EFC">
        <w:rPr>
          <w:kern w:val="0"/>
        </w:rPr>
        <w:t xml:space="preserve"> and payment of the termination payment, if required and approved by the Commission, neither Party will have any further liability under this PPA except for obligations that expressly survive termination.</w:t>
      </w:r>
    </w:p>
    <w:p w:rsidR="00DB69A9" w:rsidP="00DB69A9" w:rsidRDefault="00DB69A9" w14:paraId="346D4D07" w14:textId="77777777">
      <w:pPr>
        <w:pStyle w:val="zGTC04"/>
        <w:spacing w:after="0"/>
      </w:pPr>
      <w:r>
        <w:t>Termination Payment = 0.25 x NPV (Remaining Capacity Payments) x Performance Adjustment</w:t>
      </w:r>
    </w:p>
    <w:p w:rsidR="00DB69A9" w:rsidP="00DB69A9" w:rsidRDefault="00DB69A9" w14:paraId="6030C3E2" w14:textId="77777777">
      <w:pPr>
        <w:pStyle w:val="zGTC04"/>
        <w:numPr>
          <w:ilvl w:val="0"/>
          <w:numId w:val="0"/>
        </w:numPr>
        <w:ind w:left="1440"/>
      </w:pPr>
      <w:r>
        <w:t xml:space="preserve">Where: </w:t>
      </w:r>
    </w:p>
    <w:p w:rsidR="00DB69A9" w:rsidP="00DB69A9" w:rsidRDefault="00DB69A9" w14:paraId="49D793BC" w14:textId="3B1CCCBB">
      <w:pPr>
        <w:pStyle w:val="zGTC04"/>
        <w:numPr>
          <w:ilvl w:val="0"/>
          <w:numId w:val="0"/>
        </w:numPr>
        <w:ind w:left="2160"/>
        <w:rPr>
          <w:rFonts w:cs="Arial"/>
          <w:szCs w:val="20"/>
        </w:rPr>
      </w:pPr>
      <w:r w:rsidRPr="00341121">
        <w:rPr>
          <w:rFonts w:cs="Arial"/>
          <w:b/>
          <w:bCs/>
          <w:szCs w:val="20"/>
        </w:rPr>
        <w:lastRenderedPageBreak/>
        <w:t>NPV</w:t>
      </w:r>
      <w:r w:rsidRPr="00341121">
        <w:rPr>
          <w:rFonts w:cs="Arial"/>
          <w:szCs w:val="20"/>
        </w:rPr>
        <w:t xml:space="preserve"> = </w:t>
      </w:r>
      <w:r w:rsidR="001D597C">
        <w:rPr>
          <w:rFonts w:cs="Arial"/>
          <w:szCs w:val="20"/>
        </w:rPr>
        <w:t xml:space="preserve">the </w:t>
      </w:r>
      <w:r w:rsidRPr="00341121">
        <w:rPr>
          <w:rFonts w:cs="Arial"/>
          <w:szCs w:val="20"/>
        </w:rPr>
        <w:t>net present value</w:t>
      </w:r>
      <w:r w:rsidR="00AF3928">
        <w:rPr>
          <w:rFonts w:cs="Arial"/>
          <w:szCs w:val="20"/>
        </w:rPr>
        <w:t>,</w:t>
      </w:r>
      <w:r w:rsidRPr="00D62F40" w:rsidR="00AF3928">
        <w:t xml:space="preserve"> </w:t>
      </w:r>
      <w:r w:rsidRPr="00D62F40" w:rsidR="00AF3928">
        <w:rPr>
          <w:rFonts w:cs="Arial"/>
          <w:szCs w:val="20"/>
        </w:rPr>
        <w:t xml:space="preserve">calculated as of the effective date of termination, of the </w:t>
      </w:r>
      <w:r w:rsidR="00AF3928">
        <w:rPr>
          <w:rFonts w:cs="Arial"/>
          <w:szCs w:val="20"/>
        </w:rPr>
        <w:t>Remaining Capacity Payments</w:t>
      </w:r>
      <w:r w:rsidRPr="00D62F40" w:rsidR="00AF3928">
        <w:rPr>
          <w:rFonts w:cs="Arial"/>
          <w:szCs w:val="20"/>
        </w:rPr>
        <w:t xml:space="preserve"> using a discount rate </w:t>
      </w:r>
      <w:r w:rsidR="00AF3928">
        <w:rPr>
          <w:rFonts w:cs="Arial"/>
          <w:szCs w:val="20"/>
        </w:rPr>
        <w:t>based on GPC’s Commission approved return on equity</w:t>
      </w:r>
      <w:r>
        <w:rPr>
          <w:rFonts w:cs="Arial"/>
          <w:szCs w:val="20"/>
        </w:rPr>
        <w:t>.</w:t>
      </w:r>
    </w:p>
    <w:p w:rsidR="00DB69A9" w:rsidP="00DB69A9" w:rsidRDefault="00DB69A9" w14:paraId="6E4B7CF1" w14:textId="77777777">
      <w:pPr>
        <w:pStyle w:val="zGTC04"/>
        <w:numPr>
          <w:ilvl w:val="0"/>
          <w:numId w:val="0"/>
        </w:numPr>
        <w:ind w:left="2160"/>
        <w:rPr>
          <w:rFonts w:cs="Arial"/>
          <w:szCs w:val="20"/>
        </w:rPr>
      </w:pPr>
      <w:r w:rsidRPr="00341121">
        <w:rPr>
          <w:rFonts w:cs="Arial"/>
          <w:b/>
          <w:bCs/>
          <w:szCs w:val="20"/>
        </w:rPr>
        <w:t>Remaining Capacity Payments</w:t>
      </w:r>
      <w:r w:rsidRPr="00341121">
        <w:rPr>
          <w:rFonts w:cs="Arial"/>
          <w:szCs w:val="20"/>
        </w:rPr>
        <w:t xml:space="preserve"> = the sum of Monthly Capacity Payments that would have become payable during the remainder of the Term if this PPA had not been terminated.</w:t>
      </w:r>
    </w:p>
    <w:p w:rsidRPr="00DB69A9" w:rsidR="00DB69A9" w:rsidP="00DB69A9" w:rsidRDefault="00DB69A9" w14:paraId="1EC65B5D" w14:textId="27D3B7F5">
      <w:pPr>
        <w:pStyle w:val="zGTC04"/>
        <w:numPr>
          <w:ilvl w:val="0"/>
          <w:numId w:val="0"/>
        </w:numPr>
        <w:ind w:left="2160"/>
        <w:rPr>
          <w:rFonts w:cs="Arial"/>
          <w:szCs w:val="20"/>
        </w:rPr>
      </w:pPr>
      <w:r w:rsidRPr="00341121">
        <w:rPr>
          <w:rFonts w:cs="Arial"/>
          <w:b/>
          <w:bCs/>
          <w:szCs w:val="20"/>
        </w:rPr>
        <w:t xml:space="preserve">Performance Adjustment </w:t>
      </w:r>
      <w:r w:rsidRPr="00341121">
        <w:rPr>
          <w:rFonts w:cs="Arial"/>
          <w:szCs w:val="20"/>
        </w:rPr>
        <w:t xml:space="preserve">= </w:t>
      </w:r>
      <w:r w:rsidRPr="00370E16">
        <w:rPr>
          <w:rFonts w:cs="Arial"/>
          <w:szCs w:val="20"/>
        </w:rPr>
        <w:t xml:space="preserve">the average </w:t>
      </w:r>
      <w:r w:rsidRPr="00B02BB6">
        <w:rPr>
          <w:rFonts w:cs="Arial"/>
          <w:szCs w:val="20"/>
        </w:rPr>
        <w:t>Monthly Availability Percentage</w:t>
      </w:r>
      <w:r w:rsidRPr="00370E16">
        <w:rPr>
          <w:rFonts w:cs="Arial"/>
          <w:szCs w:val="20"/>
        </w:rPr>
        <w:t xml:space="preserve"> for the 36 Month period ending the last day of the Month immediately preceding the effective date of termination, expressed as a decimal and capped at 1.00. Any availability of, and any delivery from, an Alternate Resource will be excluded from the calculation of each Monthly Availability Percentage and the resulting average.</w:t>
      </w:r>
      <w:r>
        <w:t xml:space="preserve"> </w:t>
      </w:r>
    </w:p>
    <w:p w:rsidR="00C73656" w:rsidP="00C73656" w:rsidRDefault="00C73656" w14:paraId="399B8D4C" w14:textId="6EE508B0">
      <w:pPr>
        <w:pStyle w:val="zGTC03"/>
      </w:pPr>
      <w:r>
        <w:t xml:space="preserve"> </w:t>
      </w:r>
      <w:r w:rsidRPr="00341121" w:rsidR="008711C8">
        <w:rPr>
          <w:b/>
          <w:bCs/>
        </w:rPr>
        <w:t xml:space="preserve">Exclusive Relief; Commission Approval. </w:t>
      </w:r>
      <w:r w:rsidRPr="004449D3" w:rsidR="008711C8">
        <w:t xml:space="preserve">The Parties acknowledge that, except as provided in </w:t>
      </w:r>
      <w:proofErr w:type="gramStart"/>
      <w:r w:rsidRPr="004449D3" w:rsidR="008711C8">
        <w:t xml:space="preserve">this </w:t>
      </w:r>
      <w:r w:rsidRPr="00B02BB6" w:rsidR="008711C8">
        <w:t>Section</w:t>
      </w:r>
      <w:proofErr w:type="gramEnd"/>
      <w:r w:rsidRPr="00B02BB6" w:rsidR="008711C8">
        <w:t xml:space="preserve"> 17.</w:t>
      </w:r>
      <w:r w:rsidRPr="00B02BB6" w:rsidR="003A29F1">
        <w:t>2</w:t>
      </w:r>
      <w:r w:rsidRPr="00B02BB6" w:rsidR="008711C8">
        <w:t xml:space="preserve"> (</w:t>
      </w:r>
      <w:r w:rsidRPr="00B02BB6" w:rsidR="008711C8">
        <w:rPr>
          <w:i/>
          <w:iCs/>
        </w:rPr>
        <w:t>Change of Law</w:t>
      </w:r>
      <w:r w:rsidRPr="00B02BB6" w:rsidR="008711C8">
        <w:t>),</w:t>
      </w:r>
      <w:r w:rsidRPr="004449D3" w:rsidR="008711C8">
        <w:t xml:space="preserve"> the PPA will not be amended or terminated because of any Change of Law. If GPC accepts an ACP Adjustment, Seller may not seek any additional adjustment to Annual Capacity Prices for the same Change of Law(s) addressed in the GPC Election Notice (including for any additional or different Change of Law Expenditures arising from such Change of Law(s)). Any election by GPC under </w:t>
      </w:r>
      <w:r w:rsidRPr="00B02BB6" w:rsidR="008711C8">
        <w:t>Section 17.</w:t>
      </w:r>
      <w:r w:rsidRPr="00B02BB6" w:rsidR="003A29F1">
        <w:t>2</w:t>
      </w:r>
      <w:r w:rsidRPr="00B02BB6" w:rsidR="008711C8">
        <w:t>.5 (</w:t>
      </w:r>
      <w:r w:rsidRPr="00B02BB6" w:rsidR="008711C8">
        <w:rPr>
          <w:i/>
          <w:iCs/>
        </w:rPr>
        <w:t>GPC Election; Objection Period</w:t>
      </w:r>
      <w:r w:rsidRPr="00B02BB6" w:rsidR="008711C8">
        <w:t>)</w:t>
      </w:r>
      <w:r w:rsidRPr="004449D3" w:rsidR="008711C8">
        <w:t xml:space="preserve"> to allow Seller to recover Excess Expenditures will apply only to the Change of Law and Excess Expenditures addressed in GPC’s Election Notice. Further, for the avoidance of doubt: (</w:t>
      </w:r>
      <w:proofErr w:type="spellStart"/>
      <w:r w:rsidRPr="004449D3" w:rsidR="008711C8">
        <w:t>i</w:t>
      </w:r>
      <w:proofErr w:type="spellEnd"/>
      <w:r w:rsidRPr="004449D3" w:rsidR="008711C8">
        <w:t>) any agreement by GPC to adjust the Annual Capacity Price because of a Change of Law is conditioned on approval of the Commission, where required by applicable law; and (ii) if the Commission denies approval of any such agreement and corresponding amendment, Seller may elect to terminate this PPA without any liability to GPC and GPC will have no liability to Seller for the termination.</w:t>
      </w:r>
    </w:p>
    <w:p w:rsidR="00C73656" w:rsidP="00C73656" w:rsidRDefault="00C73656" w14:paraId="004F1E30" w14:textId="44086A02">
      <w:pPr>
        <w:pStyle w:val="zGTC03"/>
      </w:pPr>
      <w:r>
        <w:t xml:space="preserve"> </w:t>
      </w:r>
      <w:r w:rsidR="00743347">
        <w:t xml:space="preserve"> </w:t>
      </w:r>
      <w:r w:rsidRPr="00341121" w:rsidR="003D4494">
        <w:rPr>
          <w:b/>
          <w:bCs/>
        </w:rPr>
        <w:t>Disputes.</w:t>
      </w:r>
      <w:r w:rsidRPr="003D4494" w:rsidR="003D4494">
        <w:t xml:space="preserve"> Any dispute arising out of or relating to any Change of Law, including any dispute concerning the adequacy of substantiation, an ACP Adjustment, or the termination payment, will be resolved in accordance with </w:t>
      </w:r>
      <w:proofErr w:type="gramStart"/>
      <w:r w:rsidRPr="003D4494" w:rsidR="003D4494">
        <w:t xml:space="preserve">this </w:t>
      </w:r>
      <w:r w:rsidRPr="00B02BB6" w:rsidR="003D4494">
        <w:t>Section</w:t>
      </w:r>
      <w:proofErr w:type="gramEnd"/>
      <w:r w:rsidRPr="00B02BB6" w:rsidR="003D4494">
        <w:t xml:space="preserve"> 17.</w:t>
      </w:r>
      <w:r w:rsidRPr="00B02BB6" w:rsidR="003A29F1">
        <w:t>2</w:t>
      </w:r>
      <w:r w:rsidRPr="00B02BB6" w:rsidR="003D4494">
        <w:t>.8 (</w:t>
      </w:r>
      <w:r w:rsidRPr="00B02BB6" w:rsidR="003D4494">
        <w:rPr>
          <w:i/>
          <w:iCs/>
        </w:rPr>
        <w:t>Disputes</w:t>
      </w:r>
      <w:r w:rsidRPr="00B02BB6" w:rsidR="003D4494">
        <w:t>).</w:t>
      </w:r>
      <w:r w:rsidRPr="003D4494" w:rsidR="003D4494">
        <w:t xml:space="preserve"> Pending resolution of a Change </w:t>
      </w:r>
      <w:r w:rsidR="00671280">
        <w:t>of</w:t>
      </w:r>
      <w:r w:rsidRPr="003D4494" w:rsidR="003D4494">
        <w:t xml:space="preserve"> Law dispute, the Parties must continue to perform their undisputed obligations under this </w:t>
      </w:r>
      <w:r w:rsidR="001645DA">
        <w:t>PPA</w:t>
      </w:r>
      <w:r w:rsidRPr="003D4494" w:rsidR="003D4494">
        <w:t>.</w:t>
      </w:r>
    </w:p>
    <w:p w:rsidR="00743347" w:rsidP="00743347" w:rsidRDefault="00743347" w14:paraId="775C7423" w14:textId="19989248">
      <w:pPr>
        <w:pStyle w:val="zGTC04"/>
      </w:pPr>
      <w:r>
        <w:t xml:space="preserve"> </w:t>
      </w:r>
      <w:r w:rsidRPr="00341121" w:rsidR="001267D1">
        <w:rPr>
          <w:rFonts w:cs="Arial"/>
          <w:szCs w:val="20"/>
        </w:rPr>
        <w:t xml:space="preserve">The Party initiating a Change </w:t>
      </w:r>
      <w:r w:rsidR="00671280">
        <w:rPr>
          <w:rFonts w:cs="Arial"/>
          <w:szCs w:val="20"/>
        </w:rPr>
        <w:t>of</w:t>
      </w:r>
      <w:r w:rsidRPr="00341121" w:rsidR="001267D1">
        <w:rPr>
          <w:rFonts w:cs="Arial"/>
          <w:szCs w:val="20"/>
        </w:rPr>
        <w:t xml:space="preserve"> Law dispute must provide notice to the other Party describing the dispute in reasonable detail and the relief requested. The dispute will be promptly referred to. Within </w:t>
      </w:r>
      <w:r w:rsidRPr="000B08B0" w:rsidR="001267D1">
        <w:rPr>
          <w:rFonts w:cs="Arial"/>
          <w:szCs w:val="20"/>
        </w:rPr>
        <w:t>15 Days</w:t>
      </w:r>
      <w:r w:rsidRPr="00341121" w:rsidR="001267D1">
        <w:rPr>
          <w:rFonts w:cs="Arial"/>
          <w:szCs w:val="20"/>
        </w:rPr>
        <w:t xml:space="preserve"> after receipt of the dispute notice, GPC’s Director of Resource Planning and Seller’s </w:t>
      </w:r>
      <w:r w:rsidRPr="00F638F9" w:rsidR="001267D1">
        <w:rPr>
          <w:rFonts w:cs="Arial"/>
          <w:szCs w:val="20"/>
          <w:highlight w:val="yellow"/>
        </w:rPr>
        <w:t>#I</w:t>
      </w:r>
      <w:r w:rsidRPr="00341121" w:rsidR="001267D1">
        <w:rPr>
          <w:rFonts w:cs="Arial"/>
          <w:szCs w:val="20"/>
          <w:highlight w:val="yellow"/>
        </w:rPr>
        <w:t>dentifiyRepresentative</w:t>
      </w:r>
      <w:r w:rsidRPr="00341121" w:rsidR="001267D1">
        <w:rPr>
          <w:rFonts w:cs="Arial"/>
          <w:szCs w:val="20"/>
        </w:rPr>
        <w:t xml:space="preserve"> must meet and attempt in good faith to resolve the dispute.</w:t>
      </w:r>
    </w:p>
    <w:p w:rsidR="00743347" w:rsidP="00743347" w:rsidRDefault="00B91861" w14:paraId="129D8EB2" w14:textId="2BBFADBF">
      <w:pPr>
        <w:pStyle w:val="zGTC04"/>
      </w:pPr>
      <w:r w:rsidRPr="00341121">
        <w:rPr>
          <w:rFonts w:cs="Arial"/>
          <w:szCs w:val="20"/>
        </w:rPr>
        <w:t xml:space="preserve">If the Change </w:t>
      </w:r>
      <w:r w:rsidR="00671280">
        <w:rPr>
          <w:rFonts w:cs="Arial"/>
          <w:szCs w:val="20"/>
        </w:rPr>
        <w:t>of</w:t>
      </w:r>
      <w:r w:rsidRPr="00341121">
        <w:rPr>
          <w:rFonts w:cs="Arial"/>
          <w:szCs w:val="20"/>
        </w:rPr>
        <w:t xml:space="preserve"> Law dispute is not resolved 15 Days after the meeting described in </w:t>
      </w:r>
      <w:r w:rsidRPr="00960A1B">
        <w:rPr>
          <w:rFonts w:cs="Arial"/>
          <w:szCs w:val="20"/>
        </w:rPr>
        <w:t>Section 17.</w:t>
      </w:r>
      <w:r w:rsidRPr="00960A1B" w:rsidR="003A29F1">
        <w:rPr>
          <w:rFonts w:cs="Arial"/>
          <w:szCs w:val="20"/>
        </w:rPr>
        <w:t>2</w:t>
      </w:r>
      <w:r w:rsidRPr="00960A1B">
        <w:rPr>
          <w:rFonts w:cs="Arial"/>
          <w:szCs w:val="20"/>
        </w:rPr>
        <w:t>.8(</w:t>
      </w:r>
      <w:proofErr w:type="spellStart"/>
      <w:r w:rsidRPr="00960A1B">
        <w:rPr>
          <w:rFonts w:cs="Arial"/>
          <w:szCs w:val="20"/>
        </w:rPr>
        <w:t>i</w:t>
      </w:r>
      <w:proofErr w:type="spellEnd"/>
      <w:r w:rsidRPr="00960A1B">
        <w:rPr>
          <w:rFonts w:cs="Arial"/>
          <w:szCs w:val="20"/>
        </w:rPr>
        <w:t>) (</w:t>
      </w:r>
      <w:r w:rsidRPr="00960A1B">
        <w:rPr>
          <w:rFonts w:cs="Arial"/>
          <w:i/>
          <w:iCs/>
          <w:szCs w:val="20"/>
        </w:rPr>
        <w:t>Disputes</w:t>
      </w:r>
      <w:r w:rsidRPr="00960A1B">
        <w:rPr>
          <w:rFonts w:cs="Arial"/>
          <w:szCs w:val="20"/>
        </w:rPr>
        <w:t>),</w:t>
      </w:r>
      <w:r w:rsidRPr="00341121">
        <w:rPr>
          <w:rFonts w:cs="Arial"/>
          <w:szCs w:val="20"/>
        </w:rPr>
        <w:t xml:space="preserve"> either Party may escalate the dispute by </w:t>
      </w:r>
      <w:r w:rsidR="00466BED">
        <w:rPr>
          <w:rFonts w:cs="Arial"/>
          <w:szCs w:val="20"/>
        </w:rPr>
        <w:t>providing</w:t>
      </w:r>
      <w:r w:rsidRPr="00341121">
        <w:rPr>
          <w:rFonts w:cs="Arial"/>
          <w:szCs w:val="20"/>
        </w:rPr>
        <w:t xml:space="preserve"> notice</w:t>
      </w:r>
      <w:r w:rsidR="00466BED">
        <w:rPr>
          <w:rFonts w:cs="Arial"/>
          <w:szCs w:val="20"/>
        </w:rPr>
        <w:t xml:space="preserve"> to the other Party</w:t>
      </w:r>
      <w:r w:rsidRPr="00341121">
        <w:rPr>
          <w:rFonts w:cs="Arial"/>
          <w:szCs w:val="20"/>
        </w:rPr>
        <w:t>. Within 10 Days after receipt of the escalation</w:t>
      </w:r>
      <w:r w:rsidR="00671280">
        <w:rPr>
          <w:rFonts w:cs="Arial"/>
          <w:szCs w:val="20"/>
        </w:rPr>
        <w:t xml:space="preserve"> notice</w:t>
      </w:r>
      <w:r w:rsidRPr="00341121">
        <w:rPr>
          <w:rFonts w:cs="Arial"/>
          <w:szCs w:val="20"/>
        </w:rPr>
        <w:t>, one executive of each Party with authority to resolve the dispute must meet and attempt in good faith to resolve the dispute.</w:t>
      </w:r>
      <w:r w:rsidR="00743347">
        <w:t xml:space="preserve"> </w:t>
      </w:r>
    </w:p>
    <w:p w:rsidR="00743347" w:rsidP="00743347" w:rsidRDefault="00A74912" w14:paraId="3B3C009E" w14:textId="22398316">
      <w:pPr>
        <w:pStyle w:val="zGTC04"/>
      </w:pPr>
      <w:r w:rsidRPr="00341121">
        <w:rPr>
          <w:rFonts w:cs="Arial"/>
          <w:szCs w:val="20"/>
        </w:rPr>
        <w:t xml:space="preserve">If the Change </w:t>
      </w:r>
      <w:r w:rsidR="00671280">
        <w:rPr>
          <w:rFonts w:cs="Arial"/>
          <w:szCs w:val="20"/>
        </w:rPr>
        <w:t>of</w:t>
      </w:r>
      <w:r w:rsidRPr="00341121">
        <w:rPr>
          <w:rFonts w:cs="Arial"/>
          <w:szCs w:val="20"/>
        </w:rPr>
        <w:t xml:space="preserve"> Law dispute is not resolved by 15 Days after the meeting described in </w:t>
      </w:r>
      <w:r w:rsidRPr="00960A1B">
        <w:rPr>
          <w:rFonts w:cs="Arial"/>
          <w:szCs w:val="20"/>
        </w:rPr>
        <w:t>Section 17.</w:t>
      </w:r>
      <w:r w:rsidRPr="00960A1B" w:rsidR="003A29F1">
        <w:rPr>
          <w:rFonts w:cs="Arial"/>
          <w:szCs w:val="20"/>
        </w:rPr>
        <w:t>2</w:t>
      </w:r>
      <w:r w:rsidRPr="00960A1B">
        <w:rPr>
          <w:rFonts w:cs="Arial"/>
          <w:szCs w:val="20"/>
        </w:rPr>
        <w:t>.8(ii) (</w:t>
      </w:r>
      <w:r w:rsidRPr="00960A1B">
        <w:rPr>
          <w:rFonts w:cs="Arial"/>
          <w:i/>
          <w:iCs/>
          <w:szCs w:val="20"/>
        </w:rPr>
        <w:t>Disputes</w:t>
      </w:r>
      <w:r w:rsidRPr="00960A1B">
        <w:rPr>
          <w:rFonts w:cs="Arial"/>
          <w:szCs w:val="20"/>
        </w:rPr>
        <w:t>),</w:t>
      </w:r>
      <w:r w:rsidRPr="00341121">
        <w:rPr>
          <w:rFonts w:cs="Arial"/>
          <w:szCs w:val="20"/>
        </w:rPr>
        <w:t xml:space="preserve"> either Party may initiate mediation</w:t>
      </w:r>
      <w:r w:rsidR="00DD16CB">
        <w:rPr>
          <w:rFonts w:cs="Arial"/>
          <w:szCs w:val="20"/>
        </w:rPr>
        <w:t xml:space="preserve"> by providing notice to the other Party</w:t>
      </w:r>
      <w:r w:rsidRPr="00341121">
        <w:rPr>
          <w:rFonts w:cs="Arial"/>
          <w:szCs w:val="20"/>
        </w:rPr>
        <w:t xml:space="preserve">, which </w:t>
      </w:r>
      <w:r w:rsidR="00EF38F6">
        <w:rPr>
          <w:rFonts w:cs="Arial"/>
          <w:szCs w:val="20"/>
        </w:rPr>
        <w:t xml:space="preserve">mediation </w:t>
      </w:r>
      <w:r w:rsidRPr="00341121">
        <w:rPr>
          <w:rFonts w:cs="Arial"/>
          <w:szCs w:val="20"/>
        </w:rPr>
        <w:t xml:space="preserve">must then be conducted within 30 Days after the mediation </w:t>
      </w:r>
      <w:r w:rsidR="00EF38F6">
        <w:rPr>
          <w:rFonts w:cs="Arial"/>
          <w:szCs w:val="20"/>
        </w:rPr>
        <w:t>notice</w:t>
      </w:r>
      <w:r w:rsidRPr="00341121">
        <w:rPr>
          <w:rFonts w:cs="Arial"/>
          <w:szCs w:val="20"/>
        </w:rPr>
        <w:t xml:space="preserve"> is received.</w:t>
      </w:r>
    </w:p>
    <w:p w:rsidR="00C73656" w:rsidP="00C73656" w:rsidRDefault="009A59C7" w14:paraId="72A2F36E" w14:textId="2A32A8D2">
      <w:pPr>
        <w:pStyle w:val="zGTC03"/>
      </w:pPr>
      <w:r>
        <w:rPr>
          <w:b/>
          <w:bCs/>
        </w:rPr>
        <w:t xml:space="preserve"> </w:t>
      </w:r>
      <w:r w:rsidRPr="004F753A" w:rsidR="00412970">
        <w:rPr>
          <w:b/>
          <w:bCs/>
        </w:rPr>
        <w:t>New or Different Changes in Applicable Law; Payments; Repeal.</w:t>
      </w:r>
      <w:r w:rsidRPr="00BE4317" w:rsidR="00412970">
        <w:t xml:space="preserve"> </w:t>
      </w:r>
      <w:r w:rsidRPr="00412970" w:rsidR="00412970">
        <w:t xml:space="preserve">Seller acknowledges and agrees that except as provided in this </w:t>
      </w:r>
      <w:r w:rsidRPr="00960A1B" w:rsidR="00412970">
        <w:t>Part 17 (</w:t>
      </w:r>
      <w:r w:rsidRPr="00960A1B" w:rsidR="00412970">
        <w:rPr>
          <w:i/>
          <w:iCs/>
        </w:rPr>
        <w:t>Compliance with Laws</w:t>
      </w:r>
      <w:r w:rsidRPr="00960A1B" w:rsidR="00412970">
        <w:t>):</w:t>
      </w:r>
      <w:r w:rsidRPr="00412970" w:rsidR="00412970">
        <w:t xml:space="preserve"> (</w:t>
      </w:r>
      <w:proofErr w:type="spellStart"/>
      <w:r w:rsidRPr="00412970" w:rsidR="00412970">
        <w:t>i</w:t>
      </w:r>
      <w:proofErr w:type="spellEnd"/>
      <w:r w:rsidRPr="00412970" w:rsidR="00412970">
        <w:t>) GPC will not be responsible for any cost, expense, or loss incurred by Seller that result</w:t>
      </w:r>
      <w:r w:rsidR="00A84DA1">
        <w:t>s</w:t>
      </w:r>
      <w:r w:rsidRPr="00412970" w:rsidR="00412970">
        <w:t xml:space="preserve"> from any Change of Law; and (ii) in no event will the payments required to be made by GPC under this PPA be increased because of any cost or expense that Seller incurs because of any Change of Law. If any Change of Law that forms the basis for an ACP Adjustment or Operational Alternative repealed, rescinded, invalidated, overturned, or otherwise ceases to be legally effective or applicable to the Facility (in whole or in part), then, effective as of the date the Change of Law no longer has legal effect: (a) the ACP Adjustment will be reduced or eliminated, as applicable, to reflect the remaining legally effective portion of the Change of Law; (b) Seller will no longer be entitled to recover any further Excess Expenditures attributable to the Change of Law (or portion thereof); and (c) if Seller is no longer required to comply with the Change of Law (or portion thereof), Seller will use commercially reasonable efforts to discontinue or unwind any related capital expenditure or operational measure to the extent practicable and consistent with Prudent Industry Practice. Notwithstanding the foregoing, Seller will not be required to refund or credit amounts attributable to </w:t>
      </w:r>
      <w:r w:rsidRPr="00412970" w:rsidR="00412970">
        <w:lastRenderedPageBreak/>
        <w:t xml:space="preserve">irreversible capital </w:t>
      </w:r>
      <w:proofErr w:type="gramStart"/>
      <w:r w:rsidRPr="00412970" w:rsidR="00412970">
        <w:t>expenditures</w:t>
      </w:r>
      <w:proofErr w:type="gramEnd"/>
      <w:r w:rsidRPr="00412970" w:rsidR="00412970">
        <w:t xml:space="preserve"> reasonably incurred before the date the Change of Law ceased to be effective, provided the expenditures were prudently incurred in compliance with this </w:t>
      </w:r>
      <w:r w:rsidRPr="00960A1B" w:rsidR="00412970">
        <w:t>Section 17.</w:t>
      </w:r>
      <w:r w:rsidRPr="00960A1B" w:rsidR="003A29F1">
        <w:t>2</w:t>
      </w:r>
      <w:r w:rsidRPr="00960A1B" w:rsidR="00412970">
        <w:t xml:space="preserve"> (</w:t>
      </w:r>
      <w:r w:rsidRPr="00960A1B" w:rsidR="00412970">
        <w:rPr>
          <w:i/>
          <w:iCs/>
        </w:rPr>
        <w:t>Change of Law</w:t>
      </w:r>
      <w:r w:rsidRPr="00960A1B" w:rsidR="00412970">
        <w:t>).</w:t>
      </w:r>
    </w:p>
    <w:p w:rsidR="00F93475" w:rsidP="00D71AEF" w:rsidRDefault="0053384E" w14:paraId="5A4FA190" w14:textId="2FE9585B">
      <w:pPr>
        <w:pStyle w:val="zGTC03"/>
        <w:tabs>
          <w:tab w:val="clear" w:pos="1368"/>
          <w:tab w:val="num" w:pos="1530"/>
        </w:tabs>
      </w:pPr>
      <w:r>
        <w:t xml:space="preserve"> </w:t>
      </w:r>
      <w:r w:rsidRPr="00D71AEF" w:rsidR="00F93475">
        <w:rPr>
          <w:b/>
          <w:bCs/>
        </w:rPr>
        <w:t>Deemed Change of Law.</w:t>
      </w:r>
      <w:r w:rsidR="00F93475">
        <w:t xml:space="preserve"> </w:t>
      </w:r>
      <w:r w:rsidRPr="00F93475" w:rsidR="00F93475">
        <w:t xml:space="preserve">A Change of Law will be deemed to </w:t>
      </w:r>
      <w:r w:rsidR="003A024D">
        <w:t>occur</w:t>
      </w:r>
      <w:r w:rsidRPr="00F93475" w:rsidR="00F93475">
        <w:t xml:space="preserve"> if the U.S. Environmental Protection Agency's proposed rule issued on June 11, </w:t>
      </w:r>
      <w:proofErr w:type="gramStart"/>
      <w:r w:rsidRPr="00F93475" w:rsidR="00F93475">
        <w:t>2025</w:t>
      </w:r>
      <w:proofErr w:type="gramEnd"/>
      <w:r w:rsidRPr="00F93475" w:rsidR="00F93475">
        <w:t xml:space="preserve"> to repeal the carbon capture, use, and sequestration requirements under 40 C.F.R. Part 60, Subpart </w:t>
      </w:r>
      <w:proofErr w:type="spellStart"/>
      <w:r w:rsidRPr="00F93475" w:rsidR="00F93475">
        <w:t>TTTTa</w:t>
      </w:r>
      <w:proofErr w:type="spellEnd"/>
      <w:r w:rsidRPr="00F93475" w:rsidR="00F93475">
        <w:t xml:space="preserve"> is not finalized or does not become legally effective by its stated effective date.</w:t>
      </w:r>
    </w:p>
    <w:p w:rsidRPr="006E0A0D" w:rsidR="00D96326" w:rsidP="00D96326" w:rsidRDefault="00D96326" w14:paraId="5B34FB55" w14:textId="77777777">
      <w:pPr>
        <w:pStyle w:val="zGTC02"/>
        <w:rPr>
          <w:rFonts w:ascii="Arial" w:hAnsi="Arial" w:eastAsia="PMingLiU" w:cs="Arial"/>
          <w:vanish/>
          <w:szCs w:val="20"/>
          <w:specVanish/>
        </w:rPr>
      </w:pPr>
      <w:bookmarkStart w:name="_Toc227452073" w:id="257"/>
      <w:bookmarkStart w:name="_Toc227452257" w:id="258"/>
      <w:bookmarkStart w:name="_Toc227452074" w:id="259"/>
      <w:bookmarkStart w:name="_Toc227452258" w:id="260"/>
      <w:bookmarkStart w:name="_Toc227452075" w:id="261"/>
      <w:bookmarkStart w:name="_Toc227452259" w:id="262"/>
      <w:bookmarkStart w:name="_Toc227452076" w:id="263"/>
      <w:bookmarkStart w:name="_Toc227452260" w:id="264"/>
      <w:bookmarkStart w:name="_Toc212475730" w:id="265"/>
      <w:bookmarkStart w:name="_Toc227838428" w:id="266"/>
      <w:bookmarkEnd w:id="257"/>
      <w:bookmarkEnd w:id="258"/>
      <w:bookmarkEnd w:id="259"/>
      <w:bookmarkEnd w:id="260"/>
      <w:bookmarkEnd w:id="261"/>
      <w:bookmarkEnd w:id="262"/>
      <w:bookmarkEnd w:id="263"/>
      <w:bookmarkEnd w:id="264"/>
      <w:r>
        <w:rPr>
          <w:rFonts w:ascii="Arial" w:hAnsi="Arial" w:cs="Arial"/>
          <w:szCs w:val="20"/>
        </w:rPr>
        <w:t>No Dedication.</w:t>
      </w:r>
      <w:bookmarkEnd w:id="265"/>
      <w:bookmarkEnd w:id="266"/>
    </w:p>
    <w:p w:rsidRPr="006E0A0D" w:rsidR="00D96326" w:rsidRDefault="00D96326" w14:paraId="1A9AC9FE" w14:textId="77777777">
      <w:pPr>
        <w:pStyle w:val="zGNormal"/>
      </w:pPr>
      <w:r>
        <w:t xml:space="preserve"> No undertaking by Seller under this PPA is intended to constitute: (</w:t>
      </w:r>
      <w:proofErr w:type="spellStart"/>
      <w:r>
        <w:t>i</w:t>
      </w:r>
      <w:proofErr w:type="spellEnd"/>
      <w:r>
        <w:t xml:space="preserve">) </w:t>
      </w:r>
      <w:proofErr w:type="gramStart"/>
      <w:r>
        <w:t>the dedication</w:t>
      </w:r>
      <w:proofErr w:type="gramEnd"/>
      <w:r>
        <w:t xml:space="preserve"> to the public of the Facility or any part of the Facility; or (ii) affect Seller’s status as an independent entity and not a public utility or public service company.</w:t>
      </w:r>
    </w:p>
    <w:p w:rsidRPr="006E0A0D" w:rsidR="00D96326" w:rsidP="00D96326" w:rsidRDefault="00D96326" w14:paraId="3F43CE25" w14:textId="77777777">
      <w:pPr>
        <w:pStyle w:val="zGTC02"/>
        <w:rPr>
          <w:rFonts w:ascii="Arial" w:hAnsi="Arial" w:eastAsia="PMingLiU" w:cs="Arial"/>
          <w:vanish/>
          <w:szCs w:val="20"/>
          <w:specVanish/>
        </w:rPr>
      </w:pPr>
      <w:bookmarkStart w:name="_Toc158035198" w:id="267"/>
      <w:bookmarkStart w:name="_Toc212475731" w:id="268"/>
      <w:bookmarkStart w:name="_Toc227838429" w:id="269"/>
      <w:r>
        <w:t>Compliance.</w:t>
      </w:r>
      <w:bookmarkEnd w:id="267"/>
      <w:bookmarkEnd w:id="268"/>
      <w:bookmarkEnd w:id="269"/>
    </w:p>
    <w:p w:rsidRPr="006E0A0D" w:rsidR="00D96326" w:rsidRDefault="00D96326" w14:paraId="2748361D" w14:textId="3C4B5D08">
      <w:pPr>
        <w:pStyle w:val="zGNormal"/>
        <w:rPr>
          <w:b/>
          <w:bCs/>
        </w:rPr>
      </w:pPr>
      <w:r>
        <w:t xml:space="preserve"> Throughout the Term, Seller must comply with all applicable laws, including</w:t>
      </w:r>
      <w:r w:rsidR="00C3533C">
        <w:t xml:space="preserve"> (</w:t>
      </w:r>
      <w:proofErr w:type="spellStart"/>
      <w:r w:rsidR="00C3533C">
        <w:t>i</w:t>
      </w:r>
      <w:proofErr w:type="spellEnd"/>
      <w:r w:rsidR="00C3533C">
        <w:t>)</w:t>
      </w:r>
      <w:r>
        <w:t xml:space="preserve"> </w:t>
      </w:r>
      <w:r w:rsidR="00C3533C">
        <w:t xml:space="preserve">laws </w:t>
      </w:r>
      <w:r>
        <w:t xml:space="preserve">regarding the </w:t>
      </w:r>
      <w:r w:rsidR="00C3533C">
        <w:t xml:space="preserve">Site or the Facility, including the </w:t>
      </w:r>
      <w:r>
        <w:t>design, construction, ownership, operation, maintenance, and decommissioning (if applicable) of the Facility</w:t>
      </w:r>
      <w:r w:rsidR="00422A04">
        <w:t>; (ii)</w:t>
      </w:r>
      <w:r>
        <w:t xml:space="preserve"> required Consents</w:t>
      </w:r>
      <w:r w:rsidR="00BF636D">
        <w:t xml:space="preserve">, including </w:t>
      </w:r>
      <w:r w:rsidR="009750CA">
        <w:t>requirements</w:t>
      </w:r>
      <w:r w:rsidRPr="00540449" w:rsidR="009750CA">
        <w:t xml:space="preserve"> to seek, obtain, comply with,</w:t>
      </w:r>
      <w:r w:rsidR="009750CA">
        <w:t xml:space="preserve"> maintain compliance with,</w:t>
      </w:r>
      <w:r w:rsidRPr="00540449" w:rsidR="009750CA">
        <w:t xml:space="preserve"> and, as necessary, renew or modify from time to time, all applicable certificates, licenses, </w:t>
      </w:r>
      <w:r w:rsidR="009750CA">
        <w:t>p</w:t>
      </w:r>
      <w:r w:rsidRPr="00540449" w:rsidR="009750CA">
        <w:t xml:space="preserve">ermits, Governmental Authority approvals, </w:t>
      </w:r>
      <w:r w:rsidR="009750CA">
        <w:t>(iii)</w:t>
      </w:r>
      <w:r w:rsidR="00E93ED9">
        <w:t xml:space="preserve"> </w:t>
      </w:r>
      <w:r>
        <w:t>Environmental Laws</w:t>
      </w:r>
      <w:r w:rsidR="00E93ED9">
        <w:t>; and (iv) laws pertaining to environmental emissions.</w:t>
      </w:r>
      <w:r>
        <w:t xml:space="preserve"> Seller </w:t>
      </w:r>
      <w:r w:rsidR="00E93ED9">
        <w:t>is</w:t>
      </w:r>
      <w:r w:rsidR="005A6673">
        <w:t xml:space="preserve"> </w:t>
      </w:r>
      <w:r>
        <w:t xml:space="preserve">responsible for all costs, expenses, charges, and fees concerning all compliance required in </w:t>
      </w:r>
      <w:proofErr w:type="gramStart"/>
      <w:r>
        <w:t>this Section</w:t>
      </w:r>
      <w:proofErr w:type="gramEnd"/>
      <w:r>
        <w:t xml:space="preserve"> 17.4 (</w:t>
      </w:r>
      <w:r>
        <w:rPr>
          <w:i/>
          <w:iCs/>
        </w:rPr>
        <w:t>Compliance</w:t>
      </w:r>
      <w:r>
        <w:t>)</w:t>
      </w:r>
      <w:r w:rsidR="00E36E87">
        <w:t xml:space="preserve">, subject to Seller’s rights under </w:t>
      </w:r>
      <w:r w:rsidR="00F7782F">
        <w:t>Section 17.1 (</w:t>
      </w:r>
      <w:r w:rsidRPr="00F7782F" w:rsidR="00F7782F">
        <w:rPr>
          <w:i/>
          <w:iCs/>
        </w:rPr>
        <w:t>New GHG Law</w:t>
      </w:r>
      <w:r w:rsidR="00F7782F">
        <w:t xml:space="preserve">) or </w:t>
      </w:r>
      <w:r w:rsidR="00E36E87">
        <w:t>Section 17.2 (</w:t>
      </w:r>
      <w:r w:rsidRPr="00E36E87" w:rsidR="00E36E87">
        <w:rPr>
          <w:i/>
          <w:iCs/>
        </w:rPr>
        <w:t>Change of Law</w:t>
      </w:r>
      <w:r w:rsidR="00E36E87">
        <w:t>), if applicable</w:t>
      </w:r>
      <w:r>
        <w:t>.</w:t>
      </w:r>
    </w:p>
    <w:p w:rsidRPr="006E0A0D" w:rsidR="00D96326" w:rsidP="00D96326" w:rsidRDefault="006E5400" w14:paraId="1850B3C1" w14:textId="323CCE07">
      <w:pPr>
        <w:pStyle w:val="zGTC02"/>
        <w:rPr>
          <w:rFonts w:ascii="Arial" w:hAnsi="Arial" w:eastAsia="PMingLiU" w:cs="Arial"/>
          <w:vanish/>
          <w:szCs w:val="20"/>
          <w:specVanish/>
        </w:rPr>
      </w:pPr>
      <w:bookmarkStart w:name="_Toc158035199" w:id="270"/>
      <w:bookmarkStart w:name="_Toc212475732" w:id="271"/>
      <w:bookmarkStart w:name="_Toc227838430" w:id="272"/>
      <w:r>
        <w:t xml:space="preserve">Environmental </w:t>
      </w:r>
      <w:r w:rsidR="00D96326">
        <w:t>Compliance.</w:t>
      </w:r>
      <w:bookmarkEnd w:id="270"/>
      <w:bookmarkEnd w:id="271"/>
      <w:bookmarkEnd w:id="272"/>
    </w:p>
    <w:p w:rsidR="004806C4" w:rsidP="004806C4" w:rsidRDefault="00D96326" w14:paraId="673675D6" w14:textId="7BF4EE8D">
      <w:pPr>
        <w:pStyle w:val="zGNormal"/>
      </w:pPr>
      <w:r>
        <w:t xml:space="preserve"> </w:t>
      </w:r>
      <w:r w:rsidR="004806C4">
        <w:t>Throughout the Term, Seller must comply with (</w:t>
      </w:r>
      <w:proofErr w:type="spellStart"/>
      <w:r w:rsidR="004806C4">
        <w:t>i</w:t>
      </w:r>
      <w:proofErr w:type="spellEnd"/>
      <w:r w:rsidR="004806C4">
        <w:t>) Required BMPs as set forth in Section 17.</w:t>
      </w:r>
      <w:r w:rsidR="00EC6DC4">
        <w:t>5</w:t>
      </w:r>
      <w:r w:rsidR="004806C4">
        <w:t>.1 (</w:t>
      </w:r>
      <w:r w:rsidRPr="00587168" w:rsidR="004806C4">
        <w:rPr>
          <w:i/>
          <w:iCs/>
        </w:rPr>
        <w:t>Required BMPs</w:t>
      </w:r>
      <w:r w:rsidR="004806C4">
        <w:t>), and (ii) Environmental Recommendations as set forth in Section 17.</w:t>
      </w:r>
      <w:r w:rsidR="00EC6DC4">
        <w:t>5</w:t>
      </w:r>
      <w:r w:rsidR="004806C4">
        <w:t>.2 (</w:t>
      </w:r>
      <w:r w:rsidRPr="00587168" w:rsidR="004806C4">
        <w:rPr>
          <w:i/>
          <w:iCs/>
        </w:rPr>
        <w:t>Environmental Recommendations</w:t>
      </w:r>
      <w:r w:rsidR="004806C4">
        <w:t>).</w:t>
      </w:r>
    </w:p>
    <w:p w:rsidR="00D96326" w:rsidP="004806C4" w:rsidRDefault="00444DD7" w14:paraId="6B0CB5F2" w14:textId="50F52133">
      <w:pPr>
        <w:pStyle w:val="zGTC03"/>
      </w:pPr>
      <w:r w:rsidRPr="00067357">
        <w:rPr>
          <w:b/>
          <w:bCs/>
        </w:rPr>
        <w:t>Required BMPs</w:t>
      </w:r>
      <w:r>
        <w:t xml:space="preserve">. </w:t>
      </w:r>
      <w:r w:rsidR="00067357">
        <w:t>T</w:t>
      </w:r>
      <w:r w:rsidRPr="00540449" w:rsidR="00067357">
        <w:t xml:space="preserve">hroughout the Term, Seller must comply with all Required BMPs </w:t>
      </w:r>
      <w:r w:rsidR="00D8501B">
        <w:t>applicable to</w:t>
      </w:r>
      <w:r w:rsidRPr="00540449" w:rsidR="00067357">
        <w:t xml:space="preserve"> the </w:t>
      </w:r>
      <w:r w:rsidR="00067357">
        <w:t xml:space="preserve">Site or the Facility, including the </w:t>
      </w:r>
      <w:r w:rsidRPr="00540449" w:rsidR="00067357">
        <w:t>design, construction, ownership, operation, maintenance, and decommissioning (if applicable) of the Facility. “</w:t>
      </w:r>
      <w:r w:rsidRPr="00540449" w:rsidR="00067357">
        <w:rPr>
          <w:b/>
        </w:rPr>
        <w:t>Required BMPs</w:t>
      </w:r>
      <w:r w:rsidRPr="00540449" w:rsidR="00067357">
        <w:t>” are those “</w:t>
      </w:r>
      <w:r w:rsidRPr="00540449" w:rsidR="00067357">
        <w:rPr>
          <w:bCs/>
          <w:u w:color="0000FF"/>
        </w:rPr>
        <w:t>Best Management Practices” required by a Governmental Authority as made available</w:t>
      </w:r>
      <w:r w:rsidRPr="00A4172A" w:rsidR="00067357">
        <w:rPr>
          <w:bCs/>
        </w:rPr>
        <w:t xml:space="preserve"> </w:t>
      </w:r>
      <w:r w:rsidR="00A4172A">
        <w:rPr>
          <w:bCs/>
        </w:rPr>
        <w:t xml:space="preserve">at </w:t>
      </w:r>
      <w:hyperlink w:history="1" r:id="rId22">
        <w:r w:rsidRPr="00A4172A" w:rsidR="00A4172A">
          <w:rPr>
            <w:rStyle w:val="Hyperlink"/>
            <w:bCs/>
          </w:rPr>
          <w:t>https://gadnr.org</w:t>
        </w:r>
      </w:hyperlink>
      <w:r w:rsidR="00067357">
        <w:rPr>
          <w:bCs/>
        </w:rPr>
        <w:t xml:space="preserve"> or, for a facility outside Georgia, similar best management practices applicable in the state where the Facility is located, in each case whether in effect as of the </w:t>
      </w:r>
      <w:r w:rsidRPr="00155A83" w:rsidR="00067357">
        <w:rPr>
          <w:bCs/>
        </w:rPr>
        <w:t>Effective Date or implemented during the Term.</w:t>
      </w:r>
      <w:r w:rsidR="00067357">
        <w:rPr>
          <w:bCs/>
        </w:rPr>
        <w:t xml:space="preserve"> Seller</w:t>
      </w:r>
      <w:r w:rsidRPr="00540449" w:rsidR="00067357">
        <w:t xml:space="preserve"> </w:t>
      </w:r>
      <w:r w:rsidR="00067357">
        <w:t>is</w:t>
      </w:r>
      <w:r w:rsidRPr="00540449" w:rsidR="00067357">
        <w:t xml:space="preserve"> responsible for all costs, expenses, charges, and fees concerning all compliance required in </w:t>
      </w:r>
      <w:proofErr w:type="gramStart"/>
      <w:r w:rsidRPr="00540449" w:rsidR="00067357">
        <w:t>this Section</w:t>
      </w:r>
      <w:proofErr w:type="gramEnd"/>
      <w:r w:rsidRPr="00540449" w:rsidR="00067357">
        <w:t xml:space="preserve"> 17.</w:t>
      </w:r>
      <w:r w:rsidR="00687625">
        <w:t>5</w:t>
      </w:r>
      <w:r w:rsidR="00067357">
        <w:t>.1 (</w:t>
      </w:r>
      <w:r w:rsidRPr="007625DD" w:rsidR="00067357">
        <w:rPr>
          <w:i/>
          <w:iCs/>
        </w:rPr>
        <w:t>Required BMPs</w:t>
      </w:r>
      <w:r w:rsidR="00067357">
        <w:t>), subject to Seller’s rights under Section 17.1 (</w:t>
      </w:r>
      <w:r w:rsidRPr="00455335" w:rsidR="00067357">
        <w:rPr>
          <w:i/>
          <w:iCs/>
        </w:rPr>
        <w:t>Change of Law</w:t>
      </w:r>
      <w:r w:rsidR="00067357">
        <w:t>), if applicable.</w:t>
      </w:r>
    </w:p>
    <w:p w:rsidRPr="006E0A0D" w:rsidR="00BA4496" w:rsidP="00BA4496" w:rsidRDefault="00BA4496" w14:paraId="2AA33426" w14:textId="22F3872E">
      <w:pPr>
        <w:pStyle w:val="zGTC03"/>
      </w:pPr>
      <w:r w:rsidRPr="00BA4496">
        <w:rPr>
          <w:b/>
          <w:bCs/>
        </w:rPr>
        <w:t>Environmental Recommendations.</w:t>
      </w:r>
      <w:r w:rsidRPr="002E12F7">
        <w:t xml:space="preserve"> </w:t>
      </w:r>
      <w:r>
        <w:t xml:space="preserve">Throughout the Term, </w:t>
      </w:r>
      <w:r w:rsidRPr="002E12F7" w:rsidR="00074338">
        <w:t xml:space="preserve">to the extent commercially practicable, Seller must comply with all Environmental Recommendations </w:t>
      </w:r>
      <w:r w:rsidR="00A80528">
        <w:t>applicable to</w:t>
      </w:r>
      <w:r w:rsidRPr="002E12F7" w:rsidR="00074338">
        <w:t xml:space="preserve"> the </w:t>
      </w:r>
      <w:r w:rsidR="00074338">
        <w:t xml:space="preserve">Site or the Facility, including the </w:t>
      </w:r>
      <w:r w:rsidRPr="002E12F7" w:rsidR="00074338">
        <w:t>design, construction, ownership, operation, maintenance, and decommissioning (if applicable) of the Facility. “</w:t>
      </w:r>
      <w:r w:rsidRPr="002E12F7" w:rsidR="00074338">
        <w:rPr>
          <w:b/>
          <w:bCs/>
        </w:rPr>
        <w:t>Environmental Recommendations</w:t>
      </w:r>
      <w:r w:rsidRPr="002E12F7" w:rsidR="00074338">
        <w:t xml:space="preserve">” </w:t>
      </w:r>
      <w:r w:rsidR="00A069D1">
        <w:t>mean</w:t>
      </w:r>
      <w:r w:rsidRPr="002E12F7" w:rsidR="00074338">
        <w:t xml:space="preserve"> non-binding recommendations made pursuant to Environmental Law or by a Governmental Authority</w:t>
      </w:r>
      <w:r w:rsidR="00BA38F5">
        <w:t xml:space="preserve"> published before or during the Term</w:t>
      </w:r>
      <w:r w:rsidRPr="002E12F7" w:rsidR="00074338">
        <w:t xml:space="preserve">, including </w:t>
      </w:r>
      <w:r w:rsidR="00BA38F5">
        <w:t>those</w:t>
      </w:r>
      <w:r w:rsidRPr="002E12F7" w:rsidR="00074338">
        <w:t xml:space="preserve"> regarding: (</w:t>
      </w:r>
      <w:proofErr w:type="spellStart"/>
      <w:r w:rsidRPr="002E12F7" w:rsidR="00074338">
        <w:t>i</w:t>
      </w:r>
      <w:proofErr w:type="spellEnd"/>
      <w:r w:rsidRPr="002E12F7" w:rsidR="00074338">
        <w:t xml:space="preserve">) studies or assessments of the actual or potential impacts of the Facility on the environment, wildlife, or cultural resources, (ii) the mitigation or avoidance of environmental impacts, including mitigation measures to reduce or avoid impacts to environmental, wildlife, or cultural resources, </w:t>
      </w:r>
      <w:r w:rsidR="00D95E9D">
        <w:t>such as</w:t>
      </w:r>
      <w:r w:rsidRPr="002E12F7" w:rsidR="00074338">
        <w:t xml:space="preserve"> any species conservation strategy, conservation agreement, or cultural resources treatment plan</w:t>
      </w:r>
      <w:r w:rsidR="00D95E9D">
        <w:t xml:space="preserve">; and (iii) for a Facility located in Georgia, recommended practices published by the Georgia DNR and made available </w:t>
      </w:r>
      <w:r w:rsidR="00E7609A">
        <w:t xml:space="preserve">at </w:t>
      </w:r>
      <w:hyperlink w:history="1" r:id="rId23">
        <w:r w:rsidRPr="00780741" w:rsidR="00E7609A">
          <w:rPr>
            <w:rStyle w:val="Hyperlink"/>
          </w:rPr>
          <w:t>https://gadnr.org</w:t>
        </w:r>
      </w:hyperlink>
      <w:r w:rsidR="00E7609A">
        <w:t>.</w:t>
      </w:r>
      <w:r w:rsidRPr="002E12F7" w:rsidR="00074338">
        <w:t xml:space="preserve"> Seller’s compliance with</w:t>
      </w:r>
      <w:r w:rsidR="00AD3405">
        <w:t xml:space="preserve"> </w:t>
      </w:r>
      <w:r w:rsidRPr="002E12F7" w:rsidR="00074338">
        <w:t>Environmental Recommendations includes</w:t>
      </w:r>
      <w:r w:rsidR="005309E0">
        <w:t>, to the extent commercially practicable,</w:t>
      </w:r>
      <w:r w:rsidRPr="002E12F7" w:rsidR="00074338">
        <w:t xml:space="preserve"> adopting, maintaining, and updating policies and procedures in accordance with </w:t>
      </w:r>
      <w:r w:rsidR="00A130BE">
        <w:t>the Environmental Recommendations</w:t>
      </w:r>
      <w:r w:rsidRPr="002E12F7" w:rsidR="00074338">
        <w:t>. Accordingly, on a regular basis throughout the Term, Seller must review Environmental Recommendations and updates to Environmental Recommendations and take steps to comply with the same in accordance with this Section 17.</w:t>
      </w:r>
      <w:r w:rsidR="00EC6DC4">
        <w:t>5</w:t>
      </w:r>
      <w:r w:rsidRPr="002E12F7" w:rsidR="00074338">
        <w:t>.2 (</w:t>
      </w:r>
      <w:r w:rsidRPr="002E12F7" w:rsidR="00074338">
        <w:rPr>
          <w:i/>
          <w:iCs/>
        </w:rPr>
        <w:t>Environmental Recommendations</w:t>
      </w:r>
      <w:r w:rsidRPr="002E12F7" w:rsidR="00074338">
        <w:t>). Seller is responsible for all costs, expenses, charges, and fees concerning all compliance required in this Section 17.</w:t>
      </w:r>
      <w:r w:rsidR="00EC6DC4">
        <w:t>5</w:t>
      </w:r>
      <w:r w:rsidRPr="002E12F7" w:rsidR="00074338">
        <w:t>.2.</w:t>
      </w:r>
    </w:p>
    <w:p w:rsidRPr="006E0A0D" w:rsidR="00D96326" w:rsidP="00BA4496" w:rsidRDefault="00D96326" w14:paraId="61AD0604" w14:textId="77777777">
      <w:pPr>
        <w:pStyle w:val="zGTC02"/>
        <w:rPr>
          <w:rFonts w:ascii="Arial" w:hAnsi="Arial" w:eastAsia="PMingLiU" w:cs="Arial"/>
          <w:vanish/>
          <w:szCs w:val="20"/>
          <w:specVanish/>
        </w:rPr>
      </w:pPr>
      <w:bookmarkStart w:name="_Toc158035200" w:id="273"/>
      <w:bookmarkStart w:name="_Toc212475733" w:id="274"/>
      <w:bookmarkStart w:name="_Toc227838431" w:id="275"/>
      <w:r>
        <w:t>Wildlife.</w:t>
      </w:r>
      <w:bookmarkEnd w:id="273"/>
      <w:bookmarkEnd w:id="274"/>
      <w:bookmarkEnd w:id="275"/>
    </w:p>
    <w:p w:rsidRPr="006E0A0D" w:rsidR="00D96326" w:rsidRDefault="00D96326" w14:paraId="45CCA018" w14:textId="52E688F7">
      <w:pPr>
        <w:pStyle w:val="zGNormal"/>
      </w:pPr>
      <w:r>
        <w:t xml:space="preserve"> If any species survey or study indicates that a direct or indirect taking of wildlife listed as threatened, endangered, or other special status under Environmental Laws, or any impacts to habitat of such wildlife, will occur as a result of development or construction activities (including due to grading, ground disturbance, tree clearing, or nest removal) or during operation of the Facility, Seller will consult with the relevant Governmental Authority to determine whether incidental take authorization or a species habitat conservation or management plan is required under Environmental Laws for the Facility or the Site. If required by any permit, Seller will develop and share with GPC a plan for addressing such impacts. During development and construction </w:t>
      </w:r>
      <w:r>
        <w:lastRenderedPageBreak/>
        <w:t>of the Facility, any wildlife protected by Environmental Laws discovered on the Site must be reported by Seller in accordance with any applicable conservation or management plans.</w:t>
      </w:r>
    </w:p>
    <w:p w:rsidRPr="006E0A0D" w:rsidR="00675438" w:rsidP="00675438" w:rsidRDefault="00D96326" w14:paraId="1122D4DA" w14:textId="77777777">
      <w:pPr>
        <w:pStyle w:val="zGTC02"/>
        <w:rPr>
          <w:rFonts w:ascii="Arial" w:hAnsi="Arial" w:eastAsia="PMingLiU" w:cs="Arial"/>
          <w:vanish/>
          <w:szCs w:val="20"/>
          <w:specVanish/>
        </w:rPr>
      </w:pPr>
      <w:bookmarkStart w:name="_Toc158035201" w:id="276"/>
      <w:bookmarkStart w:name="_Toc212475734" w:id="277"/>
      <w:bookmarkStart w:name="_Toc227838432" w:id="278"/>
      <w:r>
        <w:t>Notices of Violations and Potential Violations; NOV Remediation Plan.</w:t>
      </w:r>
      <w:bookmarkEnd w:id="276"/>
      <w:bookmarkEnd w:id="277"/>
      <w:bookmarkEnd w:id="278"/>
    </w:p>
    <w:p w:rsidRPr="006E0A0D" w:rsidR="00D96326" w:rsidP="00675438" w:rsidRDefault="00D96326" w14:paraId="56268DFC" w14:textId="004C78DB">
      <w:pPr>
        <w:pStyle w:val="zGTC02"/>
        <w:numPr>
          <w:ilvl w:val="0"/>
          <w:numId w:val="0"/>
        </w:numPr>
      </w:pPr>
      <w:r>
        <w:t xml:space="preserve"> </w:t>
      </w:r>
    </w:p>
    <w:p w:rsidRPr="006E0A0D" w:rsidR="00D96326" w:rsidP="00D96326" w:rsidRDefault="00D96326" w14:paraId="2021F183" w14:textId="2573B855">
      <w:pPr>
        <w:pStyle w:val="zGTC03"/>
        <w:ind w:left="648"/>
      </w:pPr>
      <w:r>
        <w:rPr>
          <w:b/>
          <w:bCs/>
        </w:rPr>
        <w:t xml:space="preserve">Notices of Violations. </w:t>
      </w:r>
      <w:r>
        <w:t>Within seven Days after receipt, Seller must provide GPC with copies of any written notification from any Governmental Authority alleging that Seller is in violation of any law, including any Environmental Law applicable to Facility</w:t>
      </w:r>
      <w:r w:rsidR="00E11BDB">
        <w:t>, including any Unit,</w:t>
      </w:r>
      <w:r>
        <w:t xml:space="preserve"> or the Site with respect to the design, construction, ownership, operation, maintenance, or decommissioning of the Facility</w:t>
      </w:r>
      <w:r w:rsidR="00E11BDB">
        <w:t>, including any Unit</w:t>
      </w:r>
      <w:r>
        <w:t xml:space="preserve"> (an “</w:t>
      </w:r>
      <w:r>
        <w:rPr>
          <w:b/>
          <w:bCs/>
        </w:rPr>
        <w:t>NOV</w:t>
      </w:r>
      <w:r>
        <w:t>”).</w:t>
      </w:r>
    </w:p>
    <w:p w:rsidRPr="006E0A0D" w:rsidR="00D96326" w:rsidP="00D96326" w:rsidRDefault="00D96326" w14:paraId="513AF6D2" w14:textId="5BC4F909">
      <w:pPr>
        <w:pStyle w:val="zGTC03"/>
        <w:ind w:left="648"/>
      </w:pPr>
      <w:r>
        <w:rPr>
          <w:b/>
          <w:bCs/>
        </w:rPr>
        <w:t xml:space="preserve">NOV Remedy Plan. </w:t>
      </w:r>
      <w:r w:rsidR="0058437F">
        <w:t>If (</w:t>
      </w:r>
      <w:proofErr w:type="spellStart"/>
      <w:r w:rsidR="0058437F">
        <w:t>i</w:t>
      </w:r>
      <w:proofErr w:type="spellEnd"/>
      <w:r w:rsidR="0058437F">
        <w:t>) an NOV impacts, or is reasonably expected to impact, Seller’s performance of its PPA obligations; and (ii) GPC requests a remedy plan from Seller in writing,</w:t>
      </w:r>
      <w:r>
        <w:t xml:space="preserve"> Seller must prepare and submit to GPC an “</w:t>
      </w:r>
      <w:r>
        <w:rPr>
          <w:b/>
          <w:bCs/>
        </w:rPr>
        <w:t xml:space="preserve">NOV </w:t>
      </w:r>
      <w:r>
        <w:rPr>
          <w:b/>
        </w:rPr>
        <w:t>Remedy Plan</w:t>
      </w:r>
      <w:r>
        <w:t xml:space="preserve">” setting forth Seller’s </w:t>
      </w:r>
      <w:r>
        <w:rPr>
          <w:rFonts w:cs="Arial"/>
        </w:rPr>
        <w:t xml:space="preserve">plan and schedule for mitigation and other remedial measures to cure </w:t>
      </w:r>
      <w:r>
        <w:t>the NOV as soon as reasonably practicable and in accordance with any requirements of any applicable Governmental Authority</w:t>
      </w:r>
      <w:r>
        <w:rPr>
          <w:rFonts w:cs="Arial"/>
        </w:rPr>
        <w:t>.</w:t>
      </w:r>
      <w:r>
        <w:t xml:space="preserve"> </w:t>
      </w:r>
      <w:r>
        <w:rPr>
          <w:rFonts w:cs="Arial"/>
        </w:rPr>
        <w:t>Seller must diligently pursue the performance of the NOV Remedy Plan to completion</w:t>
      </w:r>
      <w:r>
        <w:t>.</w:t>
      </w:r>
    </w:p>
    <w:p w:rsidR="00D96326" w:rsidP="00D96326" w:rsidRDefault="00D96326" w14:paraId="5E1BB406" w14:textId="77777777">
      <w:pPr>
        <w:pStyle w:val="zGTC03"/>
        <w:ind w:left="648"/>
      </w:pPr>
      <w:r>
        <w:rPr>
          <w:b/>
          <w:bCs/>
        </w:rPr>
        <w:t>Monthly Status Reports and Updates to NOV Remedy Plan</w:t>
      </w:r>
      <w:r>
        <w:t xml:space="preserve">. While an NOV Remedy Plan is in effect, Seller must provide Monthly status reports to GPC, notifying GPC of </w:t>
      </w:r>
      <w:r>
        <w:rPr>
          <w:rFonts w:cs="Arial"/>
        </w:rPr>
        <w:t xml:space="preserve">the implementation of the NOV Remedy Plan, including </w:t>
      </w:r>
      <w:r>
        <w:t xml:space="preserve">the steps taken to remedy the NOV, </w:t>
      </w:r>
      <w:r>
        <w:rPr>
          <w:rFonts w:cs="Arial"/>
        </w:rPr>
        <w:t>any change to the NOV Remedy Plan,</w:t>
      </w:r>
      <w:r>
        <w:t xml:space="preserve"> any impact on Seller’s performance of its obligations under this PPA</w:t>
      </w:r>
      <w:r>
        <w:rPr>
          <w:rFonts w:cs="Arial"/>
        </w:rPr>
        <w:t xml:space="preserve">, as well as any additional relevant information as may be reasonably requested by GPC. Seller </w:t>
      </w:r>
      <w:r>
        <w:t>must modify the NOV Remedy Plan if and as required to comply with any requirement of any applicable law or Governmental Authority.</w:t>
      </w:r>
    </w:p>
    <w:p w:rsidRPr="006E0A0D" w:rsidR="00D96326" w:rsidP="00D96326" w:rsidRDefault="00D96326" w14:paraId="1E86B61A" w14:textId="77777777">
      <w:pPr>
        <w:pStyle w:val="zGTC01"/>
        <w:rPr>
          <w:rFonts w:ascii="Arial" w:hAnsi="Arial"/>
          <w:szCs w:val="20"/>
        </w:rPr>
      </w:pPr>
      <w:bookmarkStart w:name="_Toc212475735" w:id="279"/>
      <w:bookmarkStart w:name="_Toc227838433" w:id="280"/>
      <w:r>
        <w:rPr>
          <w:rFonts w:ascii="Arial" w:hAnsi="Arial"/>
          <w:szCs w:val="20"/>
        </w:rPr>
        <w:t>Assignment, Transfers, and Changes of Control</w:t>
      </w:r>
      <w:bookmarkEnd w:id="279"/>
      <w:bookmarkEnd w:id="280"/>
    </w:p>
    <w:p w:rsidRPr="006E0A0D" w:rsidR="004A3325" w:rsidP="004A3325" w:rsidRDefault="00D96326" w14:paraId="7AB14D40" w14:textId="67B5EC90">
      <w:pPr>
        <w:pStyle w:val="zGTC02"/>
        <w:rPr>
          <w:rFonts w:ascii="Arial" w:hAnsi="Arial" w:eastAsia="PMingLiU" w:cs="Arial"/>
          <w:vanish/>
          <w:szCs w:val="20"/>
          <w:specVanish/>
        </w:rPr>
      </w:pPr>
      <w:bookmarkStart w:name="_Toc212475736" w:id="281"/>
      <w:bookmarkStart w:name="_Toc227838434" w:id="282"/>
      <w:r>
        <w:rPr>
          <w:rFonts w:ascii="Arial" w:hAnsi="Arial" w:cs="Arial"/>
        </w:rPr>
        <w:t>Assignment, Transfers, and Changes of Control.</w:t>
      </w:r>
      <w:bookmarkEnd w:id="281"/>
      <w:bookmarkEnd w:id="282"/>
    </w:p>
    <w:p w:rsidRPr="006E0A0D" w:rsidR="00D96326" w:rsidP="004A3325" w:rsidRDefault="6304B687" w14:paraId="3104BECA" w14:textId="494143DA">
      <w:pPr>
        <w:pStyle w:val="zGTC02"/>
        <w:numPr>
          <w:ilvl w:val="0"/>
          <w:numId w:val="0"/>
        </w:numPr>
        <w:rPr>
          <w:rFonts w:ascii="Arial" w:hAnsi="Arial" w:eastAsia="PMingLiU" w:cs="Arial"/>
          <w:specVanish/>
        </w:rPr>
      </w:pPr>
      <w:r>
        <w:rPr>
          <w:rFonts w:ascii="Arial" w:hAnsi="Arial" w:cs="Arial"/>
        </w:rPr>
        <w:t xml:space="preserve"> </w:t>
      </w:r>
    </w:p>
    <w:p w:rsidRPr="000379DA" w:rsidR="00D96326" w:rsidP="000A2525" w:rsidRDefault="310EF507" w14:paraId="28FE1380" w14:textId="3C15C51D">
      <w:pPr>
        <w:pStyle w:val="zGTC03"/>
        <w:rPr>
          <w:rFonts w:cs="Arial"/>
        </w:rPr>
      </w:pPr>
      <w:r>
        <w:rPr>
          <w:b/>
          <w:bCs/>
        </w:rPr>
        <w:t xml:space="preserve">Assignment by Seller. </w:t>
      </w:r>
      <w:r>
        <w:rPr>
          <w:rFonts w:cs="Arial"/>
        </w:rPr>
        <w:t>Except as expressly provided in Section 18.2 (</w:t>
      </w:r>
      <w:r>
        <w:rPr>
          <w:rFonts w:cs="Arial"/>
          <w:i/>
          <w:iCs/>
        </w:rPr>
        <w:t>Financing Assignment; Estoppels</w:t>
      </w:r>
      <w:r>
        <w:rPr>
          <w:rFonts w:cs="Arial"/>
        </w:rPr>
        <w:t>),</w:t>
      </w:r>
      <w:r>
        <w:rPr>
          <w:rFonts w:cs="Arial"/>
          <w:b/>
          <w:bCs/>
        </w:rPr>
        <w:t xml:space="preserve"> </w:t>
      </w:r>
      <w:r>
        <w:rPr>
          <w:rFonts w:cs="Arial"/>
        </w:rPr>
        <w:t>Seller must not assign this PPA in whole or in part to any Person without the</w:t>
      </w:r>
      <w:r>
        <w:rPr>
          <w:rFonts w:cs="Arial"/>
          <w:b/>
          <w:bCs/>
        </w:rPr>
        <w:t xml:space="preserve"> </w:t>
      </w:r>
      <w:r>
        <w:rPr>
          <w:rFonts w:cs="Arial"/>
        </w:rPr>
        <w:t>prior written consent of GPC. Any proposed assignee of this PPA must: (</w:t>
      </w:r>
      <w:proofErr w:type="spellStart"/>
      <w:r>
        <w:rPr>
          <w:rFonts w:cs="Arial"/>
        </w:rPr>
        <w:t>i</w:t>
      </w:r>
      <w:proofErr w:type="spellEnd"/>
      <w:r>
        <w:rPr>
          <w:rFonts w:cs="Arial"/>
        </w:rPr>
        <w:t>) agree to assume Seller’s obligations under this PPA and provide assurances of its ability to perform all PPA obligations; (ii) deliver, on GPC’s reasonable request, assurances of its Creditworthiness and, if applicable, Eligible Collateral; and (iii) cooperate with GPC to comply with any legal requirement that results from such assignment.</w:t>
      </w:r>
    </w:p>
    <w:p w:rsidR="6D93DD05" w:rsidP="000A2525" w:rsidRDefault="00D96326" w14:paraId="08B37A50" w14:textId="5EF3DBAF">
      <w:pPr>
        <w:pStyle w:val="zGTC03"/>
        <w:rPr>
          <w:rFonts w:cs="Arial"/>
        </w:rPr>
      </w:pPr>
      <w:r>
        <w:rPr>
          <w:rFonts w:cs="Arial"/>
          <w:b/>
        </w:rPr>
        <w:t>Release</w:t>
      </w:r>
      <w:r>
        <w:rPr>
          <w:rFonts w:cs="Arial"/>
          <w:b/>
          <w:bCs/>
        </w:rPr>
        <w:t>.</w:t>
      </w:r>
      <w:r>
        <w:rPr>
          <w:rFonts w:cs="Arial"/>
        </w:rPr>
        <w:t xml:space="preserve"> Any assignment of this PPA made in compliance with Section 18.1.1 (</w:t>
      </w:r>
      <w:r>
        <w:rPr>
          <w:rFonts w:cs="Arial"/>
          <w:i/>
        </w:rPr>
        <w:t>Assignment</w:t>
      </w:r>
      <w:r>
        <w:rPr>
          <w:rFonts w:cs="Arial"/>
          <w:i/>
          <w:iCs/>
        </w:rPr>
        <w:t xml:space="preserve"> by Seller</w:t>
      </w:r>
      <w:r>
        <w:rPr>
          <w:rFonts w:cs="Arial"/>
        </w:rPr>
        <w:t>) will constitute, as of the effective date of the assignment, an acceptance and assumption by assignee of all obligations under this PPA, and a release and discharge by GPC of Seller from all obligations under this PPA arising after the effective date of the assignment.</w:t>
      </w:r>
    </w:p>
    <w:p w:rsidRPr="006E0A0D" w:rsidR="00D96326" w:rsidP="00F34BD4" w:rsidRDefault="00D96326" w14:paraId="5F33EFB1" w14:textId="2E92B526">
      <w:pPr>
        <w:pStyle w:val="zGTC03"/>
      </w:pPr>
      <w:bookmarkStart w:name="_Toc212475737" w:id="283"/>
      <w:r>
        <w:rPr>
          <w:b/>
        </w:rPr>
        <w:t>Assignment by GPC</w:t>
      </w:r>
      <w:bookmarkEnd w:id="283"/>
      <w:r>
        <w:rPr>
          <w:b/>
        </w:rPr>
        <w:t xml:space="preserve">. </w:t>
      </w:r>
      <w:r>
        <w:t>GPC may not assign this PPA or any portion of this PPA to any Person without the prior written consent of Seller. However, GPC may, without the consent of Seller and with the approval of the Commission, assign this PPA to a</w:t>
      </w:r>
      <w:r w:rsidR="00C808D0">
        <w:t xml:space="preserve"> Creditworthy</w:t>
      </w:r>
      <w:r>
        <w:t xml:space="preserve"> Affiliate subject to the jurisdiction of a state regulatory commission.</w:t>
      </w:r>
    </w:p>
    <w:p w:rsidRPr="000A2525" w:rsidR="00D96326" w:rsidP="00D6514B" w:rsidRDefault="00D96326" w14:paraId="3852A3D4" w14:textId="431FA0B9">
      <w:pPr>
        <w:pStyle w:val="zGTC03"/>
        <w:rPr>
          <w:rFonts w:eastAsia="Arial"/>
        </w:rPr>
      </w:pPr>
      <w:r>
        <w:rPr>
          <w:rFonts w:eastAsia="Arial" w:cs="Arial"/>
          <w:b/>
        </w:rPr>
        <w:t>Transfer</w:t>
      </w:r>
      <w:r>
        <w:rPr>
          <w:rFonts w:eastAsia="Arial" w:cs="Arial"/>
          <w:b/>
          <w:szCs w:val="20"/>
        </w:rPr>
        <w:t>;</w:t>
      </w:r>
      <w:r>
        <w:rPr>
          <w:rFonts w:eastAsia="Arial" w:cs="Arial"/>
          <w:b/>
        </w:rPr>
        <w:t xml:space="preserve"> Change of Control.</w:t>
      </w:r>
      <w:r>
        <w:rPr>
          <w:rFonts w:eastAsia="Arial"/>
          <w:b/>
        </w:rPr>
        <w:t xml:space="preserve"> </w:t>
      </w:r>
      <w:r>
        <w:rPr>
          <w:rFonts w:eastAsia="Arial"/>
        </w:rPr>
        <w:t>Seller agrees that, without the prior written consent of GPC, there will be no: (</w:t>
      </w:r>
      <w:proofErr w:type="spellStart"/>
      <w:r>
        <w:rPr>
          <w:rFonts w:eastAsia="Arial"/>
        </w:rPr>
        <w:t>i</w:t>
      </w:r>
      <w:proofErr w:type="spellEnd"/>
      <w:r>
        <w:rPr>
          <w:rFonts w:eastAsia="Arial"/>
        </w:rPr>
        <w:t>) Change of Control Transaction with respect to Seller; or (ii) delegation by Seller of operational responsibility for the Facility</w:t>
      </w:r>
      <w:r w:rsidRPr="00642E89">
        <w:rPr>
          <w:rFonts w:eastAsia="Arial"/>
        </w:rPr>
        <w:t>.</w:t>
      </w:r>
      <w:r w:rsidRPr="00642E89" w:rsidR="00642E89">
        <w:rPr>
          <w:rFonts w:eastAsia="Arial"/>
        </w:rPr>
        <w:t xml:space="preserve"> </w:t>
      </w:r>
      <w:r w:rsidRPr="00642E89" w:rsidR="00642E89">
        <w:t xml:space="preserve">For the avoidance of doubt, nothing in Section 18.1.4(ii) </w:t>
      </w:r>
      <w:r w:rsidR="00192F3A">
        <w:t>(</w:t>
      </w:r>
      <w:r w:rsidRPr="00192F3A" w:rsidR="00192F3A">
        <w:rPr>
          <w:i/>
          <w:iCs/>
        </w:rPr>
        <w:t>Transfer; Change of Control</w:t>
      </w:r>
      <w:proofErr w:type="gramStart"/>
      <w:r w:rsidR="00192F3A">
        <w:t xml:space="preserve">) </w:t>
      </w:r>
      <w:r w:rsidR="00D67D5A">
        <w:t>;</w:t>
      </w:r>
      <w:proofErr w:type="gramEnd"/>
      <w:r w:rsidR="00D67D5A">
        <w:t xml:space="preserve"> </w:t>
      </w:r>
      <w:r w:rsidRPr="00642E89" w:rsidR="00642E89">
        <w:t>will be construed to prohibit Seller from engaging qualified contractors for discrete services related to day-to-day Facility operations without GPC’s prior written consent</w:t>
      </w:r>
      <w:r w:rsidRPr="00642E89" w:rsidR="00642E89">
        <w:rPr>
          <w:rFonts w:eastAsia="Arial"/>
        </w:rPr>
        <w:t>.</w:t>
      </w:r>
      <w:r w:rsidRPr="00F21356" w:rsidR="00642E89">
        <w:rPr>
          <w:bCs/>
        </w:rPr>
        <w:t xml:space="preserve"> </w:t>
      </w:r>
      <w:r>
        <w:rPr>
          <w:rFonts w:eastAsia="Arial"/>
        </w:rPr>
        <w:t xml:space="preserve">Seller, without GPC’s consent, may enter into a Reorganization Transaction so long as: (a) Seller provides notice to GPC at least 30 Days before the anticipated effective date of the proposed transaction; and (b) the Reorganization Transaction does not: (1) limit GPC’s rights under this PPA; (2) expand the liability, risks, or obligations imposed on GPC under this PPA; (3) release or discharge Seller from any PPA obligation or liability; or (4) require substitution or amendment of (I) </w:t>
      </w:r>
      <w:r w:rsidR="00A16A07">
        <w:rPr>
          <w:rFonts w:eastAsia="Arial"/>
        </w:rPr>
        <w:t>Eligible Collateral,</w:t>
      </w:r>
      <w:r>
        <w:rPr>
          <w:rFonts w:eastAsia="Arial"/>
        </w:rPr>
        <w:t xml:space="preserve"> (II) insurance, or (III) W-9. A Reorganization Transaction that requires or will result in substitution or amendment of (I) Eligible Collateral, (II) insurance, or (III) W-9, will be documented and treated as if it were an assignment of this PPA and Section 18.1.1 (</w:t>
      </w:r>
      <w:r>
        <w:rPr>
          <w:rFonts w:eastAsia="Arial"/>
          <w:i/>
        </w:rPr>
        <w:t>Assignment by Seller</w:t>
      </w:r>
      <w:r>
        <w:rPr>
          <w:rFonts w:eastAsia="Arial"/>
        </w:rPr>
        <w:t>) will apply.</w:t>
      </w:r>
    </w:p>
    <w:p w:rsidR="00D96326" w:rsidP="00D6514B" w:rsidRDefault="4587F9FC" w14:paraId="16A40A28" w14:textId="6FC4DC96">
      <w:pPr>
        <w:pStyle w:val="zGTC03"/>
      </w:pPr>
      <w:r>
        <w:rPr>
          <w:rFonts w:eastAsia="Arial"/>
          <w:b/>
          <w:bCs/>
        </w:rPr>
        <w:t>Request for Consent</w:t>
      </w:r>
      <w:r>
        <w:rPr>
          <w:rFonts w:eastAsia="Arial"/>
        </w:rPr>
        <w:t>. When GPC’s consent is required under Sections 18.1.1 (</w:t>
      </w:r>
      <w:r>
        <w:rPr>
          <w:rFonts w:eastAsia="Arial"/>
          <w:i/>
          <w:iCs/>
        </w:rPr>
        <w:t>Assignment by Seller</w:t>
      </w:r>
      <w:r>
        <w:rPr>
          <w:rFonts w:eastAsia="Arial"/>
        </w:rPr>
        <w:t>) or 18.1.4 (</w:t>
      </w:r>
      <w:r>
        <w:rPr>
          <w:rFonts w:eastAsia="Arial"/>
          <w:i/>
          <w:iCs/>
        </w:rPr>
        <w:t>Transfer; Change of Control</w:t>
      </w:r>
      <w:r>
        <w:rPr>
          <w:rFonts w:eastAsia="Arial"/>
        </w:rPr>
        <w:t>),</w:t>
      </w:r>
      <w:r>
        <w:rPr>
          <w:b/>
          <w:bCs/>
        </w:rPr>
        <w:t xml:space="preserve"> </w:t>
      </w:r>
      <w:r>
        <w:t>Seller must: (</w:t>
      </w:r>
      <w:proofErr w:type="spellStart"/>
      <w:r>
        <w:t>i</w:t>
      </w:r>
      <w:proofErr w:type="spellEnd"/>
      <w:r>
        <w:t>) request GPC’s consent to the transaction</w:t>
      </w:r>
      <w:r>
        <w:rPr>
          <w:i/>
          <w:iCs/>
        </w:rPr>
        <w:t xml:space="preserve"> </w:t>
      </w:r>
      <w:r>
        <w:lastRenderedPageBreak/>
        <w:t>by providing notice  at least 30 Days before the anticipated effective date of the proposed transaction; and (ii) receive GPC’s written consent. GPC and Seller will cooperate to finalize the form of written consent between the relevant parties. Subject to Seller’s satisfaction of all applicable provisions of Sections 18.1 (</w:t>
      </w:r>
      <w:r>
        <w:rPr>
          <w:i/>
          <w:iCs/>
        </w:rPr>
        <w:t>Assignment, Transfers, and Changes of Control</w:t>
      </w:r>
      <w:r>
        <w:t>) through 18.4 (</w:t>
      </w:r>
      <w:r>
        <w:rPr>
          <w:i/>
          <w:iCs/>
        </w:rPr>
        <w:t>General Requirements</w:t>
      </w:r>
      <w:r>
        <w:t xml:space="preserve">), GPC will seek any required Consent from the Commission after GPC is satisfied that: (a) Seller’s transaction is final but for such Consent; (b) a plan for any replacement of Eligible Collateral is satisfactory and sufficient; and (c) any required accounting determination </w:t>
      </w:r>
      <w:r w:rsidR="00A93D49">
        <w:t>has</w:t>
      </w:r>
      <w:r>
        <w:t xml:space="preserve"> been made by GPC and </w:t>
      </w:r>
      <w:r w:rsidR="00A93D49">
        <w:t>is</w:t>
      </w:r>
      <w:r>
        <w:t xml:space="preserve"> acceptable.</w:t>
      </w:r>
    </w:p>
    <w:p w:rsidRPr="005048ED" w:rsidR="00D96326" w:rsidP="005048ED" w:rsidRDefault="00D96326" w14:paraId="3CC922E9" w14:textId="7457CCAF">
      <w:pPr>
        <w:pStyle w:val="zGTC03"/>
        <w:rPr>
          <w:rFonts w:eastAsia="Arial"/>
          <w:b/>
        </w:rPr>
      </w:pPr>
      <w:r>
        <w:rPr>
          <w:b/>
        </w:rPr>
        <w:t>Transferee Assurances.</w:t>
      </w:r>
      <w:r>
        <w:rPr>
          <w:b/>
          <w:bCs/>
        </w:rPr>
        <w:t xml:space="preserve"> </w:t>
      </w:r>
      <w:r>
        <w:t>Before any transaction requiring GPC’s consent under Section 18.1.1 (</w:t>
      </w:r>
      <w:r>
        <w:rPr>
          <w:i/>
          <w:iCs/>
        </w:rPr>
        <w:t>Assignment by Seller</w:t>
      </w:r>
      <w:r>
        <w:t>) or Section 18.1.4 (</w:t>
      </w:r>
      <w:r>
        <w:rPr>
          <w:i/>
          <w:iCs/>
        </w:rPr>
        <w:t>Transfer; Change of Control</w:t>
      </w:r>
      <w:r>
        <w:t>), Seller must obtain for GPC written assurances from the transferee of the limitations of and protections against liability following the proposed transfer at least equivalent to those afforded GPC and its Affiliates under this PPA. Any transfer contrary to the provisions of this Section 18.1.6 (</w:t>
      </w:r>
      <w:r>
        <w:rPr>
          <w:i/>
          <w:iCs/>
        </w:rPr>
        <w:t>Transferee Assurances</w:t>
      </w:r>
      <w:r>
        <w:t xml:space="preserve">) will make Seller the indemnitor of GPC and its Affiliates against any liabilities incurred by GPC </w:t>
      </w:r>
      <w:r w:rsidR="00CC04BA">
        <w:t>and</w:t>
      </w:r>
      <w:r>
        <w:t xml:space="preserve"> its Affiliates </w:t>
      </w:r>
      <w:proofErr w:type="gramStart"/>
      <w:r>
        <w:t>in excess of</w:t>
      </w:r>
      <w:proofErr w:type="gramEnd"/>
      <w:r>
        <w:t xml:space="preserve"> those that would have been incurred had no such transfer taken place. If Seller is not the sole owner of the </w:t>
      </w:r>
      <w:r w:rsidR="00E11BDB">
        <w:t>Facility, including any Unit</w:t>
      </w:r>
      <w:r>
        <w:t xml:space="preserve">, Seller represents and warrants that it has (and will maintain) written assurances from each other owner limitations of and protections against liability of GPC and its Affiliates with respect to each such other owner at least equivalent to that afforded GPC and its Affiliates under this PPA. Any breach of this Section 18.1.6 by Seller will make Seller the indemnitor of GPC and its Affiliates </w:t>
      </w:r>
      <w:r>
        <w:rPr>
          <w:rFonts w:eastAsia="Arial"/>
        </w:rPr>
        <w:t>against any liabilities incurred by any of them arising out of any such breach.</w:t>
      </w:r>
    </w:p>
    <w:p w:rsidRPr="006E0A0D" w:rsidR="00C910D9" w:rsidP="00C910D9" w:rsidRDefault="23D9CD7E" w14:paraId="00D92231" w14:textId="600FB8C6">
      <w:pPr>
        <w:pStyle w:val="zGTC02"/>
        <w:rPr>
          <w:rFonts w:ascii="Arial" w:hAnsi="Arial" w:eastAsia="PMingLiU" w:cs="Arial"/>
          <w:vanish/>
          <w:szCs w:val="20"/>
          <w:specVanish/>
        </w:rPr>
      </w:pPr>
      <w:bookmarkStart w:name="_Toc212475738" w:id="284"/>
      <w:bookmarkStart w:name="_Toc227838435" w:id="285"/>
      <w:r>
        <w:rPr>
          <w:rFonts w:eastAsia="Arial"/>
          <w:bCs/>
        </w:rPr>
        <w:t>Financing Assignment; Estoppels.</w:t>
      </w:r>
      <w:bookmarkEnd w:id="284"/>
      <w:bookmarkEnd w:id="285"/>
    </w:p>
    <w:p w:rsidRPr="000A2525" w:rsidR="23D9CD7E" w:rsidP="54C72364" w:rsidRDefault="006A010D" w14:paraId="01ED8C47" w14:textId="4BC07A75">
      <w:pPr>
        <w:pStyle w:val="zGNormal"/>
        <w:rPr>
          <w:rFonts w:eastAsia="Arial"/>
        </w:rPr>
      </w:pPr>
      <w:r>
        <w:rPr>
          <w:rFonts w:eastAsia="Arial"/>
        </w:rPr>
        <w:t xml:space="preserve"> Seller, without the consent of GPC, may make a Financing Assignment. GPC agrees to execute a reasonable written consent to the collateral assignment in a form acceptable to GPC if the financing party reasonably requests such consent. Upon reasonable request to GPC in connection with a Financing Assignment or any transaction for which GPC’s consent is required under Sections 18.1 (</w:t>
      </w:r>
      <w:r>
        <w:rPr>
          <w:rFonts w:eastAsia="Arial"/>
          <w:i/>
          <w:iCs/>
        </w:rPr>
        <w:t>Assignment, Transfers, and Changes of Control</w:t>
      </w:r>
      <w:r>
        <w:rPr>
          <w:rFonts w:eastAsia="Arial"/>
        </w:rPr>
        <w:t>) through 18.4 (</w:t>
      </w:r>
      <w:r>
        <w:rPr>
          <w:rFonts w:eastAsia="Arial"/>
          <w:i/>
          <w:iCs/>
        </w:rPr>
        <w:t>General Requirements</w:t>
      </w:r>
      <w:r>
        <w:rPr>
          <w:rFonts w:eastAsia="Arial"/>
        </w:rPr>
        <w:t>), inclusive, GPC will execute a written confirmation, if true, but without investigation, that to the best of GPC’s knowledge at the time of the request, Seller is not in default of this PPA.</w:t>
      </w:r>
    </w:p>
    <w:p w:rsidRPr="006E0A0D" w:rsidR="00F668FC" w:rsidP="00F668FC" w:rsidRDefault="23D9CD7E" w14:paraId="477364C3" w14:textId="3EBFEDCB">
      <w:pPr>
        <w:pStyle w:val="zGTC02"/>
        <w:rPr>
          <w:rFonts w:ascii="Arial" w:hAnsi="Arial" w:eastAsia="PMingLiU" w:cs="Arial"/>
          <w:vanish/>
          <w:szCs w:val="20"/>
          <w:specVanish/>
        </w:rPr>
      </w:pPr>
      <w:bookmarkStart w:name="_Toc212475739" w:id="286"/>
      <w:bookmarkStart w:name="_Toc227838436" w:id="287"/>
      <w:r>
        <w:rPr>
          <w:rFonts w:eastAsia="Arial"/>
          <w:bCs/>
        </w:rPr>
        <w:t>Reimbursement of GPC’s Costs</w:t>
      </w:r>
      <w:r>
        <w:rPr>
          <w:rFonts w:eastAsia="Arial"/>
        </w:rPr>
        <w:t>.</w:t>
      </w:r>
      <w:bookmarkEnd w:id="286"/>
      <w:bookmarkEnd w:id="287"/>
    </w:p>
    <w:p w:rsidR="23D9CD7E" w:rsidP="54C72364" w:rsidRDefault="23D9CD7E" w14:paraId="7FAE617D" w14:textId="2A69B9B5">
      <w:pPr>
        <w:pStyle w:val="zGNormal"/>
        <w:rPr>
          <w:rFonts w:eastAsia="Arial"/>
        </w:rPr>
      </w:pPr>
      <w:r>
        <w:rPr>
          <w:rFonts w:eastAsia="Arial"/>
        </w:rPr>
        <w:t xml:space="preserve"> Seller agrees that Seller will </w:t>
      </w:r>
      <w:proofErr w:type="gramStart"/>
      <w:r>
        <w:rPr>
          <w:rFonts w:eastAsia="Arial"/>
        </w:rPr>
        <w:t>pay to</w:t>
      </w:r>
      <w:proofErr w:type="gramEnd"/>
      <w:r>
        <w:rPr>
          <w:rFonts w:eastAsia="Arial"/>
        </w:rPr>
        <w:t xml:space="preserve"> GPC a fee of $15,000 per occurrence for each proposed transaction for which Seller requests GPC’s consent under Section 18.1.1 (</w:t>
      </w:r>
      <w:r>
        <w:rPr>
          <w:rFonts w:eastAsia="Arial"/>
          <w:i/>
          <w:iCs/>
        </w:rPr>
        <w:t>Assignment by Seller</w:t>
      </w:r>
      <w:r>
        <w:rPr>
          <w:rFonts w:eastAsia="Arial"/>
        </w:rPr>
        <w:t>) or 18.1.4 (</w:t>
      </w:r>
      <w:r>
        <w:rPr>
          <w:rFonts w:eastAsia="Arial"/>
          <w:i/>
          <w:iCs/>
        </w:rPr>
        <w:t>Transfer; Change of Control</w:t>
      </w:r>
      <w:r>
        <w:rPr>
          <w:rFonts w:eastAsia="Arial"/>
        </w:rPr>
        <w:t>) and will pay to GPC a fee of $10,000 per occurrence for each request for an estoppel under Section 18.2 (</w:t>
      </w:r>
      <w:r>
        <w:rPr>
          <w:rFonts w:eastAsia="Arial"/>
          <w:i/>
          <w:iCs/>
        </w:rPr>
        <w:t>Financing Assignment; Estoppels).</w:t>
      </w:r>
      <w:r>
        <w:rPr>
          <w:rFonts w:eastAsia="Arial"/>
        </w:rPr>
        <w:t xml:space="preserve"> For the avoidance of doubt, if Seller requests GPC’s consent under Sections 18.1.1 or 18.1.4 (</w:t>
      </w:r>
      <w:r>
        <w:rPr>
          <w:rFonts w:eastAsia="Arial"/>
          <w:i/>
          <w:iCs/>
        </w:rPr>
        <w:t>Transfer; Change of Control</w:t>
      </w:r>
      <w:r>
        <w:rPr>
          <w:rFonts w:eastAsia="Arial"/>
        </w:rPr>
        <w:t>) or an estoppel under Section 18.2, and GPC undertakes drafting of documents to provide such consent or estoppel, and Seller does not consummate the proposed transaction, GPC reserves the right, in its sole discretion, to require Seller to pay the applicable fee under this Section 18.3 (</w:t>
      </w:r>
      <w:r>
        <w:rPr>
          <w:rFonts w:eastAsia="Arial"/>
          <w:i/>
        </w:rPr>
        <w:t>Reimbursement of GPC’s Costs</w:t>
      </w:r>
      <w:r>
        <w:rPr>
          <w:rFonts w:eastAsia="Arial"/>
        </w:rPr>
        <w:t>).</w:t>
      </w:r>
    </w:p>
    <w:p w:rsidRPr="006E0A0D" w:rsidR="00973568" w:rsidP="00973568" w:rsidRDefault="23D9CD7E" w14:paraId="5C7B0CE0" w14:textId="21871544">
      <w:pPr>
        <w:pStyle w:val="zGTC02"/>
        <w:rPr>
          <w:rFonts w:ascii="Arial" w:hAnsi="Arial" w:eastAsia="PMingLiU" w:cs="Arial"/>
          <w:vanish/>
          <w:szCs w:val="20"/>
          <w:specVanish/>
        </w:rPr>
      </w:pPr>
      <w:bookmarkStart w:name="_Toc212475740" w:id="288"/>
      <w:bookmarkStart w:name="_Toc227838437" w:id="289"/>
      <w:r>
        <w:rPr>
          <w:bCs/>
        </w:rPr>
        <w:t>General Requirements</w:t>
      </w:r>
      <w:r>
        <w:t>.</w:t>
      </w:r>
      <w:bookmarkEnd w:id="288"/>
      <w:bookmarkEnd w:id="289"/>
    </w:p>
    <w:p w:rsidRPr="00F800CE" w:rsidR="23D9CD7E" w:rsidP="00CD5AFA" w:rsidRDefault="590E4C5F" w14:paraId="421D5A45" w14:textId="45DCBED0">
      <w:pPr>
        <w:pStyle w:val="zGNormal"/>
        <w:rPr>
          <w:rFonts w:eastAsia="Arial"/>
          <w:b/>
        </w:rPr>
      </w:pPr>
      <w:r>
        <w:t xml:space="preserve"> </w:t>
      </w:r>
      <w:bookmarkStart w:name="_Hlk201050793" w:id="290"/>
      <w:bookmarkStart w:name="_Toc206672581" w:id="291"/>
      <w:bookmarkStart w:name="_Toc212476191" w:id="292"/>
      <w:bookmarkStart w:name="_Toc214870294" w:id="293"/>
      <w:r w:rsidRPr="009B7688" w:rsidR="009B7688">
        <w:t xml:space="preserve"> </w:t>
      </w:r>
      <w:bookmarkEnd w:id="290"/>
      <w:bookmarkEnd w:id="291"/>
      <w:bookmarkEnd w:id="292"/>
      <w:bookmarkEnd w:id="293"/>
      <w:r w:rsidRPr="675D43C7" w:rsidR="005276D8">
        <w:t>In connection with any transaction for which GPC’s consent is required under Section 18.1.1 (</w:t>
      </w:r>
      <w:r w:rsidRPr="675D43C7" w:rsidR="005276D8">
        <w:rPr>
          <w:i/>
        </w:rPr>
        <w:t>Assignment by Seller</w:t>
      </w:r>
      <w:r w:rsidRPr="675D43C7" w:rsidR="005276D8">
        <w:t>) or 18.1.4 (</w:t>
      </w:r>
      <w:r w:rsidRPr="675D43C7" w:rsidR="005276D8">
        <w:rPr>
          <w:i/>
        </w:rPr>
        <w:t>Transfer; Change of Control</w:t>
      </w:r>
      <w:r w:rsidRPr="675D43C7" w:rsidR="005276D8">
        <w:t>) or for which Seller’s consent is required under Section 18.1.3 (</w:t>
      </w:r>
      <w:r w:rsidRPr="675D43C7" w:rsidR="005276D8">
        <w:rPr>
          <w:i/>
        </w:rPr>
        <w:t>Assignment by GPC</w:t>
      </w:r>
      <w:r w:rsidRPr="675D43C7" w:rsidR="005276D8">
        <w:t>), it is a condition of the required consent that it will not place any limitation on either Party’s rights under this PPA or expand the PPA liability, risks, or obligations of the other Party (including changes in accounting treatment). It will be reasonable for either Party to condition its consent under Section 18.1 (</w:t>
      </w:r>
      <w:r w:rsidRPr="675D43C7" w:rsidR="005276D8">
        <w:rPr>
          <w:i/>
        </w:rPr>
        <w:t>Assignment, Transfers, and Change of Control</w:t>
      </w:r>
      <w:r w:rsidRPr="675D43C7" w:rsidR="005276D8">
        <w:t>) on the execution of amendments to this PPA that are reasonably determined by such Party to be necessary to preserve the value and protection afforded to such Party under this PPA. It will be a condition of GPC’s consent to any transaction under Sections 18.1.1 or 18.1.4 or other disposition with respect to this PPA or the Facility</w:t>
      </w:r>
      <w:r w:rsidR="005276D8">
        <w:t>, including those contemplated in Section 2.1.10 (</w:t>
      </w:r>
      <w:r w:rsidRPr="00E82F0F" w:rsidR="005276D8">
        <w:rPr>
          <w:i/>
          <w:iCs/>
        </w:rPr>
        <w:t>Sale, Lease, Transfer, or Other Disposal of Business or Assets Resulting in Material Adverse Effect</w:t>
      </w:r>
      <w:r w:rsidR="005276D8">
        <w:t>)</w:t>
      </w:r>
      <w:r w:rsidRPr="675D43C7" w:rsidR="005276D8">
        <w:t xml:space="preserve">, that all </w:t>
      </w:r>
      <w:r w:rsidR="005276D8">
        <w:t>Performance S</w:t>
      </w:r>
      <w:r w:rsidRPr="675D43C7" w:rsidR="005276D8">
        <w:t>ecurity required under Section 6.1 (</w:t>
      </w:r>
      <w:r w:rsidRPr="675D43C7" w:rsidR="005276D8">
        <w:rPr>
          <w:i/>
        </w:rPr>
        <w:t>Performance Security</w:t>
      </w:r>
      <w:r w:rsidRPr="675D43C7" w:rsidR="005276D8">
        <w:t xml:space="preserve">)  will remain </w:t>
      </w:r>
      <w:r w:rsidR="005276D8">
        <w:t>in full force and effect unless and until GPC has received (</w:t>
      </w:r>
      <w:proofErr w:type="spellStart"/>
      <w:r w:rsidR="005276D8">
        <w:t>i</w:t>
      </w:r>
      <w:proofErr w:type="spellEnd"/>
      <w:r w:rsidR="005276D8">
        <w:t>) Commission approval, if applicable, and</w:t>
      </w:r>
      <w:r w:rsidRPr="675D43C7" w:rsidR="005276D8">
        <w:t xml:space="preserve"> </w:t>
      </w:r>
      <w:r w:rsidR="005276D8">
        <w:t xml:space="preserve">(ii) </w:t>
      </w:r>
      <w:r w:rsidRPr="675D43C7" w:rsidR="005276D8">
        <w:t>replacement security in form, substance, and amount in full compliance with this PPA</w:t>
      </w:r>
      <w:r w:rsidR="005276D8">
        <w:t>, if applicable.</w:t>
      </w:r>
      <w:r w:rsidRPr="675D43C7" w:rsidDel="001C2358" w:rsidR="005276D8">
        <w:t>.</w:t>
      </w:r>
      <w:r w:rsidRPr="675D43C7" w:rsidR="005276D8">
        <w:t xml:space="preserve"> </w:t>
      </w:r>
      <w:r w:rsidR="005276D8">
        <w:t xml:space="preserve">Following GPC’s receipt of such applicable Commission approval and replacement security, GPC will return to Seller any unused portion of Seller’s Performance Security. </w:t>
      </w:r>
      <w:r w:rsidRPr="675D43C7" w:rsidR="005276D8">
        <w:t>Any purported assignment, transfer of interest in the Facility or this PPA, or Change of Control Transaction that is not in compliance with the applicable provisions of Sections 18.1 through 18.4, inclusive,</w:t>
      </w:r>
      <w:r w:rsidRPr="675D43C7" w:rsidDel="00CB58AF" w:rsidR="005276D8">
        <w:t xml:space="preserve"> </w:t>
      </w:r>
      <w:r w:rsidRPr="675D43C7" w:rsidR="005276D8">
        <w:t>will be void.</w:t>
      </w:r>
    </w:p>
    <w:p w:rsidRPr="006E0A0D" w:rsidR="00D96326" w:rsidP="00F800CE" w:rsidRDefault="00D96326" w14:paraId="0B4D1951" w14:textId="77777777">
      <w:pPr>
        <w:pStyle w:val="zGTC01"/>
        <w:spacing w:before="120"/>
        <w:rPr>
          <w:rFonts w:ascii="Arial" w:hAnsi="Arial"/>
          <w:szCs w:val="20"/>
        </w:rPr>
      </w:pPr>
      <w:bookmarkStart w:name="_Toc212475741" w:id="294"/>
      <w:bookmarkStart w:name="_Toc227838438" w:id="295"/>
      <w:r>
        <w:rPr>
          <w:rFonts w:ascii="Arial" w:hAnsi="Arial"/>
          <w:szCs w:val="20"/>
        </w:rPr>
        <w:t>Dispute Resolution</w:t>
      </w:r>
      <w:bookmarkEnd w:id="294"/>
      <w:bookmarkEnd w:id="295"/>
    </w:p>
    <w:p w:rsidRPr="006E0A0D" w:rsidR="00D96326" w:rsidP="00D96326" w:rsidRDefault="00D96326" w14:paraId="27D0F5A5" w14:textId="0F3C4153">
      <w:pPr>
        <w:pStyle w:val="zGTC02"/>
        <w:rPr>
          <w:rFonts w:ascii="Arial" w:hAnsi="Arial" w:eastAsia="PMingLiU" w:cs="Arial"/>
          <w:vanish/>
          <w:szCs w:val="20"/>
          <w:specVanish/>
        </w:rPr>
      </w:pPr>
      <w:bookmarkStart w:name="_Toc212475742" w:id="296"/>
      <w:bookmarkStart w:name="_Toc227838439" w:id="297"/>
      <w:r>
        <w:rPr>
          <w:rFonts w:ascii="Arial" w:hAnsi="Arial" w:cs="Arial"/>
        </w:rPr>
        <w:t xml:space="preserve">Notice of </w:t>
      </w:r>
      <w:proofErr w:type="gramStart"/>
      <w:r>
        <w:rPr>
          <w:rFonts w:ascii="Arial" w:hAnsi="Arial" w:cs="Arial"/>
        </w:rPr>
        <w:t>Dispute;</w:t>
      </w:r>
      <w:proofErr w:type="gramEnd"/>
      <w:r>
        <w:rPr>
          <w:rFonts w:ascii="Arial" w:hAnsi="Arial" w:cs="Arial"/>
        </w:rPr>
        <w:t xml:space="preserve"> Dispute Resolution Process.</w:t>
      </w:r>
      <w:bookmarkEnd w:id="296"/>
      <w:bookmarkEnd w:id="297"/>
    </w:p>
    <w:p w:rsidRPr="006E0A0D" w:rsidR="00D96326" w:rsidRDefault="00D96326" w14:paraId="166C7DC8" w14:textId="3C17FC87">
      <w:pPr>
        <w:pStyle w:val="zGNormal"/>
      </w:pPr>
      <w:r>
        <w:t xml:space="preserve"> </w:t>
      </w:r>
      <w:bookmarkStart w:name="_Hlk37507641" w:id="298"/>
      <w:r>
        <w:t>Either Party (“</w:t>
      </w:r>
      <w:r>
        <w:rPr>
          <w:b/>
        </w:rPr>
        <w:t>Disputing Party</w:t>
      </w:r>
      <w:r>
        <w:t>”) has the right to give notice to the other Party (“</w:t>
      </w:r>
      <w:r>
        <w:rPr>
          <w:b/>
        </w:rPr>
        <w:t>Responding Party</w:t>
      </w:r>
      <w:r>
        <w:t xml:space="preserve">”) that the Responding Party is not performing in accordance with </w:t>
      </w:r>
      <w:r>
        <w:lastRenderedPageBreak/>
        <w:t>the terms and conditions of this PPA. The notice (“</w:t>
      </w:r>
      <w:r>
        <w:rPr>
          <w:b/>
        </w:rPr>
        <w:t>Notice of Dispute</w:t>
      </w:r>
      <w:r>
        <w:t xml:space="preserve">”) </w:t>
      </w:r>
      <w:bookmarkStart w:name="_Hlk37329422" w:id="299"/>
      <w:r>
        <w:t xml:space="preserve">must describe with specificity the basis for the Disputing Party’s </w:t>
      </w:r>
      <w:bookmarkEnd w:id="299"/>
      <w:r>
        <w:t>belief and may propose a resolution of such dispute. Within 15 Business Days after receiving the Notice of Dispute, the Responding Party must provide the Disputing Party with a response to the Notice of Dispute, which will describe with specificity the basis for the Responding Party’s position and which may include additional issues (if any) regarding the dispute raised by the Notice of Dispute and may propose a resolution of the dispute (“</w:t>
      </w:r>
      <w:r>
        <w:rPr>
          <w:b/>
        </w:rPr>
        <w:t>Dispute Response</w:t>
      </w:r>
      <w:r>
        <w:t xml:space="preserve">”). </w:t>
      </w:r>
      <w:r w:rsidR="001F202C">
        <w:t xml:space="preserve">This </w:t>
      </w:r>
      <w:r w:rsidR="001E16FC">
        <w:t>Section 19.1</w:t>
      </w:r>
      <w:r w:rsidR="00B554B3">
        <w:t xml:space="preserve"> (</w:t>
      </w:r>
      <w:r w:rsidRPr="00B554B3" w:rsidR="00B554B3">
        <w:rPr>
          <w:i/>
          <w:iCs/>
        </w:rPr>
        <w:t>Notice of Dispute</w:t>
      </w:r>
      <w:r w:rsidR="00AC7E1A">
        <w:rPr>
          <w:i/>
          <w:iCs/>
        </w:rPr>
        <w:t>; Dispute Resolution Process</w:t>
      </w:r>
      <w:r w:rsidR="00B554B3">
        <w:t>)</w:t>
      </w:r>
      <w:r w:rsidR="001F202C">
        <w:t xml:space="preserve"> will not apply to a Billing Dispute until the completion </w:t>
      </w:r>
      <w:r w:rsidR="001B51CF">
        <w:t>o</w:t>
      </w:r>
      <w:r w:rsidR="001F202C">
        <w:t xml:space="preserve">f the dispute resolution process for Billing </w:t>
      </w:r>
      <w:r w:rsidR="001B51CF">
        <w:t>D</w:t>
      </w:r>
      <w:r w:rsidR="001F202C">
        <w:t>isputes set forth in Section 5.2 (</w:t>
      </w:r>
      <w:r w:rsidRPr="001F202C" w:rsidR="001F202C">
        <w:rPr>
          <w:i/>
          <w:iCs/>
        </w:rPr>
        <w:t>Billing Disputes and Financial Accounting</w:t>
      </w:r>
      <w:r w:rsidR="001F202C">
        <w:t xml:space="preserve">). </w:t>
      </w:r>
      <w:r>
        <w:t>Within five Business Days after the submission of the Dispute Response, the dispute must be submitted to a Seller designated senior Representative and a GPC designated senior Representative for resolution. If the designated senior Representatives are unable to resolve the dispute to the mutual satisfaction of the Parties within 20 Business Days after the submission to the designated senior Representatives, or any other period as the Parties may agree upon, then: (</w:t>
      </w:r>
      <w:proofErr w:type="spellStart"/>
      <w:r>
        <w:t>i</w:t>
      </w:r>
      <w:proofErr w:type="spellEnd"/>
      <w:r>
        <w:t>) in the case of disputes described in Section 19.2 (</w:t>
      </w:r>
      <w:r>
        <w:rPr>
          <w:i/>
          <w:iCs/>
        </w:rPr>
        <w:t>Expert Arbitration</w:t>
      </w:r>
      <w:r>
        <w:t>), either Party may provide notice to the other Party declaring an impasse (“</w:t>
      </w:r>
      <w:r>
        <w:rPr>
          <w:b/>
        </w:rPr>
        <w:t>Impasse Notice</w:t>
      </w:r>
      <w:r>
        <w:t>”) and, after notice is given, the Parties must arbitrate the disputes under Section 19.2; (ii) in the case of disputes described in Section 19.3 (</w:t>
      </w:r>
      <w:r>
        <w:rPr>
          <w:i/>
          <w:iCs/>
        </w:rPr>
        <w:t>JAMS Arbitration</w:t>
      </w:r>
      <w:r>
        <w:t xml:space="preserve">), either Party may provide an </w:t>
      </w:r>
      <w:r>
        <w:rPr>
          <w:bCs/>
        </w:rPr>
        <w:t>Impasse Notice</w:t>
      </w:r>
      <w:r>
        <w:t xml:space="preserve"> and then the Parties must arbitrate the disputes under Section 19.3; or (iii) in the case of any dispute that is not described in Section 19.2 or Section 19.3, either Party may pursue rights and remedies as may be available under applicable law or in equity subject to the terms and conditions of this PPA.</w:t>
      </w:r>
      <w:bookmarkEnd w:id="298"/>
    </w:p>
    <w:p w:rsidRPr="006E0A0D" w:rsidR="00D96326" w:rsidP="00D96326" w:rsidRDefault="00D96326" w14:paraId="5B221608" w14:textId="77777777">
      <w:pPr>
        <w:pStyle w:val="zGTC02"/>
        <w:rPr>
          <w:rFonts w:ascii="Arial" w:hAnsi="Arial" w:eastAsia="PMingLiU" w:cs="Arial"/>
          <w:vanish/>
          <w:szCs w:val="20"/>
          <w:specVanish/>
        </w:rPr>
      </w:pPr>
      <w:bookmarkStart w:name="_Toc212475743" w:id="300"/>
      <w:bookmarkStart w:name="_Toc227838440" w:id="301"/>
      <w:r>
        <w:rPr>
          <w:rFonts w:ascii="Arial" w:hAnsi="Arial" w:cs="Arial"/>
          <w:szCs w:val="20"/>
        </w:rPr>
        <w:t>Expert Arbitration.</w:t>
      </w:r>
      <w:bookmarkEnd w:id="300"/>
      <w:bookmarkEnd w:id="301"/>
    </w:p>
    <w:p w:rsidRPr="006E0A0D" w:rsidR="00D96326" w:rsidRDefault="00D96326" w14:paraId="45B40979" w14:textId="5A384023">
      <w:pPr>
        <w:pStyle w:val="zGNormal"/>
      </w:pPr>
      <w:r>
        <w:t xml:space="preserve"> </w:t>
      </w:r>
      <w:bookmarkStart w:name="_Hlk37507694" w:id="302"/>
      <w:r>
        <w:t>Upon the submission of an Impasse Notice, a dispute regarding: (</w:t>
      </w:r>
      <w:proofErr w:type="spellStart"/>
      <w:r>
        <w:t>i</w:t>
      </w:r>
      <w:proofErr w:type="spellEnd"/>
      <w:r>
        <w:t>) the results of a Performance Test (under any provision of this PPA); (ii) a Capacity Shortfall under Section 4.1.7 (</w:t>
      </w:r>
      <w:r>
        <w:rPr>
          <w:i/>
          <w:iCs/>
        </w:rPr>
        <w:t>Capacity Shortfall</w:t>
      </w:r>
      <w:r>
        <w:t>); (iii) Imbalance Charges under Section 11.2.4 (</w:t>
      </w:r>
      <w:r>
        <w:rPr>
          <w:i/>
          <w:iCs/>
        </w:rPr>
        <w:t>Imbalance Charges</w:t>
      </w:r>
      <w:r>
        <w:t>); (iv) Seller Event of Default under Sections 16.1.8 (</w:t>
      </w:r>
      <w:r>
        <w:rPr>
          <w:i/>
          <w:iCs/>
        </w:rPr>
        <w:t>Failure to Maintain Availability Percentage</w:t>
      </w:r>
      <w:r>
        <w:t>) or 16.1.9 (</w:t>
      </w:r>
      <w:r>
        <w:rPr>
          <w:i/>
          <w:iCs/>
        </w:rPr>
        <w:t>Inadequate Tested Reliable Capacity; Curing</w:t>
      </w:r>
      <w:r>
        <w:t>); or (v) the development of Maintenance Schedules under Section 10.2.1 (</w:t>
      </w:r>
      <w:r>
        <w:rPr>
          <w:i/>
          <w:iCs/>
        </w:rPr>
        <w:t>Maintenance Schedule Reporting and Approvals</w:t>
      </w:r>
      <w:r>
        <w:t>) will be resolved by arbitration as set forth in this Section 19.2 (</w:t>
      </w:r>
      <w:r>
        <w:rPr>
          <w:i/>
          <w:iCs/>
        </w:rPr>
        <w:t>Expert Arbitration</w:t>
      </w:r>
      <w:r>
        <w:t>).</w:t>
      </w:r>
      <w:bookmarkEnd w:id="302"/>
    </w:p>
    <w:p w:rsidRPr="006E0A0D" w:rsidR="00D96326" w:rsidP="00BE7066" w:rsidRDefault="00D96326" w14:paraId="26DC3542" w14:textId="07F4E4F4">
      <w:pPr>
        <w:pStyle w:val="zGTC03"/>
      </w:pPr>
      <w:bookmarkStart w:name="_Hlk37507748" w:id="303"/>
      <w:r>
        <w:rPr>
          <w:b/>
          <w:bCs/>
        </w:rPr>
        <w:t>Selection of Expert.</w:t>
      </w:r>
      <w:r>
        <w:t xml:space="preserve"> </w:t>
      </w:r>
      <w:bookmarkStart w:name="_Hlk37507781" w:id="304"/>
      <w:bookmarkEnd w:id="303"/>
      <w:r>
        <w:t xml:space="preserve">The Parties will attempt to agree upon the selection of an independent third-party expert to </w:t>
      </w:r>
      <w:proofErr w:type="gramStart"/>
      <w:r>
        <w:t>make a determination</w:t>
      </w:r>
      <w:proofErr w:type="gramEnd"/>
      <w:r>
        <w:t xml:space="preserve"> concerning any dispute described in this Section 19.2 (</w:t>
      </w:r>
      <w:r>
        <w:rPr>
          <w:i/>
          <w:iCs/>
        </w:rPr>
        <w:t>Expert Arbitration</w:t>
      </w:r>
      <w:r>
        <w:t>). If the Parties cannot mutually agree on the selection of an expert within 15 Days after the submission of the Impasse Notice, GPC will provide Seller with a list of three qualified experts, and Seller will select one expert from the list. As a condition to appointment as a qualified expert, the expert must: (</w:t>
      </w:r>
      <w:proofErr w:type="spellStart"/>
      <w:r>
        <w:t>i</w:t>
      </w:r>
      <w:proofErr w:type="spellEnd"/>
      <w:r>
        <w:t xml:space="preserve">) be competent and experienced in matters involving the electric energy business in the United States, with at least 10 years of experience in the electric industry; (ii) have no interest, financial or otherwise, in either Party or this PPA beyond payment of the fees and expenses for serving as the expert under this Section 19.2; and (iii) </w:t>
      </w:r>
      <w:bookmarkStart w:name="_Hlk37490342" w:id="305"/>
      <w:r>
        <w:t xml:space="preserve">have not performed, or been employed by a firm that has provided services for either Party, and otherwise have not been previously or currently employed or engaged in any capacity by, and not have a personal or professional relationship with, either Party </w:t>
      </w:r>
      <w:bookmarkEnd w:id="305"/>
      <w:r>
        <w:t xml:space="preserve">other than as the expert under this Section 19.2, unless the employment, engagement, or relationship has been disclosed in writing to the Parties before the appointment as an expert under this Section 19.2 without objection by either Party. The expert must not advise or otherwise communicate </w:t>
      </w:r>
      <w:proofErr w:type="gramStart"/>
      <w:r>
        <w:t xml:space="preserve">ex </w:t>
      </w:r>
      <w:proofErr w:type="spellStart"/>
      <w:r>
        <w:t>parte</w:t>
      </w:r>
      <w:proofErr w:type="spellEnd"/>
      <w:proofErr w:type="gramEnd"/>
      <w:r>
        <w:t xml:space="preserve"> in any way with either Party following their appointment as an expert under this Section 19.2. </w:t>
      </w:r>
      <w:bookmarkEnd w:id="304"/>
      <w:r w:rsidR="00DA7168">
        <w:t xml:space="preserve">The expert must also treat all information relating to the PPA or the arbitration, including the dispute, as confidential and must not disclose any such information (other than to the Parties jointly) without the prior </w:t>
      </w:r>
      <w:r w:rsidR="00687563">
        <w:t>written consent of both Parties.</w:t>
      </w:r>
    </w:p>
    <w:p w:rsidRPr="006E0A0D" w:rsidR="00D96326" w:rsidP="00BE7066" w:rsidRDefault="00D96326" w14:paraId="68F3F7B2" w14:textId="4B18848D">
      <w:pPr>
        <w:pStyle w:val="zGTC03"/>
      </w:pPr>
      <w:bookmarkStart w:name="_Hlk37507813" w:id="306"/>
      <w:r>
        <w:rPr>
          <w:b/>
          <w:bCs/>
        </w:rPr>
        <w:t>Expert Decision.</w:t>
      </w:r>
      <w:r>
        <w:t xml:space="preserve"> </w:t>
      </w:r>
      <w:bookmarkStart w:name="_Hlk37507839" w:id="307"/>
      <w:bookmarkEnd w:id="306"/>
      <w:r>
        <w:t xml:space="preserve">No later than 15 Days after the selection of the expert, each Party must file with the expert written positions (with supporting documentation) concerning the dispute. The expert may request additional filings and will render a decision within 15 Days </w:t>
      </w:r>
      <w:r w:rsidR="00DD0534">
        <w:t>after</w:t>
      </w:r>
      <w:r>
        <w:t xml:space="preserve"> receipt of all filings. In the case of any dispute resolved under this Section 19.2 (</w:t>
      </w:r>
      <w:r>
        <w:rPr>
          <w:i/>
          <w:iCs/>
        </w:rPr>
        <w:t>Expert Arbitration</w:t>
      </w:r>
      <w:r>
        <w:t xml:space="preserve">), the decision rendered by the independent expert will be final and binding upon Seller and GPC. Following the resolution of a dispute under </w:t>
      </w:r>
      <w:proofErr w:type="gramStart"/>
      <w:r>
        <w:t>this Section</w:t>
      </w:r>
      <w:proofErr w:type="gramEnd"/>
      <w:r>
        <w:t xml:space="preserve"> 19.2 regarding the Declared Capacity, Monthly Capacity Payment(s) will (if necessary and as soon as practicable) be adjusted retroactively (with interest at the Interest Rate) to reflect Declared Capacity equal to the expert’s determination.</w:t>
      </w:r>
      <w:bookmarkEnd w:id="307"/>
      <w:r>
        <w:t xml:space="preserve"> </w:t>
      </w:r>
    </w:p>
    <w:p w:rsidRPr="006E0A0D" w:rsidR="00D96326" w:rsidP="00BE7066" w:rsidRDefault="00D96326" w14:paraId="727255E1" w14:textId="77777777">
      <w:pPr>
        <w:pStyle w:val="zGTC03"/>
      </w:pPr>
      <w:bookmarkStart w:name="_Hlk37507881" w:id="308"/>
      <w:r>
        <w:rPr>
          <w:b/>
          <w:bCs/>
        </w:rPr>
        <w:t>Costs.</w:t>
      </w:r>
      <w:bookmarkEnd w:id="308"/>
      <w:r>
        <w:t xml:space="preserve"> </w:t>
      </w:r>
      <w:bookmarkStart w:name="_Hlk37507912" w:id="309"/>
      <w:r>
        <w:t>If the independent expert adopts the position of one of the Parties, then the other Party will pay the fees and expenses of the expert. Otherwise, the Parties will share equally the fees and expenses.</w:t>
      </w:r>
      <w:bookmarkEnd w:id="309"/>
    </w:p>
    <w:p w:rsidRPr="006E0A0D" w:rsidR="00D96326" w:rsidP="00D96326" w:rsidRDefault="00D96326" w14:paraId="2755A05C" w14:textId="77777777">
      <w:pPr>
        <w:pStyle w:val="zGTC02"/>
        <w:rPr>
          <w:rFonts w:ascii="Arial" w:hAnsi="Arial" w:eastAsia="PMingLiU" w:cs="Arial"/>
          <w:vanish/>
          <w:szCs w:val="20"/>
          <w:specVanish/>
        </w:rPr>
      </w:pPr>
      <w:bookmarkStart w:name="_Toc212475744" w:id="310"/>
      <w:bookmarkStart w:name="_Toc227838441" w:id="311"/>
      <w:r>
        <w:rPr>
          <w:rFonts w:ascii="Arial" w:hAnsi="Arial" w:cs="Arial"/>
          <w:szCs w:val="20"/>
        </w:rPr>
        <w:t>JAMS Arbitration.</w:t>
      </w:r>
      <w:bookmarkEnd w:id="310"/>
      <w:bookmarkEnd w:id="311"/>
    </w:p>
    <w:p w:rsidRPr="006E0A0D" w:rsidR="00D96326" w:rsidRDefault="00D96326" w14:paraId="1AF5BA92" w14:textId="6F9637BB">
      <w:pPr>
        <w:pStyle w:val="zGNormal"/>
      </w:pPr>
      <w:r>
        <w:t xml:space="preserve"> </w:t>
      </w:r>
      <w:bookmarkStart w:name="_Hlk37507959" w:id="312"/>
      <w:r>
        <w:t>Upon the submission of an Impasse Notice, the following disputes will be resolved by arbitration as set forth in this Section 19.3: (</w:t>
      </w:r>
      <w:r>
        <w:rPr>
          <w:i/>
          <w:iCs/>
        </w:rPr>
        <w:t>JAMS Arbitration</w:t>
      </w:r>
      <w:r>
        <w:t>) (</w:t>
      </w:r>
      <w:proofErr w:type="spellStart"/>
      <w:r>
        <w:t>i</w:t>
      </w:r>
      <w:proofErr w:type="spellEnd"/>
      <w:r>
        <w:t xml:space="preserve">) a dispute regarding the calculation of a Termination Payment </w:t>
      </w:r>
      <w:r>
        <w:rPr>
          <w:rFonts w:eastAsia="Times New Roman"/>
        </w:rPr>
        <w:t>in accordance with</w:t>
      </w:r>
      <w:r>
        <w:t xml:space="preserve"> Section 16.3.3 (</w:t>
      </w:r>
      <w:r>
        <w:rPr>
          <w:i/>
          <w:iCs/>
        </w:rPr>
        <w:t>Determining Gains, Losses, and Costs</w:t>
      </w:r>
      <w:r>
        <w:t>); or (ii) a billing dispute under Section 5.2 (</w:t>
      </w:r>
      <w:r>
        <w:rPr>
          <w:i/>
          <w:iCs/>
        </w:rPr>
        <w:t>Billing Disputes and Final Accounting</w:t>
      </w:r>
      <w:r>
        <w:t xml:space="preserve">), including a dispute concerning the calculation </w:t>
      </w:r>
      <w:r>
        <w:lastRenderedPageBreak/>
        <w:t xml:space="preserve">of: (a) a </w:t>
      </w:r>
      <w:bookmarkStart w:name="_Hlk37074926" w:id="313"/>
      <w:r>
        <w:t xml:space="preserve">Monthly Capacity Payment in accordance with </w:t>
      </w:r>
      <w:r>
        <w:rPr>
          <w:bCs/>
        </w:rPr>
        <w:t>Exhibit B</w:t>
      </w:r>
      <w:bookmarkEnd w:id="313"/>
      <w:r>
        <w:rPr>
          <w:bCs/>
        </w:rPr>
        <w:t xml:space="preserve"> (</w:t>
      </w:r>
      <w:r>
        <w:rPr>
          <w:bCs/>
          <w:i/>
          <w:iCs/>
        </w:rPr>
        <w:t>Capacity; Capacity Payments and Payment Reductions; Buydown</w:t>
      </w:r>
      <w:r>
        <w:rPr>
          <w:bCs/>
        </w:rPr>
        <w:t>)</w:t>
      </w:r>
      <w:r>
        <w:t>, Part 2 (</w:t>
      </w:r>
      <w:r>
        <w:rPr>
          <w:i/>
          <w:iCs/>
        </w:rPr>
        <w:t>Monthly Capacity Payment</w:t>
      </w:r>
      <w:r>
        <w:t>), Part 3 (</w:t>
      </w:r>
      <w:r>
        <w:rPr>
          <w:i/>
          <w:iCs/>
        </w:rPr>
        <w:t>Monthly Availability Adjustment</w:t>
      </w:r>
      <w:r>
        <w:t>), or Part 4 (</w:t>
      </w:r>
      <w:r>
        <w:rPr>
          <w:i/>
          <w:iCs/>
        </w:rPr>
        <w:t>Calculation of Replacement Costs</w:t>
      </w:r>
      <w:r>
        <w:t>)</w:t>
      </w:r>
      <w:r>
        <w:rPr>
          <w:i/>
          <w:iCs/>
        </w:rPr>
        <w:t xml:space="preserve">; </w:t>
      </w:r>
      <w:r>
        <w:t xml:space="preserve">or (b) a Monthly Energy Payment in accordance with </w:t>
      </w:r>
      <w:r>
        <w:rPr>
          <w:bCs/>
        </w:rPr>
        <w:t>Exhibit C</w:t>
      </w:r>
      <w:r>
        <w:t xml:space="preserve"> (</w:t>
      </w:r>
      <w:r>
        <w:rPr>
          <w:i/>
          <w:iCs/>
        </w:rPr>
        <w:t>Energy Payment Calculation</w:t>
      </w:r>
      <w:r>
        <w:t>) (each, a “</w:t>
      </w:r>
      <w:r>
        <w:rPr>
          <w:b/>
          <w:bCs/>
        </w:rPr>
        <w:t>Billing Dispute</w:t>
      </w:r>
      <w:r>
        <w:t>”).</w:t>
      </w:r>
      <w:bookmarkEnd w:id="312"/>
    </w:p>
    <w:p w:rsidRPr="006E0A0D" w:rsidR="00D96326" w:rsidP="00BE7066" w:rsidRDefault="00D96326" w14:paraId="60034203" w14:textId="5EA3C68D">
      <w:pPr>
        <w:pStyle w:val="zGTC03"/>
      </w:pPr>
      <w:bookmarkStart w:name="_Hlk37508021" w:id="314"/>
      <w:r>
        <w:rPr>
          <w:b/>
          <w:bCs/>
        </w:rPr>
        <w:t>JAMS.</w:t>
      </w:r>
      <w:r>
        <w:t xml:space="preserve"> The Billing Dispute will be resolved under the Federal Arbitration Act by binding arbitration following the JAMS Comprehensive Arbitration Rules and Procedures (“</w:t>
      </w:r>
      <w:r>
        <w:rPr>
          <w:b/>
          <w:bCs/>
        </w:rPr>
        <w:t>Rules</w:t>
      </w:r>
      <w:r>
        <w:t>”) of Judicial Arbitration and Mediation Services (“</w:t>
      </w:r>
      <w:r>
        <w:rPr>
          <w:b/>
          <w:bCs/>
        </w:rPr>
        <w:t>JAMS</w:t>
      </w:r>
      <w:r>
        <w:t>”) then in effect, including its evidentiary and procedural rules, except as modified in this PPA. It is the Parties’ intent that the arbitration, including the selection and qualification of arbitrators, will be conducted in accordance with the Rules, as amended and supplemented, except where specifically modified by this PPA, and not by the terms of any state arbitration act or other applicable law.</w:t>
      </w:r>
      <w:bookmarkEnd w:id="314"/>
    </w:p>
    <w:p w:rsidRPr="006E0A0D" w:rsidR="00D96326" w:rsidP="00BE7066" w:rsidRDefault="00D96326" w14:paraId="78085829" w14:textId="77777777">
      <w:pPr>
        <w:pStyle w:val="zGTC03"/>
        <w:rPr>
          <w:b/>
          <w:bCs/>
        </w:rPr>
      </w:pPr>
      <w:bookmarkStart w:name="_Hlk37508045" w:id="315"/>
      <w:r>
        <w:rPr>
          <w:b/>
          <w:bCs/>
        </w:rPr>
        <w:t>Initiation of Arbitration; Selection of Arbitrators.</w:t>
      </w:r>
      <w:bookmarkEnd w:id="315"/>
    </w:p>
    <w:p w:rsidRPr="006E0A0D" w:rsidR="00D96326" w:rsidP="00D96326" w:rsidRDefault="00D96326" w14:paraId="732B0C63" w14:textId="360D98E8">
      <w:pPr>
        <w:pStyle w:val="zGTC04"/>
        <w:rPr>
          <w:rFonts w:cs="Arial"/>
        </w:rPr>
      </w:pPr>
      <w:bookmarkStart w:name="_Hlk37508079" w:id="316"/>
      <w:r>
        <w:rPr>
          <w:rFonts w:cs="Arial"/>
          <w:b/>
        </w:rPr>
        <w:t xml:space="preserve">Initiation of Arbitration; Selection of Party-Appointed Arbitrators. </w:t>
      </w:r>
      <w:r>
        <w:rPr>
          <w:rFonts w:cs="Arial"/>
        </w:rPr>
        <w:t xml:space="preserve">Within 10 Business Days after delivering an Impasse Notice, the delivering Party must contact JAMS to commence arbitration and must provide notice to the other Party. Arbitration will be deemed to be commenced when JAMS issues a Commencement Letter (as defined in the Rules) in accordance with the Rules. The Party initiating arbitration will nominate one arbitrator at the same time it initiates arbitration. The other Party will nominate one arbitrator within 10 Business Days </w:t>
      </w:r>
      <w:r w:rsidR="00797591">
        <w:rPr>
          <w:rFonts w:cs="Arial"/>
        </w:rPr>
        <w:t>after</w:t>
      </w:r>
      <w:r>
        <w:rPr>
          <w:rFonts w:cs="Arial"/>
        </w:rPr>
        <w:t xml:space="preserve"> receiving the Commencement Letter. The two Party-nominated arbitrators will be deemed neutrals and not the representative of the appointing Party. The two arbitrators (“</w:t>
      </w:r>
      <w:r>
        <w:rPr>
          <w:rFonts w:cs="Arial"/>
          <w:b/>
        </w:rPr>
        <w:t>Party-Appointed Arbitrators</w:t>
      </w:r>
      <w:r>
        <w:rPr>
          <w:rFonts w:cs="Arial"/>
        </w:rPr>
        <w:t>”) will appoint a third arbitrator (“</w:t>
      </w:r>
      <w:r>
        <w:rPr>
          <w:rFonts w:cs="Arial"/>
          <w:b/>
        </w:rPr>
        <w:t>Third Arbitrator</w:t>
      </w:r>
      <w:r>
        <w:rPr>
          <w:rFonts w:cs="Arial"/>
        </w:rPr>
        <w:t>”). The “</w:t>
      </w:r>
      <w:r>
        <w:rPr>
          <w:rFonts w:cs="Arial"/>
          <w:b/>
        </w:rPr>
        <w:t>Arbitration Panel</w:t>
      </w:r>
      <w:r>
        <w:rPr>
          <w:rFonts w:cs="Arial"/>
        </w:rPr>
        <w:t>” will include the two Party-Appointed Arbitrators and the Third Arbitrator. All arbitrators must: (</w:t>
      </w:r>
      <w:r w:rsidR="00527395">
        <w:rPr>
          <w:rFonts w:cs="Arial"/>
        </w:rPr>
        <w:t>a</w:t>
      </w:r>
      <w:r>
        <w:rPr>
          <w:rFonts w:cs="Arial"/>
        </w:rPr>
        <w:t>) be competent and experienced in matters involving the electric energy business in the United States, with at least 10 years of legal, engineering, or business experience in the electric industry; (</w:t>
      </w:r>
      <w:r w:rsidR="00527395">
        <w:rPr>
          <w:rFonts w:cs="Arial"/>
        </w:rPr>
        <w:t>b</w:t>
      </w:r>
      <w:r>
        <w:rPr>
          <w:rFonts w:cs="Arial"/>
        </w:rPr>
        <w:t>) have no interest, financial or otherwise, in the Parties or this PPA beyond payment of their fees and expenses for serving on the Arbitration Panel; and (</w:t>
      </w:r>
      <w:r w:rsidR="00527395">
        <w:rPr>
          <w:rFonts w:cs="Arial"/>
        </w:rPr>
        <w:t>c</w:t>
      </w:r>
      <w:r>
        <w:rPr>
          <w:rFonts w:cs="Arial"/>
        </w:rPr>
        <w:t>) have not performed, or been employed by a firm that has provided, services for either Party, and otherwise have not been previously or currently employed or engaged in any capacity by, and not have a personal or professional relationship with, either Party other than as a member of the Arbitration Panel, unless the employment, engagement, or relationship has been disclosed in writing to all Parties prior to the selection of the Arbitration Panel</w:t>
      </w:r>
      <w:r w:rsidR="004F725E">
        <w:rPr>
          <w:rFonts w:cs="Arial"/>
        </w:rPr>
        <w:t xml:space="preserve"> without</w:t>
      </w:r>
      <w:r w:rsidR="00F20BEE">
        <w:rPr>
          <w:rFonts w:cs="Arial"/>
        </w:rPr>
        <w:t xml:space="preserve"> any unresolved</w:t>
      </w:r>
      <w:r w:rsidR="004F725E">
        <w:rPr>
          <w:rFonts w:cs="Arial"/>
        </w:rPr>
        <w:t xml:space="preserve"> objection by either Party</w:t>
      </w:r>
      <w:r>
        <w:rPr>
          <w:rFonts w:cs="Arial"/>
        </w:rPr>
        <w:t xml:space="preserve">. Arbitrators must not advise or otherwise communicate ex </w:t>
      </w:r>
      <w:proofErr w:type="spellStart"/>
      <w:r>
        <w:rPr>
          <w:rFonts w:cs="Arial"/>
        </w:rPr>
        <w:t>parte</w:t>
      </w:r>
      <w:proofErr w:type="spellEnd"/>
      <w:r>
        <w:rPr>
          <w:rFonts w:cs="Arial"/>
        </w:rPr>
        <w:t xml:space="preserve"> in any way with either Party following appointment to the Arbitration Panel and must treat the details of this PPA and all Arbitration Panel activity as private and </w:t>
      </w:r>
      <w:proofErr w:type="gramStart"/>
      <w:r>
        <w:rPr>
          <w:rFonts w:cs="Arial"/>
        </w:rPr>
        <w:t>confidential, and</w:t>
      </w:r>
      <w:proofErr w:type="gramEnd"/>
      <w:r>
        <w:rPr>
          <w:rFonts w:cs="Arial"/>
        </w:rPr>
        <w:t xml:space="preserve"> not publish or disclose any information related to the arbitration without the prior written consent of both Parties. Further, the Third Arbitrator will be independent of the Parties and the Party-Appointed Arbitrators. Each Party will pay the fees and expenses incurred by its Party-Appointed Arbitrator and the fees and expenses of the Third Arbitrator will be divided equally between the Parties.</w:t>
      </w:r>
      <w:bookmarkEnd w:id="316"/>
    </w:p>
    <w:p w:rsidRPr="006E0A0D" w:rsidR="00D96326" w:rsidP="00D96326" w:rsidRDefault="00D96326" w14:paraId="55871698" w14:textId="153B5088">
      <w:pPr>
        <w:pStyle w:val="zGTC04"/>
      </w:pPr>
      <w:bookmarkStart w:name="_Hlk37508126" w:id="317"/>
      <w:r>
        <w:rPr>
          <w:b/>
          <w:bCs/>
        </w:rPr>
        <w:t>Appointment of Third Arbitrator.</w:t>
      </w:r>
      <w:r>
        <w:t xml:space="preserve"> If the Party-Appointed Arbitrators are unable to agree on the Third Arbitrator within 10 Business Days </w:t>
      </w:r>
      <w:r w:rsidR="00161D9D">
        <w:t>after the</w:t>
      </w:r>
      <w:r>
        <w:t xml:space="preserve"> initiation of arbitration, then the Third Arbitrator will be selected by JAMS with due regard given to the selection criteria in Section 19.3.2(</w:t>
      </w:r>
      <w:proofErr w:type="spellStart"/>
      <w:r>
        <w:t>i</w:t>
      </w:r>
      <w:proofErr w:type="spellEnd"/>
      <w:r>
        <w:t>) (</w:t>
      </w:r>
      <w:r>
        <w:rPr>
          <w:i/>
          <w:iCs/>
        </w:rPr>
        <w:t xml:space="preserve">Initiation of Arbitration; </w:t>
      </w:r>
      <w:r>
        <w:rPr>
          <w:rFonts w:cs="Arial"/>
          <w:i/>
          <w:szCs w:val="20"/>
        </w:rPr>
        <w:t>Selection of Party-Appointed Arbitrators</w:t>
      </w:r>
      <w:r>
        <w:t>) and input from the Parties and the Party-Appointed Arbitrators. Parties will undertake to request JAMS to complete selection of the Third Arbitrator no later than 60 Days after initiation of arbitration. Costs charged by JAMS for this service will be borne by the Parties equally.</w:t>
      </w:r>
      <w:r>
        <w:rPr>
          <w:rFonts w:eastAsiaTheme="minorHAnsi"/>
        </w:rPr>
        <w:t xml:space="preserve"> </w:t>
      </w:r>
      <w:r>
        <w:t>If JAMS should fail to select the Third Arbitrator within 60 Days after initiation of arbitration, then either Party may petition a court of competent jurisdiction in Atlanta, Fulton County, Georgia to select the Third Arbitrator. Due regard will be given to the selection criteria in Section 19.3.2(</w:t>
      </w:r>
      <w:proofErr w:type="spellStart"/>
      <w:r>
        <w:t>i</w:t>
      </w:r>
      <w:proofErr w:type="spellEnd"/>
      <w:r>
        <w:t>) and input from the Parties and the Party-Appointed Arbitrators.</w:t>
      </w:r>
      <w:bookmarkStart w:name="_Hlk37508157" w:id="318"/>
      <w:bookmarkEnd w:id="317"/>
      <w:r>
        <w:t xml:space="preserve"> If, before the conclusion of the arbitration, any member of the Arbitration Panel becomes incapacitated or otherwise unable to serve, then a replacement arbitrator will be appointed in the manner set forth in this Section 19.3.2 (</w:t>
      </w:r>
      <w:r>
        <w:rPr>
          <w:i/>
          <w:iCs/>
        </w:rPr>
        <w:t>Initiation of Arbitration; Selection of Arbitrators</w:t>
      </w:r>
      <w:r>
        <w:t>).</w:t>
      </w:r>
      <w:bookmarkEnd w:id="318"/>
    </w:p>
    <w:p w:rsidRPr="006E0A0D" w:rsidR="00D96326" w:rsidP="00BE7066" w:rsidRDefault="00D96326" w14:paraId="3A7A9CF6" w14:textId="412BD9D3">
      <w:pPr>
        <w:pStyle w:val="zGTC03"/>
      </w:pPr>
      <w:bookmarkStart w:name="_Hlk37508192" w:id="319"/>
      <w:r>
        <w:rPr>
          <w:b/>
          <w:bCs/>
        </w:rPr>
        <w:t>Discovery; Hearing.</w:t>
      </w:r>
      <w:r>
        <w:tab/>
        <w:t xml:space="preserve">Discovery and other pre-hearing procedures will be conducted as agreed by the Parties, including at least one corporate </w:t>
      </w:r>
      <w:r w:rsidR="00376E0E">
        <w:t>r</w:t>
      </w:r>
      <w:r>
        <w:t>epresentative deposition, or if they cannot agree, as determined by a majority of the Arbitration Panel</w:t>
      </w:r>
      <w:r w:rsidR="00EA0665">
        <w:t xml:space="preserve"> so long as all </w:t>
      </w:r>
      <w:r>
        <w:t xml:space="preserve">pre-hearing </w:t>
      </w:r>
      <w:proofErr w:type="gramStart"/>
      <w:r>
        <w:t xml:space="preserve">discovery </w:t>
      </w:r>
      <w:r w:rsidR="00EA0665">
        <w:t>is</w:t>
      </w:r>
      <w:proofErr w:type="gramEnd"/>
      <w:r>
        <w:t xml:space="preserve"> completed within 90 Days after selection of the Third Arbitrator. Within 15 Business Days after completion of the pre-hearing </w:t>
      </w:r>
      <w:r>
        <w:lastRenderedPageBreak/>
        <w:t xml:space="preserve">discovery, </w:t>
      </w:r>
      <w:bookmarkStart w:name="_DV_M243" w:id="320"/>
      <w:bookmarkStart w:name="_DV_C66" w:id="321"/>
      <w:bookmarkEnd w:id="320"/>
      <w:r>
        <w:t>each Party</w:t>
      </w:r>
      <w:bookmarkStart w:name="_DV_M244" w:id="322"/>
      <w:bookmarkEnd w:id="321"/>
      <w:bookmarkEnd w:id="322"/>
      <w:r>
        <w:t xml:space="preserve"> will submit, either individually or jointly, by overnight delivery to </w:t>
      </w:r>
      <w:bookmarkStart w:name="_DV_C68" w:id="323"/>
      <w:r>
        <w:t>the</w:t>
      </w:r>
      <w:bookmarkStart w:name="_DV_M245" w:id="324"/>
      <w:bookmarkEnd w:id="323"/>
      <w:bookmarkEnd w:id="324"/>
      <w:r>
        <w:t xml:space="preserve"> other </w:t>
      </w:r>
      <w:bookmarkStart w:name="_DV_M246" w:id="325"/>
      <w:bookmarkStart w:name="_DV_C70" w:id="326"/>
      <w:bookmarkEnd w:id="325"/>
      <w:r>
        <w:t>Party</w:t>
      </w:r>
      <w:bookmarkStart w:name="_DV_M247" w:id="327"/>
      <w:bookmarkEnd w:id="326"/>
      <w:bookmarkEnd w:id="327"/>
      <w:r>
        <w:t xml:space="preserve"> and the Arbitration Panel a separate, precise statement for each issue in dispute, that Party’s proposed means of resolving each issue, and the factual or legal support for such proposal (“Proposed Resolutions”). No later than 30 Business Days after all pre-hearing </w:t>
      </w:r>
      <w:proofErr w:type="gramStart"/>
      <w:r>
        <w:t>discovery has</w:t>
      </w:r>
      <w:proofErr w:type="gramEnd"/>
      <w:r>
        <w:t xml:space="preserve"> been completed, a hearing will be conducted at which Seller and GPC will each present evidence and witnesses as it may choose. Arbitration will be conducted in accordance with the Rules, as amended and supplemented, except where specifically modified by this PPA.</w:t>
      </w:r>
      <w:bookmarkEnd w:id="319"/>
    </w:p>
    <w:p w:rsidRPr="006E0A0D" w:rsidR="00D96326" w:rsidP="00BE7066" w:rsidRDefault="00D96326" w14:paraId="0CE457BF" w14:textId="78A9295E">
      <w:pPr>
        <w:pStyle w:val="zGTC03"/>
      </w:pPr>
      <w:bookmarkStart w:name="_Hlk37508226" w:id="328"/>
      <w:r>
        <w:rPr>
          <w:b/>
          <w:bCs/>
        </w:rPr>
        <w:t>Confidential Proceeding.</w:t>
      </w:r>
      <w:r>
        <w:t xml:space="preserve"> Each Party must maintain the confidentiality of the arbitration proceedings, except as reasonably necessary to effectively represent itself in the proceeding to enforce the arbitration award or determination, or as otherwise required by law. All discovery materials will remain confidential in accordance with Section 20.16 (</w:t>
      </w:r>
      <w:r>
        <w:rPr>
          <w:i/>
          <w:iCs/>
        </w:rPr>
        <w:t>Confidentiality</w:t>
      </w:r>
      <w:r>
        <w:t>).</w:t>
      </w:r>
      <w:bookmarkEnd w:id="328"/>
    </w:p>
    <w:p w:rsidRPr="006E0A0D" w:rsidR="00D96326" w:rsidP="00BE7066" w:rsidRDefault="00D96326" w14:paraId="2F06EDB7" w14:textId="77777777">
      <w:pPr>
        <w:pStyle w:val="zGTC03"/>
      </w:pPr>
      <w:bookmarkStart w:name="_Hlk37506695" w:id="329"/>
      <w:bookmarkStart w:name="_Hlk37508245" w:id="330"/>
      <w:r>
        <w:rPr>
          <w:b/>
          <w:bCs/>
        </w:rPr>
        <w:t>Arbitration Cost.</w:t>
      </w:r>
      <w:r>
        <w:t xml:space="preserve"> </w:t>
      </w:r>
      <w:bookmarkStart w:name="_Hlk37506714" w:id="331"/>
      <w:bookmarkEnd w:id="329"/>
      <w:r>
        <w:t>Each Party will be responsible for its own legal and arbitration expenses incurred in connection with the arbitration proceeding, including attorneys’ fees, investigation, or discovery (including e-discovery) costs, and expert, consultant or arbitrator fees and expenses.</w:t>
      </w:r>
      <w:bookmarkEnd w:id="330"/>
      <w:bookmarkEnd w:id="331"/>
    </w:p>
    <w:p w:rsidRPr="006E0A0D" w:rsidR="00D96326" w:rsidP="00BE7066" w:rsidRDefault="00D96326" w14:paraId="37DA4937" w14:textId="77777777">
      <w:pPr>
        <w:pStyle w:val="zGTC03"/>
        <w:rPr>
          <w:b/>
          <w:bCs/>
        </w:rPr>
      </w:pPr>
      <w:bookmarkStart w:name="_Toc379477327" w:id="332"/>
      <w:r>
        <w:rPr>
          <w:b/>
          <w:bCs/>
        </w:rPr>
        <w:t>Arbitrator Decisions</w:t>
      </w:r>
      <w:bookmarkStart w:name="_DV_M249" w:id="333"/>
      <w:bookmarkEnd w:id="333"/>
      <w:r>
        <w:rPr>
          <w:b/>
          <w:bCs/>
        </w:rPr>
        <w:t>.</w:t>
      </w:r>
      <w:bookmarkEnd w:id="332"/>
    </w:p>
    <w:p w:rsidRPr="006E0A0D" w:rsidR="00D96326" w:rsidP="00D96326" w:rsidRDefault="00D96326" w14:paraId="4C37A49D" w14:textId="1D1B4BD2">
      <w:pPr>
        <w:pStyle w:val="zGTC04"/>
        <w:rPr>
          <w:rFonts w:cs="Arial"/>
        </w:rPr>
      </w:pPr>
      <w:bookmarkStart w:name="_Hlk37506777" w:id="334"/>
      <w:r>
        <w:rPr>
          <w:rFonts w:cs="Arial"/>
          <w:b/>
        </w:rPr>
        <w:t xml:space="preserve">Considerations. </w:t>
      </w:r>
      <w:r>
        <w:rPr>
          <w:rFonts w:cs="Arial"/>
        </w:rPr>
        <w:t xml:space="preserve">The Arbitration Panel will consider the terms and conditions of this PPA, including all relevant evidence and testimony, and will render its decision </w:t>
      </w:r>
      <w:r w:rsidR="00D37700">
        <w:rPr>
          <w:rFonts w:cs="Arial"/>
        </w:rPr>
        <w:t xml:space="preserve">(by means of a written reasoned decision) </w:t>
      </w:r>
      <w:r>
        <w:rPr>
          <w:rFonts w:cs="Arial"/>
        </w:rPr>
        <w:t xml:space="preserve">within 30 Days following conclusion of the hearing. However, the Arbitration Panel is expressly and specifically limited to selecting one of the Proposed Resolutions provided by </w:t>
      </w:r>
      <w:r w:rsidR="00593DA5">
        <w:rPr>
          <w:rFonts w:cs="Arial"/>
        </w:rPr>
        <w:t xml:space="preserve">either </w:t>
      </w:r>
      <w:r>
        <w:rPr>
          <w:rFonts w:cs="Arial"/>
        </w:rPr>
        <w:t xml:space="preserve">Seller </w:t>
      </w:r>
      <w:r w:rsidR="003222B6">
        <w:rPr>
          <w:rFonts w:cs="Arial"/>
        </w:rPr>
        <w:t>or</w:t>
      </w:r>
      <w:r>
        <w:rPr>
          <w:rFonts w:cs="Arial"/>
        </w:rPr>
        <w:t xml:space="preserve"> GPC for each issue in dispute. The Arbitration Panel will have no authority to award consequential, special, indirect, treble, exemplary, incidental, or punitive damages of any type under any circumstance, regardless of whether such damages may be available under applicable state law, federal law, the Federal Arbitration Act, or any other applicable law.</w:t>
      </w:r>
      <w:bookmarkEnd w:id="334"/>
    </w:p>
    <w:p w:rsidRPr="006E0A0D" w:rsidR="00D96326" w:rsidP="00D96326" w:rsidRDefault="004D6779" w14:paraId="0DB2E884" w14:textId="6810DDEB">
      <w:pPr>
        <w:pStyle w:val="zGTC04"/>
        <w:rPr>
          <w:rFonts w:cs="Arial"/>
          <w:szCs w:val="20"/>
        </w:rPr>
      </w:pPr>
      <w:bookmarkStart w:name="_Hlk37506808" w:id="335"/>
      <w:r>
        <w:rPr>
          <w:rFonts w:cs="Arial"/>
          <w:b/>
          <w:bCs/>
          <w:szCs w:val="20"/>
        </w:rPr>
        <w:t xml:space="preserve">Decision of Arbitration Panel. </w:t>
      </w:r>
      <w:r>
        <w:rPr>
          <w:rFonts w:cs="Arial"/>
          <w:szCs w:val="20"/>
        </w:rPr>
        <w:t>The written decision rendered by a majority of the Arbitration Panel will be provided to the Parties.</w:t>
      </w:r>
      <w:r>
        <w:t xml:space="preserve"> </w:t>
      </w:r>
      <w:r>
        <w:rPr>
          <w:rFonts w:cs="Arial"/>
          <w:szCs w:val="20"/>
        </w:rPr>
        <w:t>The decision may be filed in a court of competent jurisdiction and may be enforced by Seller or GPC as a final judgment in such court.</w:t>
      </w:r>
      <w:bookmarkEnd w:id="335"/>
    </w:p>
    <w:p w:rsidRPr="006E0A0D" w:rsidR="00D96326" w:rsidP="00D96326" w:rsidRDefault="00D96326" w14:paraId="238EBC63" w14:textId="77777777">
      <w:pPr>
        <w:pStyle w:val="zGTC02"/>
        <w:rPr>
          <w:rFonts w:ascii="Arial" w:hAnsi="Arial" w:eastAsia="PMingLiU" w:cs="Arial"/>
          <w:vanish/>
          <w:szCs w:val="20"/>
          <w:specVanish/>
        </w:rPr>
      </w:pPr>
      <w:bookmarkStart w:name="_Toc212475745" w:id="336"/>
      <w:bookmarkStart w:name="_Toc227838442" w:id="337"/>
      <w:r>
        <w:rPr>
          <w:rFonts w:ascii="Arial" w:hAnsi="Arial" w:cs="Arial"/>
          <w:szCs w:val="20"/>
        </w:rPr>
        <w:t>Location of Arbitration.</w:t>
      </w:r>
      <w:bookmarkEnd w:id="336"/>
      <w:bookmarkEnd w:id="337"/>
    </w:p>
    <w:p w:rsidRPr="006E0A0D" w:rsidR="00D96326" w:rsidRDefault="00D96326" w14:paraId="35DDF0CA" w14:textId="77777777">
      <w:pPr>
        <w:pStyle w:val="zGNormal"/>
      </w:pPr>
      <w:r>
        <w:t xml:space="preserve"> </w:t>
      </w:r>
      <w:bookmarkStart w:name="_Hlk37506861" w:id="338"/>
      <w:r>
        <w:t>Any arbitration under Section 19.2 (</w:t>
      </w:r>
      <w:r>
        <w:rPr>
          <w:i/>
          <w:iCs/>
        </w:rPr>
        <w:t>Expert Arbitration</w:t>
      </w:r>
      <w:r>
        <w:t>) or Section 19.3 (</w:t>
      </w:r>
      <w:r>
        <w:rPr>
          <w:i/>
          <w:iCs/>
        </w:rPr>
        <w:t>JAMS Arbitration</w:t>
      </w:r>
      <w:r>
        <w:t>) will take place in Atlanta, Fulton County, Georgia.</w:t>
      </w:r>
      <w:bookmarkEnd w:id="338"/>
    </w:p>
    <w:p w:rsidRPr="006E0A0D" w:rsidR="00D96326" w:rsidP="00D96326" w:rsidRDefault="00D96326" w14:paraId="1E6B5285" w14:textId="77777777">
      <w:pPr>
        <w:pStyle w:val="zGTC02"/>
        <w:rPr>
          <w:rFonts w:ascii="Arial" w:hAnsi="Arial" w:eastAsia="PMingLiU" w:cs="Arial"/>
          <w:vanish/>
          <w:szCs w:val="20"/>
          <w:specVanish/>
        </w:rPr>
      </w:pPr>
      <w:bookmarkStart w:name="_Toc212475746" w:id="339"/>
      <w:bookmarkStart w:name="_Toc227838443" w:id="340"/>
      <w:r>
        <w:rPr>
          <w:rFonts w:ascii="Arial" w:hAnsi="Arial" w:cs="Arial"/>
          <w:szCs w:val="20"/>
        </w:rPr>
        <w:t>Mandatory Arbitration.</w:t>
      </w:r>
      <w:bookmarkEnd w:id="339"/>
      <w:bookmarkEnd w:id="340"/>
    </w:p>
    <w:p w:rsidRPr="006E0A0D" w:rsidR="00D96326" w:rsidRDefault="00D96326" w14:paraId="164989B1" w14:textId="6B6715C7">
      <w:pPr>
        <w:pStyle w:val="zGNormal"/>
        <w:rPr>
          <w:b/>
          <w:u w:val="single"/>
        </w:rPr>
      </w:pPr>
      <w:r>
        <w:t xml:space="preserve"> </w:t>
      </w:r>
      <w:bookmarkStart w:name="_Hlk37506919" w:id="341"/>
      <w:r>
        <w:rPr>
          <w:b/>
          <w:bCs/>
          <w:u w:val="single"/>
        </w:rPr>
        <w:t>Subject to Section 19.3</w:t>
      </w:r>
      <w:r w:rsidR="006C2CF1">
        <w:rPr>
          <w:b/>
          <w:bCs/>
          <w:u w:val="single"/>
        </w:rPr>
        <w:t>.6</w:t>
      </w:r>
      <w:r>
        <w:rPr>
          <w:b/>
          <w:u w:val="single"/>
        </w:rPr>
        <w:t xml:space="preserve"> (</w:t>
      </w:r>
      <w:r w:rsidR="006C2CF1">
        <w:rPr>
          <w:b/>
          <w:bCs/>
          <w:i/>
          <w:iCs/>
          <w:u w:val="single"/>
        </w:rPr>
        <w:t>Arbitrator Decisions</w:t>
      </w:r>
      <w:r>
        <w:rPr>
          <w:b/>
          <w:bCs/>
          <w:u w:val="single"/>
        </w:rPr>
        <w:t xml:space="preserve">), each Party understands and agrees that when arbitration is required under this Part 19, arbitration is mandatory and each </w:t>
      </w:r>
      <w:r w:rsidR="00167CFD">
        <w:rPr>
          <w:b/>
          <w:bCs/>
          <w:u w:val="single"/>
        </w:rPr>
        <w:t>P</w:t>
      </w:r>
      <w:r>
        <w:rPr>
          <w:b/>
          <w:bCs/>
          <w:u w:val="single"/>
        </w:rPr>
        <w:t>arty waives any right to seek judicial relief or file court proceedings to determine the specified matters under Section 19.2 (</w:t>
      </w:r>
      <w:r>
        <w:rPr>
          <w:b/>
          <w:bCs/>
          <w:i/>
          <w:iCs/>
          <w:u w:val="single"/>
        </w:rPr>
        <w:t>Expert Arbitration</w:t>
      </w:r>
      <w:r>
        <w:rPr>
          <w:b/>
          <w:bCs/>
          <w:u w:val="single"/>
        </w:rPr>
        <w:t>) or Section 19.3</w:t>
      </w:r>
      <w:r w:rsidR="00F06912">
        <w:rPr>
          <w:b/>
          <w:bCs/>
          <w:u w:val="single"/>
        </w:rPr>
        <w:t xml:space="preserve"> (</w:t>
      </w:r>
      <w:r w:rsidRPr="00F06912" w:rsidR="00F06912">
        <w:rPr>
          <w:b/>
          <w:bCs/>
          <w:i/>
          <w:iCs/>
          <w:u w:val="single"/>
        </w:rPr>
        <w:t>JAMS Arbitration</w:t>
      </w:r>
      <w:r w:rsidR="00F06912">
        <w:rPr>
          <w:b/>
          <w:bCs/>
          <w:u w:val="single"/>
        </w:rPr>
        <w:t>)</w:t>
      </w:r>
      <w:r>
        <w:rPr>
          <w:b/>
          <w:bCs/>
          <w:u w:val="single"/>
        </w:rPr>
        <w:t>, other than the right to seek judicial relief to compel arbitration, to confirm an arbitration award, or to seek injunctive relief under Section 19.6 (</w:t>
      </w:r>
      <w:r>
        <w:rPr>
          <w:b/>
          <w:bCs/>
          <w:i/>
          <w:iCs/>
          <w:u w:val="single"/>
        </w:rPr>
        <w:t>Injunctive Relief</w:t>
      </w:r>
      <w:r>
        <w:rPr>
          <w:b/>
          <w:bCs/>
          <w:u w:val="single"/>
        </w:rPr>
        <w:t xml:space="preserve">) </w:t>
      </w:r>
      <w:bookmarkEnd w:id="341"/>
      <w:r>
        <w:rPr>
          <w:b/>
          <w:bCs/>
          <w:u w:val="single"/>
        </w:rPr>
        <w:t>in accordance with this PPA.</w:t>
      </w:r>
    </w:p>
    <w:p w:rsidRPr="006E0A0D" w:rsidR="00D96326" w:rsidP="00D96326" w:rsidRDefault="00D96326" w14:paraId="1E3408D2" w14:textId="77777777">
      <w:pPr>
        <w:pStyle w:val="zGTC02"/>
        <w:rPr>
          <w:rFonts w:ascii="Arial" w:hAnsi="Arial" w:eastAsia="PMingLiU" w:cs="Arial"/>
          <w:vanish/>
          <w:szCs w:val="20"/>
          <w:specVanish/>
        </w:rPr>
      </w:pPr>
      <w:bookmarkStart w:name="_Toc212475747" w:id="342"/>
      <w:bookmarkStart w:name="_Toc227838444" w:id="343"/>
      <w:r>
        <w:rPr>
          <w:rFonts w:ascii="Arial" w:hAnsi="Arial" w:cs="Arial"/>
          <w:szCs w:val="20"/>
        </w:rPr>
        <w:t>Injunctive Relief.</w:t>
      </w:r>
      <w:bookmarkEnd w:id="342"/>
      <w:bookmarkEnd w:id="343"/>
    </w:p>
    <w:p w:rsidRPr="006E0A0D" w:rsidR="00D96326" w:rsidRDefault="00D96326" w14:paraId="4D4318A2" w14:textId="29288B0A">
      <w:pPr>
        <w:pStyle w:val="zGNormal"/>
      </w:pPr>
      <w:r>
        <w:t xml:space="preserve"> Despite </w:t>
      </w:r>
      <w:bookmarkStart w:name="_Hlk37506964" w:id="344"/>
      <w:r>
        <w:t>any other provision of this Part 19 (</w:t>
      </w:r>
      <w:r>
        <w:rPr>
          <w:i/>
          <w:iCs/>
        </w:rPr>
        <w:t>Dispute Resolution</w:t>
      </w:r>
      <w:r>
        <w:t xml:space="preserve">), the Parties acknowledge that an award of damages may not afford complete relief or furnish an adequate legal remedy as between them (such as when Seller’s Event of Default arises from Seller’s actions designed to achieve an economic gain by selling energy, capacity, or Ancillary Services to a third party in violation of this PPA). Accordingly, the Parties agree that a Party will be permitted to seek at any time, in accordance with applicable laws, procedures, and the terms of this PPA, injunctive relief relating to the performance of this PPA from an arbitrator, a Governmental Authority of appropriate jurisdiction, or a court of competent jurisdiction located in Atlanta, Fulton County, Georgia. The Parties expressly agree that </w:t>
      </w:r>
      <w:proofErr w:type="gramStart"/>
      <w:r>
        <w:t>this Section</w:t>
      </w:r>
      <w:proofErr w:type="gramEnd"/>
      <w:r>
        <w:t xml:space="preserve"> 19.6 (</w:t>
      </w:r>
      <w:r>
        <w:rPr>
          <w:i/>
          <w:iCs/>
        </w:rPr>
        <w:t>Injunctive Relief</w:t>
      </w:r>
      <w:r>
        <w:t xml:space="preserve">) does not present a question of substantive arbitrability and </w:t>
      </w:r>
      <w:proofErr w:type="gramStart"/>
      <w:r>
        <w:t>waive</w:t>
      </w:r>
      <w:proofErr w:type="gramEnd"/>
      <w:r>
        <w:t xml:space="preserve"> any right to have an arbitrator decide whether preliminary injunctive relief is available in court. In the event of entry of any interlocutory injunctive relief, the Party against whom such relief is entered waives the right to have a bond or security posted pending resolution of the dispute giving rise to the issuance of the injunction.</w:t>
      </w:r>
      <w:bookmarkEnd w:id="344"/>
    </w:p>
    <w:p w:rsidRPr="006E0A0D" w:rsidR="00D96326" w:rsidP="00D96326" w:rsidRDefault="00D96326" w14:paraId="2214EF79" w14:textId="77777777">
      <w:pPr>
        <w:pStyle w:val="zGTC02"/>
        <w:rPr>
          <w:rFonts w:ascii="Arial" w:hAnsi="Arial" w:eastAsia="PMingLiU" w:cs="Arial"/>
          <w:vanish/>
          <w:szCs w:val="20"/>
          <w:specVanish/>
        </w:rPr>
      </w:pPr>
      <w:bookmarkStart w:name="_Toc212475748" w:id="345"/>
      <w:bookmarkStart w:name="_Toc227838445" w:id="346"/>
      <w:r>
        <w:rPr>
          <w:rFonts w:ascii="Arial" w:hAnsi="Arial" w:cs="Arial"/>
          <w:szCs w:val="20"/>
        </w:rPr>
        <w:t>Continued Performance.</w:t>
      </w:r>
      <w:bookmarkEnd w:id="345"/>
      <w:bookmarkEnd w:id="346"/>
    </w:p>
    <w:p w:rsidRPr="006E0A0D" w:rsidR="00D96326" w:rsidRDefault="00D96326" w14:paraId="1833A8A9" w14:textId="01851BF2">
      <w:pPr>
        <w:pStyle w:val="zGNormal"/>
      </w:pPr>
      <w:r>
        <w:t xml:space="preserve"> </w:t>
      </w:r>
      <w:bookmarkStart w:name="_Hlk37507003" w:id="347"/>
      <w:r>
        <w:t>The Parties agree to continue performing their respective obligations under this PPA while the dispute is being resolved, unless and until such obligations are terminated or expire in accordance with this PPA.</w:t>
      </w:r>
      <w:bookmarkEnd w:id="347"/>
    </w:p>
    <w:p w:rsidRPr="006E0A0D" w:rsidR="00D96326" w:rsidP="00D96326" w:rsidRDefault="00D96326" w14:paraId="10DA1B9C" w14:textId="77777777">
      <w:pPr>
        <w:pStyle w:val="zGTC01"/>
        <w:rPr>
          <w:rFonts w:ascii="Arial" w:hAnsi="Arial"/>
          <w:szCs w:val="20"/>
        </w:rPr>
      </w:pPr>
      <w:bookmarkStart w:name="_Toc212475749" w:id="348"/>
      <w:bookmarkStart w:name="_Toc227838446" w:id="349"/>
      <w:r>
        <w:rPr>
          <w:rFonts w:ascii="Arial" w:hAnsi="Arial"/>
          <w:szCs w:val="20"/>
        </w:rPr>
        <w:lastRenderedPageBreak/>
        <w:t>Miscellaneous Provisions</w:t>
      </w:r>
      <w:bookmarkEnd w:id="348"/>
      <w:bookmarkEnd w:id="349"/>
    </w:p>
    <w:p w:rsidRPr="006E0A0D" w:rsidR="00D96326" w:rsidP="00D96326" w:rsidRDefault="00D96326" w14:paraId="1A61FCB3" w14:textId="77777777">
      <w:pPr>
        <w:pStyle w:val="zGTC02"/>
        <w:rPr>
          <w:rFonts w:ascii="Arial" w:hAnsi="Arial" w:eastAsia="PMingLiU" w:cs="Arial"/>
          <w:vanish/>
          <w:szCs w:val="20"/>
          <w:specVanish/>
        </w:rPr>
      </w:pPr>
      <w:bookmarkStart w:name="_Toc212475750" w:id="350"/>
      <w:bookmarkStart w:name="_Toc227838447" w:id="351"/>
      <w:r>
        <w:rPr>
          <w:rFonts w:ascii="Arial" w:hAnsi="Arial" w:cs="Arial"/>
          <w:szCs w:val="20"/>
        </w:rPr>
        <w:t>Amendments.</w:t>
      </w:r>
      <w:bookmarkEnd w:id="350"/>
      <w:bookmarkEnd w:id="351"/>
    </w:p>
    <w:p w:rsidRPr="006E0A0D" w:rsidR="00D96326" w:rsidRDefault="00D96326" w14:paraId="3C282E61" w14:textId="12348F5A">
      <w:pPr>
        <w:pStyle w:val="zGNormal"/>
      </w:pPr>
      <w:r>
        <w:t xml:space="preserve"> This PPA may be amended only by a written document duly executed by authorized representatives of GPC and Seller, each of GPC and Seller having received all approvals of Governmental Authorities necessary for the effectiveness of the Amendment.</w:t>
      </w:r>
    </w:p>
    <w:p w:rsidRPr="006E0A0D" w:rsidR="00D96326" w:rsidP="00D96326" w:rsidRDefault="00D96326" w14:paraId="6C88006C" w14:textId="77777777">
      <w:pPr>
        <w:pStyle w:val="zGTC02"/>
        <w:rPr>
          <w:rFonts w:ascii="Arial" w:hAnsi="Arial" w:eastAsia="PMingLiU" w:cs="Arial"/>
          <w:i/>
          <w:iCs/>
          <w:vanish/>
          <w:szCs w:val="20"/>
          <w:specVanish/>
        </w:rPr>
      </w:pPr>
      <w:bookmarkStart w:name="_Toc212475751" w:id="352"/>
      <w:bookmarkStart w:name="_Toc227838448" w:id="353"/>
      <w:r>
        <w:rPr>
          <w:rFonts w:ascii="Arial" w:hAnsi="Arial" w:cs="Arial"/>
          <w:szCs w:val="20"/>
        </w:rPr>
        <w:t>Binding Effect</w:t>
      </w:r>
      <w:r>
        <w:rPr>
          <w:rFonts w:ascii="Arial" w:hAnsi="Arial" w:cs="Arial"/>
          <w:i/>
          <w:iCs/>
          <w:szCs w:val="20"/>
        </w:rPr>
        <w:t>.</w:t>
      </w:r>
      <w:bookmarkEnd w:id="352"/>
      <w:bookmarkEnd w:id="353"/>
    </w:p>
    <w:p w:rsidRPr="006E0A0D" w:rsidR="00D96326" w:rsidRDefault="00D96326" w14:paraId="3885307D" w14:textId="77777777">
      <w:pPr>
        <w:pStyle w:val="zGNormal"/>
      </w:pPr>
      <w:r>
        <w:t xml:space="preserve"> This PPA and any extension will </w:t>
      </w:r>
      <w:proofErr w:type="gramStart"/>
      <w:r>
        <w:t>inure to</w:t>
      </w:r>
      <w:proofErr w:type="gramEnd"/>
      <w:r>
        <w:t xml:space="preserve"> the benefit of and will be binding upon the Parties and their respective permitted successors and permitted </w:t>
      </w:r>
      <w:proofErr w:type="gramStart"/>
      <w:r>
        <w:t>assigns</w:t>
      </w:r>
      <w:proofErr w:type="gramEnd"/>
      <w:r>
        <w:t>.</w:t>
      </w:r>
    </w:p>
    <w:p w:rsidRPr="006E0A0D" w:rsidR="00D96326" w:rsidP="00D96326" w:rsidRDefault="00D96326" w14:paraId="68A1EB9F" w14:textId="37A286A9">
      <w:pPr>
        <w:pStyle w:val="zGTC02"/>
        <w:rPr>
          <w:rFonts w:ascii="Arial" w:hAnsi="Arial" w:eastAsia="PMingLiU" w:cs="Arial"/>
          <w:vanish/>
          <w:szCs w:val="20"/>
          <w:specVanish/>
        </w:rPr>
      </w:pPr>
      <w:bookmarkStart w:name="_Toc212475752" w:id="354"/>
      <w:bookmarkStart w:name="_Toc227838449" w:id="355"/>
      <w:r>
        <w:rPr>
          <w:rFonts w:ascii="Arial" w:hAnsi="Arial" w:cs="Arial"/>
          <w:szCs w:val="20"/>
        </w:rPr>
        <w:t>Counterparts.</w:t>
      </w:r>
      <w:bookmarkEnd w:id="354"/>
      <w:bookmarkEnd w:id="355"/>
    </w:p>
    <w:p w:rsidRPr="006E0A0D" w:rsidR="00D96326" w:rsidRDefault="00D96326" w14:paraId="26D92627" w14:textId="7BCD67A5">
      <w:pPr>
        <w:pStyle w:val="zGNormal"/>
      </w:pPr>
      <w:r>
        <w:t xml:space="preserve"> This PPA may be executed in two or more counterparts and by electronic transmission of signatures in portable document format (PDF) or another electronic format, each of which will be deemed an original but all of which together will constitute one and the same agreement.</w:t>
      </w:r>
    </w:p>
    <w:p w:rsidRPr="006E0A0D" w:rsidR="00D96326" w:rsidP="00D96326" w:rsidRDefault="00D96326" w14:paraId="73997584" w14:textId="77777777">
      <w:pPr>
        <w:pStyle w:val="zGTC02"/>
        <w:rPr>
          <w:rFonts w:ascii="Arial" w:hAnsi="Arial" w:eastAsia="PMingLiU" w:cs="Arial"/>
          <w:vanish/>
          <w:szCs w:val="20"/>
          <w:specVanish/>
        </w:rPr>
      </w:pPr>
      <w:bookmarkStart w:name="_Toc212475753" w:id="356"/>
      <w:bookmarkStart w:name="_Toc227838450" w:id="357"/>
      <w:r>
        <w:rPr>
          <w:rFonts w:ascii="Arial" w:hAnsi="Arial" w:cs="Arial"/>
          <w:szCs w:val="20"/>
        </w:rPr>
        <w:t>Notice.</w:t>
      </w:r>
      <w:bookmarkEnd w:id="356"/>
      <w:bookmarkEnd w:id="357"/>
    </w:p>
    <w:p w:rsidRPr="006E0A0D" w:rsidR="00D96326" w:rsidRDefault="00D96326" w14:paraId="613E3081" w14:textId="2ECBB180">
      <w:pPr>
        <w:pStyle w:val="zGNormal"/>
      </w:pPr>
      <w:r>
        <w:t xml:space="preserve"> </w:t>
      </w:r>
      <w:r w:rsidR="001D1987">
        <w:t xml:space="preserve">Except as otherwise provided in this PPA, </w:t>
      </w:r>
      <w:r w:rsidR="001D1987">
        <w:rPr>
          <w:rFonts w:eastAsia="PMingLiU"/>
        </w:rPr>
        <w:t>a</w:t>
      </w:r>
      <w:r>
        <w:rPr>
          <w:rFonts w:eastAsia="PMingLiU"/>
        </w:rPr>
        <w:t>ll notices, requests, consents, claims, demands, waivers</w:t>
      </w:r>
      <w:r w:rsidR="00236BA5">
        <w:rPr>
          <w:rFonts w:eastAsia="PMingLiU"/>
        </w:rPr>
        <w:t>,</w:t>
      </w:r>
      <w:r>
        <w:rPr>
          <w:rFonts w:eastAsia="PMingLiU"/>
        </w:rPr>
        <w:t xml:space="preserve"> and other communications under this PPA must be in writing</w:t>
      </w:r>
      <w:r w:rsidR="00541140">
        <w:rPr>
          <w:rFonts w:eastAsia="PMingLiU"/>
        </w:rPr>
        <w:t xml:space="preserve"> (email being sufficient if Exhibit M</w:t>
      </w:r>
      <w:r w:rsidR="007B7D63">
        <w:rPr>
          <w:rFonts w:eastAsia="PMingLiU"/>
        </w:rPr>
        <w:t xml:space="preserve"> (</w:t>
      </w:r>
      <w:r w:rsidRPr="002C4B7B" w:rsidR="007B7D63">
        <w:rPr>
          <w:rFonts w:eastAsia="PMingLiU"/>
          <w:i/>
          <w:iCs/>
        </w:rPr>
        <w:t>Notices</w:t>
      </w:r>
      <w:r w:rsidR="007B7D63">
        <w:rPr>
          <w:rFonts w:eastAsia="PMingLiU"/>
        </w:rPr>
        <w:t>)</w:t>
      </w:r>
      <w:r w:rsidR="000F239D">
        <w:rPr>
          <w:rFonts w:eastAsia="PMingLiU"/>
        </w:rPr>
        <w:t xml:space="preserve"> includes an email address for the receiving Party</w:t>
      </w:r>
      <w:r w:rsidR="007B7D63">
        <w:rPr>
          <w:rFonts w:eastAsia="PMingLiU"/>
        </w:rPr>
        <w:t xml:space="preserve">), must include </w:t>
      </w:r>
      <w:r>
        <w:rPr>
          <w:rFonts w:eastAsia="Times New Roman"/>
        </w:rPr>
        <w:t>this PPA’s title</w:t>
      </w:r>
      <w:r>
        <w:t xml:space="preserve"> and </w:t>
      </w:r>
      <w:r w:rsidR="00472784">
        <w:t xml:space="preserve">the </w:t>
      </w:r>
      <w:r>
        <w:t>Facility name</w:t>
      </w:r>
      <w:r w:rsidR="008E57E3">
        <w:t xml:space="preserve">, must be addressed to the </w:t>
      </w:r>
      <w:r w:rsidR="003C3434">
        <w:t>receiving</w:t>
      </w:r>
      <w:r w:rsidR="008E57E3">
        <w:t xml:space="preserve"> Party’s po</w:t>
      </w:r>
      <w:r w:rsidR="003C3434">
        <w:t xml:space="preserve">int-of-contact specified </w:t>
      </w:r>
      <w:r w:rsidR="002C4B7B">
        <w:t>o</w:t>
      </w:r>
      <w:r w:rsidR="003C3434">
        <w:t>n Exhibit M,</w:t>
      </w:r>
      <w:r>
        <w:t xml:space="preserve"> and </w:t>
      </w:r>
      <w:r w:rsidR="003C3434">
        <w:t>will be deemed to have been given when sent</w:t>
      </w:r>
      <w:r>
        <w:t xml:space="preserve">  by: (</w:t>
      </w:r>
      <w:proofErr w:type="spellStart"/>
      <w:r>
        <w:t>i</w:t>
      </w:r>
      <w:proofErr w:type="spellEnd"/>
      <w:r>
        <w:t xml:space="preserve">) personal delivery (effective the date of delivery); (ii) if </w:t>
      </w:r>
      <w:r w:rsidR="00005385">
        <w:t>Exhibit M</w:t>
      </w:r>
      <w:r w:rsidR="006479C9">
        <w:t xml:space="preserve"> includes an email address for the receiving Party</w:t>
      </w:r>
      <w:r>
        <w:t>, email delivery (effective that date if sent by 5:00 p.m. (recipient’s time); otherwise, the next Business Day</w:t>
      </w:r>
      <w:r w:rsidR="00EF25A1">
        <w:t>)</w:t>
      </w:r>
      <w:r>
        <w:t>; (iii) p</w:t>
      </w:r>
      <w:r>
        <w:rPr>
          <w:rFonts w:eastAsia="Times New Roman"/>
        </w:rPr>
        <w:t xml:space="preserve">repaid nationally- or internationally- recognized commercial overnight courier (receipt requested; effective the next Business Day); or (iv) </w:t>
      </w:r>
      <w:r>
        <w:t xml:space="preserve">registered or certified U.S. mail, with proper postage (effective after the fourth Business Day). </w:t>
      </w:r>
    </w:p>
    <w:p w:rsidRPr="006E0A0D" w:rsidR="00D96326" w:rsidP="00D96326" w:rsidRDefault="00D96326" w14:paraId="501E2EFE" w14:textId="307F46CC">
      <w:pPr>
        <w:pStyle w:val="zGTC02"/>
        <w:rPr>
          <w:rFonts w:ascii="Arial" w:hAnsi="Arial" w:eastAsia="PMingLiU" w:cs="Arial"/>
          <w:vanish/>
          <w:szCs w:val="20"/>
          <w:specVanish/>
        </w:rPr>
      </w:pPr>
      <w:bookmarkStart w:name="_Toc212475754" w:id="358"/>
      <w:bookmarkStart w:name="_Toc227838451" w:id="359"/>
      <w:r>
        <w:rPr>
          <w:rFonts w:ascii="Arial" w:hAnsi="Arial" w:cs="Arial"/>
          <w:szCs w:val="20"/>
        </w:rPr>
        <w:t>Entire Agreement</w:t>
      </w:r>
      <w:bookmarkEnd w:id="358"/>
      <w:r w:rsidR="00993D4B">
        <w:rPr>
          <w:rFonts w:ascii="Arial" w:hAnsi="Arial" w:cs="Arial"/>
          <w:szCs w:val="20"/>
        </w:rPr>
        <w:t>.</w:t>
      </w:r>
      <w:bookmarkEnd w:id="359"/>
    </w:p>
    <w:p w:rsidRPr="006E0A0D" w:rsidR="00D96326" w:rsidRDefault="00D96326" w14:paraId="30FDAA74" w14:textId="4BCDC039">
      <w:pPr>
        <w:pStyle w:val="zGNormal"/>
      </w:pPr>
      <w:r>
        <w:t xml:space="preserve"> This PPA constitutes the entire understanding between the Parties and replaces any previous or contemporaneous oral or written discussion, representation, promise, arrangement, understanding, or agreement between the Parties related to the subject matter of this PPA. The Parties have entered this PPA in reliance upon the representations and mutual undertakings contained in this PPA and not in reliance upon any oral or written representations or information provided by one Party to the other Party not contained or incorporated in this PPA.</w:t>
      </w:r>
    </w:p>
    <w:p w:rsidRPr="006E0A0D" w:rsidR="00D96326" w:rsidP="00D96326" w:rsidRDefault="00D96326" w14:paraId="0E80F85D" w14:textId="77777777">
      <w:pPr>
        <w:pStyle w:val="zGTC02"/>
        <w:rPr>
          <w:rFonts w:ascii="Arial" w:hAnsi="Arial" w:eastAsia="PMingLiU" w:cs="Arial"/>
          <w:vanish/>
          <w:szCs w:val="20"/>
          <w:specVanish/>
        </w:rPr>
      </w:pPr>
      <w:bookmarkStart w:name="_Toc212475755" w:id="360"/>
      <w:bookmarkStart w:name="_Toc227838452" w:id="361"/>
      <w:r>
        <w:rPr>
          <w:rFonts w:ascii="Arial" w:hAnsi="Arial" w:cs="Arial"/>
          <w:szCs w:val="20"/>
        </w:rPr>
        <w:t>Governing Law.</w:t>
      </w:r>
      <w:bookmarkEnd w:id="360"/>
      <w:bookmarkEnd w:id="361"/>
    </w:p>
    <w:p w:rsidRPr="006E0A0D" w:rsidR="00D96326" w:rsidRDefault="00D96326" w14:paraId="04C4C18F" w14:textId="0B911743">
      <w:pPr>
        <w:pStyle w:val="zGNormal"/>
      </w:pPr>
      <w:r>
        <w:t xml:space="preserve"> The validity, interpretation, and performance of this PPA will be governed by the laws of the state of Georgia, without giving effect to any conflict of law principles that would require the application of the laws of another jurisdiction</w:t>
      </w:r>
      <w:r w:rsidR="002B25CA">
        <w:t xml:space="preserve">, except that the Federal Arbitration Act, 9 U.S.C. </w:t>
      </w:r>
      <w:r w:rsidRPr="00F67040" w:rsidR="002B25CA">
        <w:t>§§</w:t>
      </w:r>
      <w:r w:rsidR="002B25CA">
        <w:t xml:space="preserve"> 1 et seq. will govern the Parties’ agreement to arbitrate certain disputes as described in Part 19 (</w:t>
      </w:r>
      <w:r w:rsidR="002B25CA">
        <w:rPr>
          <w:i/>
        </w:rPr>
        <w:t>Dispute Resolution</w:t>
      </w:r>
      <w:r w:rsidR="002B25CA">
        <w:t>)</w:t>
      </w:r>
      <w:r>
        <w:t xml:space="preserve">. Subject to Part 19 regarding arbitration, each Party agrees that the state and federal courts, as applicable, of the state of Georgia will have exclusive jurisdiction for resolution of disputes under this PPA and each Party irrevocably consents to the jurisdiction of and venue in those courts. </w:t>
      </w:r>
    </w:p>
    <w:p w:rsidRPr="006E0A0D" w:rsidR="00DA4726" w:rsidP="00DA4726" w:rsidRDefault="00A37A85" w14:paraId="6CC1F586" w14:textId="77777777">
      <w:pPr>
        <w:pStyle w:val="zGTC02"/>
        <w:rPr>
          <w:rFonts w:ascii="Arial" w:hAnsi="Arial" w:eastAsia="PMingLiU" w:cs="Arial"/>
          <w:vanish/>
          <w:szCs w:val="20"/>
          <w:specVanish/>
        </w:rPr>
      </w:pPr>
      <w:bookmarkStart w:name="_Toc212475757" w:id="362"/>
      <w:bookmarkStart w:name="_Toc227838453" w:id="363"/>
      <w:r>
        <w:t>Liability</w:t>
      </w:r>
      <w:r>
        <w:rPr>
          <w:rFonts w:cs="Arial"/>
        </w:rPr>
        <w:t>.</w:t>
      </w:r>
      <w:bookmarkEnd w:id="362"/>
      <w:bookmarkEnd w:id="363"/>
    </w:p>
    <w:p w:rsidRPr="006E0A0D" w:rsidR="002845A2" w:rsidP="002845A2" w:rsidRDefault="000E1B5F" w14:paraId="1ABBA808" w14:textId="53408F5C">
      <w:pPr>
        <w:pStyle w:val="zGTC02"/>
        <w:widowControl w:val="0"/>
        <w:tabs>
          <w:tab w:val="clear" w:pos="576"/>
        </w:tabs>
        <w:rPr>
          <w:vanish/>
          <w:specVanish/>
        </w:rPr>
      </w:pPr>
      <w:r w:rsidRPr="00DA4726">
        <w:t xml:space="preserve"> Neither Party will be responsible for the other Party’s performance, non-performance, or delay in performance under this PPA.</w:t>
      </w:r>
      <w:bookmarkStart w:name="_Toc212475758" w:id="364"/>
      <w:bookmarkStart w:name="_Toc227838454" w:id="365"/>
      <w:r w:rsidR="00612B56">
        <w:t>GPC’s Agent.</w:t>
      </w:r>
      <w:bookmarkEnd w:id="364"/>
      <w:bookmarkEnd w:id="365"/>
    </w:p>
    <w:p w:rsidRPr="006E0A0D" w:rsidR="00B92572" w:rsidP="00E10BBD" w:rsidRDefault="00612B56" w14:paraId="15A9DD1B" w14:textId="2B393F7B">
      <w:pPr>
        <w:pStyle w:val="zGNormal"/>
      </w:pPr>
      <w:r>
        <w:t xml:space="preserve"> Wherever this PPA requires Seller to provide information, schedules, notice or the like to, or to take direction from, GPC, Seller will provide information, schedules, notice, or the like to, or receive from, GPC or such agent of GPC as GPC may direct from time to time pursuant to a notice given to Seller.</w:t>
      </w:r>
    </w:p>
    <w:p w:rsidRPr="006E0A0D" w:rsidR="002845A2" w:rsidP="002845A2" w:rsidRDefault="00612B56" w14:paraId="51094F50" w14:textId="4DC2F3F0">
      <w:pPr>
        <w:pStyle w:val="zGTC02"/>
        <w:widowControl w:val="0"/>
        <w:tabs>
          <w:tab w:val="clear" w:pos="576"/>
        </w:tabs>
        <w:rPr>
          <w:vanish/>
          <w:specVanish/>
        </w:rPr>
      </w:pPr>
      <w:bookmarkStart w:name="_Toc212475759" w:id="366"/>
      <w:bookmarkStart w:name="_Toc227838455" w:id="367"/>
      <w:r>
        <w:t>No GPC Affiliate Liability.</w:t>
      </w:r>
      <w:bookmarkEnd w:id="366"/>
      <w:bookmarkEnd w:id="367"/>
    </w:p>
    <w:p w:rsidR="00B92572" w:rsidP="00E10BBD" w:rsidRDefault="00EE7F07" w14:paraId="1A63736C" w14:textId="05F31685">
      <w:pPr>
        <w:pStyle w:val="zGNormal"/>
      </w:pPr>
      <w:r>
        <w:t xml:space="preserve"> Notwithstanding any other provision of this PPA, no Affiliate of GPC (including any Affiliate of GPC acting as GPC’s agent where GPC’s agent is given certain authorities) will have any liability whatsoever for any performance, nonperformance, or delay in performance under this PPA, except in the event of an assignment of this PPA to an Affiliate of GPC pursuant to Section 18.1.3 (</w:t>
      </w:r>
      <w:r>
        <w:rPr>
          <w:i/>
          <w:iCs/>
        </w:rPr>
        <w:t>Assignment by GPC</w:t>
      </w:r>
      <w:r>
        <w:t>), in which case, such assignee will be liable for GPCs obligations arising under this PPA from and after the date of assignment.</w:t>
      </w:r>
    </w:p>
    <w:p w:rsidRPr="006E0A0D" w:rsidR="00DA4726" w:rsidP="00DA4726" w:rsidRDefault="00DA4726" w14:paraId="7CD27580" w14:textId="77777777">
      <w:pPr>
        <w:pStyle w:val="zGTC02"/>
        <w:rPr>
          <w:rFonts w:ascii="Arial" w:hAnsi="Arial" w:eastAsia="PMingLiU" w:cs="Arial"/>
          <w:vanish/>
          <w:szCs w:val="20"/>
          <w:specVanish/>
        </w:rPr>
      </w:pPr>
      <w:bookmarkStart w:name="_Toc227838456" w:id="368"/>
      <w:r>
        <w:rPr>
          <w:rFonts w:ascii="Arial" w:hAnsi="Arial" w:cs="Arial"/>
          <w:szCs w:val="20"/>
        </w:rPr>
        <w:t>Time of Essence; No Waiver.</w:t>
      </w:r>
      <w:bookmarkEnd w:id="368"/>
    </w:p>
    <w:p w:rsidRPr="006E0A0D" w:rsidR="00A46800" w:rsidP="00E10BBD" w:rsidRDefault="00DA4726" w14:paraId="7EEA3DA8" w14:textId="3B7E1B76">
      <w:pPr>
        <w:pStyle w:val="zGNormal"/>
      </w:pPr>
      <w:r>
        <w:t xml:space="preserve"> </w:t>
      </w:r>
      <w:r w:rsidR="00A46800">
        <w:t xml:space="preserve">Time is of the essence with respect to performance under this PPA. A Party’s failure to enforce a PPA provision, or to require </w:t>
      </w:r>
      <w:proofErr w:type="gramStart"/>
      <w:r w:rsidR="00A46800">
        <w:t>at any time performance</w:t>
      </w:r>
      <w:proofErr w:type="gramEnd"/>
      <w:r w:rsidR="00A46800">
        <w:t xml:space="preserve"> by the other Party of any of the provisions under this PPA, does not constitute a waiver of that, or any other PPA provision or any right or remedy in the future. Acquiescence to or acceptance of late performance, with or without </w:t>
      </w:r>
      <w:proofErr w:type="gramStart"/>
      <w:r w:rsidR="00A46800">
        <w:t>reservation</w:t>
      </w:r>
      <w:proofErr w:type="gramEnd"/>
      <w:r w:rsidR="00A46800">
        <w:t xml:space="preserve"> does not waive a future right to require timely performance. No modification or waiver of all or any part of this PPA will be valid unless it is reduced to a writing, signed by both Parties, that expressly states that the Parties agree to a waiver or modification, as applicable.</w:t>
      </w:r>
    </w:p>
    <w:p w:rsidRPr="006E0A0D" w:rsidR="00D96326" w:rsidP="00D96326" w:rsidRDefault="00D96326" w14:paraId="4D1A7A2C" w14:textId="77777777">
      <w:pPr>
        <w:pStyle w:val="zGTC02"/>
        <w:rPr>
          <w:rFonts w:ascii="Arial" w:hAnsi="Arial" w:eastAsia="PMingLiU" w:cs="Arial"/>
          <w:vanish/>
          <w:szCs w:val="20"/>
          <w:specVanish/>
        </w:rPr>
      </w:pPr>
      <w:bookmarkStart w:name="_Toc212475760" w:id="369"/>
      <w:bookmarkStart w:name="_Toc227838457" w:id="370"/>
      <w:r>
        <w:rPr>
          <w:rFonts w:ascii="Arial" w:hAnsi="Arial" w:cs="Arial"/>
          <w:szCs w:val="20"/>
        </w:rPr>
        <w:lastRenderedPageBreak/>
        <w:t>Headings.</w:t>
      </w:r>
      <w:bookmarkEnd w:id="369"/>
      <w:bookmarkEnd w:id="370"/>
    </w:p>
    <w:p w:rsidRPr="006E0A0D" w:rsidR="00D96326" w:rsidRDefault="00D96326" w14:paraId="0BCDCEC4" w14:textId="57ECB52D">
      <w:pPr>
        <w:pStyle w:val="zGNormal"/>
      </w:pPr>
      <w:r>
        <w:t xml:space="preserve"> The headings contained in this PPA are used solely for convenience and do not constitute a part of this PPA between the Parties, nor should they be used to aid in any manner in the construction of this PPA.</w:t>
      </w:r>
    </w:p>
    <w:p w:rsidRPr="006E0A0D" w:rsidR="00D96326" w:rsidP="00D96326" w:rsidRDefault="00D96326" w14:paraId="7181F471" w14:textId="77777777">
      <w:pPr>
        <w:pStyle w:val="zGTC02"/>
        <w:rPr>
          <w:rFonts w:ascii="Arial" w:hAnsi="Arial" w:eastAsia="PMingLiU" w:cs="Arial"/>
          <w:vanish/>
          <w:szCs w:val="20"/>
          <w:specVanish/>
        </w:rPr>
      </w:pPr>
      <w:bookmarkStart w:name="_Toc212475761" w:id="371"/>
      <w:bookmarkStart w:name="_Toc227838458" w:id="372"/>
      <w:r>
        <w:rPr>
          <w:rFonts w:ascii="Arial" w:hAnsi="Arial" w:cs="Arial"/>
          <w:szCs w:val="20"/>
        </w:rPr>
        <w:t>Third Parties.</w:t>
      </w:r>
      <w:bookmarkEnd w:id="371"/>
      <w:bookmarkEnd w:id="372"/>
    </w:p>
    <w:p w:rsidRPr="006E0A0D" w:rsidR="00D96326" w:rsidRDefault="00D96326" w14:paraId="218B7895" w14:textId="49233172">
      <w:pPr>
        <w:pStyle w:val="zGNormal"/>
      </w:pPr>
      <w:r>
        <w:t xml:space="preserve"> Except as provided in Section 14.3 (</w:t>
      </w:r>
      <w:r>
        <w:rPr>
          <w:i/>
          <w:iCs/>
        </w:rPr>
        <w:t>Scope of</w:t>
      </w:r>
      <w:r>
        <w:t xml:space="preserve"> </w:t>
      </w:r>
      <w:r>
        <w:rPr>
          <w:i/>
        </w:rPr>
        <w:t>Indemnity</w:t>
      </w:r>
      <w:r>
        <w:t>), nothing in this PPA will be construed to create any duty, obligation or liability of GPC or Seller to any Person not a party to this PPA.</w:t>
      </w:r>
    </w:p>
    <w:p w:rsidRPr="006E0A0D" w:rsidR="00D96326" w:rsidP="00D96326" w:rsidRDefault="00D96326" w14:paraId="7E9DA466" w14:textId="77777777">
      <w:pPr>
        <w:pStyle w:val="zGTC02"/>
        <w:rPr>
          <w:rFonts w:ascii="Arial" w:hAnsi="Arial" w:eastAsia="PMingLiU" w:cs="Arial"/>
          <w:vanish/>
          <w:szCs w:val="20"/>
          <w:specVanish/>
        </w:rPr>
      </w:pPr>
      <w:bookmarkStart w:name="_Toc212475762" w:id="373"/>
      <w:bookmarkStart w:name="_Toc227838459" w:id="374"/>
      <w:r>
        <w:rPr>
          <w:rFonts w:ascii="Arial" w:hAnsi="Arial" w:cs="Arial"/>
          <w:szCs w:val="20"/>
        </w:rPr>
        <w:t>Agency.</w:t>
      </w:r>
      <w:bookmarkEnd w:id="373"/>
      <w:bookmarkEnd w:id="374"/>
    </w:p>
    <w:p w:rsidRPr="006E0A0D" w:rsidR="00D96326" w:rsidRDefault="00D96326" w14:paraId="00B8C6B5" w14:textId="59CF8E62">
      <w:pPr>
        <w:pStyle w:val="zGNormal"/>
      </w:pPr>
      <w:r>
        <w:t xml:space="preserve"> This PPA will not be interpreted or construed to create an association, joint venture, or partnership between the Parties or to impose any partnership obligation or liability upon either Party. Neither Party will have any right, power, or authority to enter into any agreement or undertaking for, or act on behalf of, or to act as or be an agent or representative of, or to otherwise bind, the other Party.</w:t>
      </w:r>
    </w:p>
    <w:p w:rsidRPr="006E0A0D" w:rsidR="00D96326" w:rsidP="00D96326" w:rsidRDefault="00D96326" w14:paraId="4BABC5BA" w14:textId="77777777">
      <w:pPr>
        <w:pStyle w:val="zGTC02"/>
        <w:rPr>
          <w:rFonts w:ascii="Arial" w:hAnsi="Arial" w:eastAsia="PMingLiU" w:cs="Arial"/>
          <w:vanish/>
          <w:szCs w:val="20"/>
          <w:specVanish/>
        </w:rPr>
      </w:pPr>
      <w:bookmarkStart w:name="_Toc212475763" w:id="375"/>
      <w:bookmarkStart w:name="_Toc227838460" w:id="376"/>
      <w:r>
        <w:rPr>
          <w:rFonts w:ascii="Arial" w:hAnsi="Arial" w:cs="Arial"/>
          <w:szCs w:val="20"/>
        </w:rPr>
        <w:t>Severability.</w:t>
      </w:r>
      <w:bookmarkEnd w:id="375"/>
      <w:bookmarkEnd w:id="376"/>
    </w:p>
    <w:p w:rsidRPr="006E0A0D" w:rsidR="00D96326" w:rsidRDefault="00D96326" w14:paraId="17CD3E5A" w14:textId="0B925221">
      <w:pPr>
        <w:pStyle w:val="zGNormal"/>
      </w:pPr>
      <w:r>
        <w:t xml:space="preserve"> If any term or provision of this PPA or its application to any Person or circumstance is determined to any extent to be invalid or unenforceable, the remainder of this PPA, or the application of such term or provision to Persons or circumstances other than those as to which it is invalid or unenforceable, will not be affected by such determination, and each term and provision of this PPA will be valid and enforceable to the fullest extent permitted by law. The Parties agree to negotiate in good faith</w:t>
      </w:r>
      <w:r>
        <w:rPr>
          <w:color w:val="000000"/>
        </w:rPr>
        <w:t xml:space="preserve"> to modify this PPA to replace </w:t>
      </w:r>
      <w:r>
        <w:t xml:space="preserve">or modify such </w:t>
      </w:r>
      <w:r>
        <w:rPr>
          <w:color w:val="000000"/>
        </w:rPr>
        <w:t xml:space="preserve">term or provision </w:t>
      </w:r>
      <w:proofErr w:type="gramStart"/>
      <w:r>
        <w:rPr>
          <w:color w:val="000000"/>
        </w:rPr>
        <w:t>so as to</w:t>
      </w:r>
      <w:proofErr w:type="gramEnd"/>
      <w:r>
        <w:rPr>
          <w:color w:val="000000"/>
        </w:rPr>
        <w:t xml:space="preserve"> </w:t>
      </w:r>
      <w:proofErr w:type="gramStart"/>
      <w:r>
        <w:rPr>
          <w:color w:val="000000"/>
        </w:rPr>
        <w:t>effect</w:t>
      </w:r>
      <w:proofErr w:type="gramEnd"/>
      <w:r>
        <w:rPr>
          <w:color w:val="000000"/>
        </w:rPr>
        <w:t xml:space="preserve"> the original intent of the parties as closely as possible.</w:t>
      </w:r>
    </w:p>
    <w:p w:rsidRPr="006E0A0D" w:rsidR="00D96326" w:rsidP="00D96326" w:rsidRDefault="00D96326" w14:paraId="37DDB01A" w14:textId="77777777">
      <w:pPr>
        <w:pStyle w:val="zGTC02"/>
        <w:rPr>
          <w:rFonts w:ascii="Arial" w:hAnsi="Arial" w:eastAsia="PMingLiU" w:cs="Arial"/>
          <w:vanish/>
          <w:szCs w:val="20"/>
          <w:specVanish/>
        </w:rPr>
      </w:pPr>
      <w:bookmarkStart w:name="_Toc212475764" w:id="377"/>
      <w:bookmarkStart w:name="_Toc227838461" w:id="378"/>
      <w:r>
        <w:rPr>
          <w:rFonts w:ascii="Arial" w:hAnsi="Arial" w:cs="Arial"/>
          <w:szCs w:val="20"/>
        </w:rPr>
        <w:t>Negotiated Agreement.</w:t>
      </w:r>
      <w:bookmarkEnd w:id="377"/>
      <w:bookmarkEnd w:id="378"/>
    </w:p>
    <w:p w:rsidRPr="006E0A0D" w:rsidR="00D96326" w:rsidRDefault="00D96326" w14:paraId="4EB9B222" w14:textId="77777777">
      <w:pPr>
        <w:pStyle w:val="zGNormal"/>
      </w:pPr>
      <w:r>
        <w:t xml:space="preserve"> This PPA will be considered for all purposes as prepared through the joint efforts of the Parties and will not be construed against one Party or the other because of the preparation, substitution, or other event of negotiation, drafting or execution of this PPA.</w:t>
      </w:r>
    </w:p>
    <w:p w:rsidRPr="006E0A0D" w:rsidR="00D96326" w:rsidP="00D96326" w:rsidRDefault="00D96326" w14:paraId="44F39047" w14:textId="77777777">
      <w:pPr>
        <w:pStyle w:val="zGTC02"/>
        <w:rPr>
          <w:rFonts w:ascii="Arial" w:hAnsi="Arial" w:eastAsia="PMingLiU" w:cs="Arial"/>
          <w:vanish/>
          <w:szCs w:val="20"/>
          <w:specVanish/>
        </w:rPr>
      </w:pPr>
      <w:bookmarkStart w:name="_Toc212475765" w:id="379"/>
      <w:bookmarkStart w:name="_Toc227838462" w:id="380"/>
      <w:r>
        <w:rPr>
          <w:rFonts w:ascii="Arial" w:hAnsi="Arial" w:cs="Arial"/>
          <w:szCs w:val="20"/>
        </w:rPr>
        <w:t>Confidentiality.</w:t>
      </w:r>
      <w:bookmarkEnd w:id="379"/>
      <w:bookmarkEnd w:id="380"/>
    </w:p>
    <w:p w:rsidRPr="006E0A0D" w:rsidR="00D96326" w:rsidRDefault="00D96326" w14:paraId="4EF2CA09" w14:textId="77777777">
      <w:pPr>
        <w:pStyle w:val="zGTC02"/>
        <w:numPr>
          <w:ilvl w:val="0"/>
          <w:numId w:val="0"/>
        </w:numPr>
        <w:rPr>
          <w:rFonts w:ascii="Arial" w:hAnsi="Arial" w:cs="Arial"/>
          <w:szCs w:val="20"/>
        </w:rPr>
      </w:pPr>
    </w:p>
    <w:p w:rsidRPr="006E0A0D" w:rsidR="00D96326" w:rsidP="00145F36" w:rsidRDefault="00D96326" w14:paraId="533D97BB" w14:textId="74343207">
      <w:pPr>
        <w:pStyle w:val="zGTC03"/>
        <w:tabs>
          <w:tab w:val="clear" w:pos="1368"/>
          <w:tab w:val="num" w:pos="1530"/>
        </w:tabs>
      </w:pPr>
      <w:r>
        <w:rPr>
          <w:b/>
          <w:bCs/>
        </w:rPr>
        <w:t>Confidentiality Obligations.</w:t>
      </w:r>
      <w:r>
        <w:t xml:space="preserve"> </w:t>
      </w:r>
      <w:r>
        <w:rPr>
          <w:rFonts w:cs="Arial"/>
        </w:rPr>
        <w:t>Each Party acknowledges that portions of this PPA contain Confidential Information and may require the Parties to disclose additional Confidential Information to one another. Each Party agrees that</w:t>
      </w:r>
      <w:r>
        <w:t xml:space="preserve"> </w:t>
      </w:r>
      <w:r>
        <w:rPr>
          <w:rFonts w:cs="Arial"/>
        </w:rPr>
        <w:t xml:space="preserve">it will not, without the written consent of the other Party or as otherwise provided in this PPA, disclose a disclosing Party’s Confidential Information to any third party, except that receiving Party may disclose Confidential Information: </w:t>
      </w:r>
      <w:r>
        <w:t>(</w:t>
      </w:r>
      <w:proofErr w:type="spellStart"/>
      <w:r>
        <w:t>i</w:t>
      </w:r>
      <w:proofErr w:type="spellEnd"/>
      <w:r>
        <w:t>) to its Affiliates, consultants, agents, advisors</w:t>
      </w:r>
      <w:r>
        <w:rPr>
          <w:szCs w:val="20"/>
        </w:rPr>
        <w:t xml:space="preserve"> </w:t>
      </w:r>
      <w:r>
        <w:rPr>
          <w:rFonts w:cs="Arial"/>
          <w:szCs w:val="20"/>
        </w:rPr>
        <w:t>or actual and potential funding sources</w:t>
      </w:r>
      <w:r>
        <w:t xml:space="preserve"> who: (a) need to know or have a contractual right to the information concerning the receiving Party’s performance of its obligations under this PPA</w:t>
      </w:r>
      <w:r>
        <w:rPr>
          <w:rFonts w:cs="Arial"/>
        </w:rPr>
        <w:t>; and (b) are subject to an obligation in writing or pursuant to a legally recognized fiduciary o</w:t>
      </w:r>
      <w:r w:rsidR="008E5B34">
        <w:rPr>
          <w:rFonts w:cs="Arial"/>
        </w:rPr>
        <w:t>r</w:t>
      </w:r>
      <w:r>
        <w:rPr>
          <w:rFonts w:cs="Arial"/>
        </w:rPr>
        <w:t xml:space="preserve"> professional duty to maintain confidentiality of Confidential Information; </w:t>
      </w:r>
      <w:r>
        <w:t xml:space="preserve">(ii) to its contractors, vendors, and </w:t>
      </w:r>
      <w:r w:rsidR="00250FFE">
        <w:t>purchasers</w:t>
      </w:r>
      <w:r>
        <w:t xml:space="preserve"> who require access to the Confidential Information and are subject to legally binding confidentiality obligations that are at least as protective of the Confidential Information as those set forth in this PPA;</w:t>
      </w:r>
      <w:r>
        <w:rPr>
          <w:rFonts w:cs="Arial"/>
        </w:rPr>
        <w:t xml:space="preserve"> and (iii) to the extent required by applicable law. Seller acknowledges and agrees that all price and payment information provided by GPC to Seller is Confidential Information.</w:t>
      </w:r>
    </w:p>
    <w:p w:rsidRPr="006E0A0D" w:rsidR="00D96326" w:rsidP="000A2525" w:rsidRDefault="00D96326" w14:paraId="7CF2C050" w14:textId="45C03FE5">
      <w:pPr>
        <w:pStyle w:val="zGTC03"/>
        <w:tabs>
          <w:tab w:val="clear" w:pos="1368"/>
          <w:tab w:val="num" w:pos="1530"/>
        </w:tabs>
        <w:spacing w:line="259" w:lineRule="auto"/>
      </w:pPr>
      <w:r>
        <w:rPr>
          <w:b/>
          <w:bCs/>
        </w:rPr>
        <w:t xml:space="preserve">Disclosure of Confidential Information to </w:t>
      </w:r>
      <w:r w:rsidR="001A11A4">
        <w:rPr>
          <w:b/>
          <w:bCs/>
        </w:rPr>
        <w:t>a Governmental Authority</w:t>
      </w:r>
      <w:r>
        <w:rPr>
          <w:b/>
          <w:bCs/>
        </w:rPr>
        <w:t>.</w:t>
      </w:r>
      <w:r>
        <w:t xml:space="preserve"> </w:t>
      </w:r>
      <w:r w:rsidR="005B6F35">
        <w:t xml:space="preserve">Each Party agrees that if applicable law requires the disclosure of Confidential Information to a Governmental Authority, including the Commission or FERC, the disclosing Party will take reasonable efforts to obtain protection from disclosure of such Confidential Information under the trade secret </w:t>
      </w:r>
      <w:r w:rsidR="0007354C">
        <w:t>rules or other rules concerning confidentiality</w:t>
      </w:r>
      <w:r w:rsidR="005B6F35">
        <w:t xml:space="preserve"> of the applicable Governmental Authority; provided that nothing in this Section 20.16.2 (</w:t>
      </w:r>
      <w:r w:rsidRPr="00665B82" w:rsidR="005B6F35">
        <w:rPr>
          <w:i/>
          <w:iCs/>
        </w:rPr>
        <w:t>Disclosure of Confidential Information to a Governmental Authority</w:t>
      </w:r>
      <w:r w:rsidR="005B6F35">
        <w:t xml:space="preserve">) will require GPC to take any legal action against any Governmental Authority, including any requirement to appeal a determination concerning Confidential Information. </w:t>
      </w:r>
      <w:r w:rsidRPr="00C22425" w:rsidR="005B6F35">
        <w:t xml:space="preserve">Seller understands and acknowledges that certain terms, conditions, and provisions of this PPA </w:t>
      </w:r>
      <w:r w:rsidR="005B6F35">
        <w:t>must</w:t>
      </w:r>
      <w:r w:rsidRPr="00C22425" w:rsidR="005B6F35">
        <w:t xml:space="preserve"> be disclosed in connection with GPC’s regulatory obligations before the Commission, including the application for the Commission Certificate. </w:t>
      </w:r>
      <w:r w:rsidR="005B6F35">
        <w:t>GPC makes no</w:t>
      </w:r>
      <w:r w:rsidRPr="00C22425" w:rsidR="005B6F35">
        <w:t xml:space="preserve"> assurance or commitment regarding GPC’s ability to obtain requested confidential treatment from </w:t>
      </w:r>
      <w:r w:rsidR="005B6F35">
        <w:t>any Governmental Authority, including the</w:t>
      </w:r>
      <w:r w:rsidRPr="00C22425" w:rsidR="005B6F35">
        <w:t xml:space="preserve"> Commission</w:t>
      </w:r>
      <w:r w:rsidR="005B6F35">
        <w:t xml:space="preserve"> or FERC</w:t>
      </w:r>
      <w:r w:rsidRPr="00C22425" w:rsidR="005B6F35">
        <w:t>.</w:t>
      </w:r>
      <w:r w:rsidR="005B6F35">
        <w:t xml:space="preserve"> </w:t>
      </w:r>
    </w:p>
    <w:p w:rsidRPr="006E0A0D" w:rsidR="00D96326" w:rsidP="00145F36" w:rsidRDefault="00D96326" w14:paraId="3C61FC3F" w14:textId="5EAC5875">
      <w:pPr>
        <w:pStyle w:val="zGTC03"/>
        <w:tabs>
          <w:tab w:val="clear" w:pos="1368"/>
          <w:tab w:val="num" w:pos="1530"/>
        </w:tabs>
      </w:pPr>
      <w:r>
        <w:rPr>
          <w:b/>
          <w:bCs/>
        </w:rPr>
        <w:t>Public Statements.</w:t>
      </w:r>
      <w:r>
        <w:t xml:space="preserve"> Any public statement or other announcement by a Party concerning the transaction described in this PPA will be reviewed and agreed upon by the Parties before release, which agreement will not be unreasonably withheld, conditioned, or delayed. Seller and its Affiliates must not issue any public statement (including any news release, internet, website, social media posting, or other publication) </w:t>
      </w:r>
      <w:r w:rsidR="00D95BD8">
        <w:t>with respect to</w:t>
      </w:r>
      <w:r>
        <w:t>: (</w:t>
      </w:r>
      <w:proofErr w:type="spellStart"/>
      <w:r>
        <w:t>i</w:t>
      </w:r>
      <w:proofErr w:type="spellEnd"/>
      <w:r>
        <w:t xml:space="preserve">) this PPA or the transactions described in this PPA; (ii) the Facility </w:t>
      </w:r>
      <w:r w:rsidR="0032085A">
        <w:t>with respect to</w:t>
      </w:r>
      <w:r>
        <w:t xml:space="preserve"> this PPA; or (iii) Seller’s relationship with GPC without the communication first being reviewed and agreed upon by the Parties before release to the public. In addition, Seller is responsible for ensuring </w:t>
      </w:r>
      <w:r>
        <w:lastRenderedPageBreak/>
        <w:t xml:space="preserve">that its contractors, Affiliates, and contractual counterparties, and each of their respective employees, contractors, and agents, fully comply with </w:t>
      </w:r>
      <w:proofErr w:type="gramStart"/>
      <w:r>
        <w:t>this Section</w:t>
      </w:r>
      <w:proofErr w:type="gramEnd"/>
      <w:r>
        <w:t xml:space="preserve"> 20.16.</w:t>
      </w:r>
      <w:r w:rsidR="00B53B11">
        <w:t>3</w:t>
      </w:r>
      <w:r>
        <w:t xml:space="preserve"> (</w:t>
      </w:r>
      <w:r>
        <w:rPr>
          <w:i/>
          <w:iCs/>
        </w:rPr>
        <w:t>Public Statements</w:t>
      </w:r>
      <w:r>
        <w:t>).</w:t>
      </w:r>
    </w:p>
    <w:p w:rsidRPr="006E0A0D" w:rsidR="00D96326" w:rsidP="00145F36" w:rsidRDefault="00D96326" w14:paraId="715F9D62" w14:textId="2B78DE92">
      <w:pPr>
        <w:pStyle w:val="zGTC03"/>
        <w:tabs>
          <w:tab w:val="clear" w:pos="1368"/>
          <w:tab w:val="num" w:pos="1530"/>
        </w:tabs>
      </w:pPr>
      <w:r>
        <w:t xml:space="preserve"> </w:t>
      </w:r>
      <w:r>
        <w:rPr>
          <w:b/>
          <w:bCs/>
        </w:rPr>
        <w:t>Designation of Confidential Information.</w:t>
      </w:r>
      <w:r>
        <w:t xml:space="preserve"> </w:t>
      </w:r>
      <w:r>
        <w:rPr>
          <w:rFonts w:eastAsia="Arial"/>
        </w:rPr>
        <w:t xml:space="preserve">Confidential Information </w:t>
      </w:r>
      <w:proofErr w:type="gramStart"/>
      <w:r>
        <w:rPr>
          <w:rFonts w:eastAsia="Arial"/>
        </w:rPr>
        <w:t>not</w:t>
      </w:r>
      <w:proofErr w:type="gramEnd"/>
      <w:r>
        <w:rPr>
          <w:rFonts w:eastAsia="Arial"/>
        </w:rPr>
        <w:t xml:space="preserve"> designated by this PPA as Confidential Information must be designated in writing as confidential by the disclosing Party to the receiving Party contemporaneously with the supply of the information to the receiving Party. In addition to information designated as Confidential Information in other sections of this PPA, the Parties designate the following information as Confidential Information: (</w:t>
      </w:r>
      <w:proofErr w:type="spellStart"/>
      <w:r>
        <w:rPr>
          <w:rFonts w:eastAsia="Arial"/>
        </w:rPr>
        <w:t>i</w:t>
      </w:r>
      <w:proofErr w:type="spellEnd"/>
      <w:r>
        <w:rPr>
          <w:rFonts w:eastAsia="Arial"/>
        </w:rPr>
        <w:t>) PPA pricing and payment information; (ii) non-public Electric System information; and (iii) GPC technical requirements.</w:t>
      </w:r>
    </w:p>
    <w:p w:rsidRPr="006E0A0D" w:rsidR="00D96326" w:rsidP="00145F36" w:rsidRDefault="00D96326" w14:paraId="7C25B103" w14:textId="31E1B4AD">
      <w:pPr>
        <w:pStyle w:val="zGTC03"/>
        <w:tabs>
          <w:tab w:val="clear" w:pos="1368"/>
          <w:tab w:val="num" w:pos="1530"/>
        </w:tabs>
      </w:pPr>
      <w:r>
        <w:rPr>
          <w:rFonts w:eastAsia="Arial"/>
          <w:b/>
          <w:bCs/>
        </w:rPr>
        <w:t xml:space="preserve">GPC’s Use of </w:t>
      </w:r>
      <w:r w:rsidR="003B1303">
        <w:rPr>
          <w:rFonts w:eastAsia="Arial"/>
          <w:b/>
          <w:bCs/>
        </w:rPr>
        <w:t xml:space="preserve">Facility </w:t>
      </w:r>
      <w:r>
        <w:rPr>
          <w:rFonts w:eastAsia="Arial"/>
          <w:b/>
          <w:bCs/>
        </w:rPr>
        <w:t>Operational Data.</w:t>
      </w:r>
      <w:r>
        <w:rPr>
          <w:rFonts w:eastAsia="Arial"/>
        </w:rPr>
        <w:t xml:space="preserve"> Despite any other provision in this PPA, GPC may share </w:t>
      </w:r>
      <w:r w:rsidR="003B1303">
        <w:rPr>
          <w:rFonts w:eastAsia="Arial"/>
        </w:rPr>
        <w:t xml:space="preserve">Facility </w:t>
      </w:r>
      <w:r>
        <w:rPr>
          <w:rFonts w:eastAsia="Arial"/>
        </w:rPr>
        <w:t>operational data (but not pricing information) including actual generation data, generation forecast data, weather station data, and loss and efficiency data with third parties for the purpose of analysis, modeling, model development and validation, and forecasting.</w:t>
      </w:r>
    </w:p>
    <w:p w:rsidRPr="006E0A0D" w:rsidR="00D96326" w:rsidP="00145F36" w:rsidRDefault="00D96326" w14:paraId="476C305C" w14:textId="3826F92A">
      <w:pPr>
        <w:pStyle w:val="zGTC03"/>
        <w:tabs>
          <w:tab w:val="clear" w:pos="1368"/>
          <w:tab w:val="num" w:pos="1530"/>
        </w:tabs>
      </w:pPr>
      <w:r>
        <w:rPr>
          <w:b/>
          <w:bCs/>
        </w:rPr>
        <w:t>Survival of Confidentiality Obligations.</w:t>
      </w:r>
      <w:r>
        <w:t xml:space="preserve"> </w:t>
      </w:r>
      <w:r>
        <w:rPr>
          <w:rFonts w:eastAsia="PMingLiU"/>
        </w:rPr>
        <w:t>Despite any other PPA provision, the terms of this Section 20.16 (</w:t>
      </w:r>
      <w:r>
        <w:rPr>
          <w:rFonts w:eastAsia="PMingLiU"/>
          <w:i/>
          <w:iCs/>
        </w:rPr>
        <w:t>Confidentiality</w:t>
      </w:r>
      <w:r>
        <w:rPr>
          <w:rFonts w:eastAsia="PMingLiU"/>
        </w:rPr>
        <w:t>) will survive for a period of three years after the termination or expiration of this PPA, except that, to the extent any Confidential Information constitutes a “trade secret” under any applicable law, the receiving Party’s obligations under Section 20.16 will apply for the life of such trade secret.</w:t>
      </w:r>
    </w:p>
    <w:p w:rsidRPr="006E0A0D" w:rsidR="00D96326" w:rsidP="00D96326" w:rsidRDefault="00D96326" w14:paraId="76A6BBED" w14:textId="77777777">
      <w:pPr>
        <w:pStyle w:val="zGTC02"/>
        <w:rPr>
          <w:rFonts w:ascii="Arial" w:hAnsi="Arial" w:eastAsia="PMingLiU" w:cs="Arial"/>
          <w:vanish/>
          <w:szCs w:val="20"/>
          <w:specVanish/>
        </w:rPr>
      </w:pPr>
      <w:bookmarkStart w:name="_Toc212475766" w:id="381"/>
      <w:bookmarkStart w:name="_Toc227838463" w:id="382"/>
      <w:r>
        <w:rPr>
          <w:rFonts w:ascii="Arial" w:hAnsi="Arial" w:cs="Arial"/>
          <w:szCs w:val="20"/>
        </w:rPr>
        <w:t>Contract Interpretation.</w:t>
      </w:r>
      <w:bookmarkEnd w:id="381"/>
      <w:bookmarkEnd w:id="382"/>
    </w:p>
    <w:p w:rsidRPr="006E0A0D" w:rsidR="00D96326" w:rsidRDefault="00D96326" w14:paraId="758477F1" w14:textId="77777777">
      <w:pPr>
        <w:pStyle w:val="zGNormal"/>
        <w:rPr>
          <w:rFonts w:eastAsia="Times New Roman"/>
        </w:rPr>
      </w:pPr>
      <w:r>
        <w:t xml:space="preserve"> </w:t>
      </w:r>
      <w:r>
        <w:rPr>
          <w:rFonts w:eastAsia="Times New Roman"/>
        </w:rPr>
        <w:t xml:space="preserve"> Each exhibit, attachment, appendix, schedule, regulatory requirement, policy, procedure, standard, or other document attached to or referenced in this PPA (expressly including the </w:t>
      </w:r>
      <w:r>
        <w:rPr>
          <w:rFonts w:eastAsia="Times New Roman"/>
          <w:i/>
        </w:rPr>
        <w:t>Schedule of Defined Terms</w:t>
      </w:r>
      <w:r>
        <w:rPr>
          <w:rFonts w:eastAsia="Times New Roman"/>
        </w:rPr>
        <w:t>) is incorporated into, and is integral to, this PPA as if included in the main body. In this PPA and in all attached or incorporated documents: (</w:t>
      </w:r>
      <w:proofErr w:type="spellStart"/>
      <w:r>
        <w:rPr>
          <w:rFonts w:eastAsia="Times New Roman"/>
        </w:rPr>
        <w:t>i</w:t>
      </w:r>
      <w:proofErr w:type="spellEnd"/>
      <w:r>
        <w:rPr>
          <w:rFonts w:eastAsia="Times New Roman"/>
        </w:rPr>
        <w:t>) whenever the term “</w:t>
      </w:r>
      <w:r>
        <w:rPr>
          <w:rFonts w:eastAsia="Times New Roman"/>
          <w:b/>
        </w:rPr>
        <w:t>include</w:t>
      </w:r>
      <w:r>
        <w:rPr>
          <w:rFonts w:eastAsia="Times New Roman"/>
        </w:rPr>
        <w:t>,” “</w:t>
      </w:r>
      <w:r>
        <w:rPr>
          <w:rFonts w:eastAsia="Times New Roman"/>
          <w:b/>
        </w:rPr>
        <w:t>including</w:t>
      </w:r>
      <w:r>
        <w:rPr>
          <w:rFonts w:eastAsia="Times New Roman"/>
        </w:rPr>
        <w:t>,” or “</w:t>
      </w:r>
      <w:r>
        <w:rPr>
          <w:rFonts w:eastAsia="Times New Roman"/>
          <w:b/>
        </w:rPr>
        <w:t>e.g.</w:t>
      </w:r>
      <w:r>
        <w:rPr>
          <w:rFonts w:eastAsia="Times New Roman"/>
        </w:rPr>
        <w:t>” is used in connection with a listing of items included within or an example of the prior reference, the listing will be interpreted to be illustrative only, and will not be interpreted as a limitation on or exclusive listing of the items included in the prior reference; and (ii) “</w:t>
      </w:r>
      <w:r>
        <w:rPr>
          <w:rFonts w:eastAsia="Times New Roman"/>
          <w:b/>
        </w:rPr>
        <w:t>or</w:t>
      </w:r>
      <w:r>
        <w:rPr>
          <w:rFonts w:eastAsia="Times New Roman"/>
        </w:rPr>
        <w:t>” means either or all (i.e., “A or B” means “A or B or both A and B”).</w:t>
      </w:r>
    </w:p>
    <w:p w:rsidRPr="006E0A0D" w:rsidR="00D96326" w:rsidRDefault="00D96326" w14:paraId="75FA5AB3" w14:textId="77777777">
      <w:pPr>
        <w:pStyle w:val="zGNormal"/>
        <w:rPr>
          <w:rFonts w:eastAsia="Times New Roman"/>
        </w:rPr>
      </w:pPr>
      <w:r>
        <w:rPr>
          <w:rFonts w:eastAsia="Times New Roman"/>
        </w:rPr>
        <w:t>Unless otherwise specified, a reference to a given agreement or document, and all the schedules, exhibits, appendices, and attachments to the agreement or document, will be a reference to that agreement or document as modified, amended, supplemented, or restated, and in effect from time to time. Whenever the term “</w:t>
      </w:r>
      <w:r>
        <w:rPr>
          <w:rFonts w:eastAsia="Times New Roman"/>
          <w:b/>
        </w:rPr>
        <w:t>consent</w:t>
      </w:r>
      <w:r>
        <w:rPr>
          <w:rFonts w:eastAsia="Times New Roman"/>
        </w:rPr>
        <w:t>” or “</w:t>
      </w:r>
      <w:r>
        <w:rPr>
          <w:rFonts w:eastAsia="Times New Roman"/>
          <w:b/>
        </w:rPr>
        <w:t>approval</w:t>
      </w:r>
      <w:r>
        <w:rPr>
          <w:rFonts w:eastAsia="Times New Roman"/>
        </w:rPr>
        <w:t>” is used, the consent or approval will not be unreasonably withheld, conditioned, or delayed by the consenting or approving Party, unless this PPA provides that the consent or approval is in the sole discretion of the consenting Party. If the Party has provided email contact information, “</w:t>
      </w:r>
      <w:r>
        <w:rPr>
          <w:rFonts w:eastAsia="Times New Roman"/>
          <w:b/>
        </w:rPr>
        <w:t>written</w:t>
      </w:r>
      <w:r>
        <w:rPr>
          <w:rFonts w:eastAsia="Times New Roman"/>
        </w:rPr>
        <w:t>” or “</w:t>
      </w:r>
      <w:r>
        <w:rPr>
          <w:rFonts w:eastAsia="Times New Roman"/>
          <w:b/>
        </w:rPr>
        <w:t>in writing</w:t>
      </w:r>
      <w:r>
        <w:rPr>
          <w:rFonts w:eastAsia="Times New Roman"/>
        </w:rPr>
        <w:t xml:space="preserve">” includes email communication, absent express statement otherwise. </w:t>
      </w:r>
    </w:p>
    <w:p w:rsidRPr="006E0A0D" w:rsidR="00D96326" w:rsidRDefault="00D96326" w14:paraId="20767280" w14:textId="17579C04">
      <w:pPr>
        <w:pStyle w:val="zGNormal"/>
        <w:rPr>
          <w:rFonts w:eastAsia="Times New Roman"/>
        </w:rPr>
      </w:pPr>
      <w:r>
        <w:rPr>
          <w:rFonts w:eastAsia="Times New Roman"/>
        </w:rPr>
        <w:t>Reference to: (</w:t>
      </w:r>
      <w:proofErr w:type="spellStart"/>
      <w:r>
        <w:rPr>
          <w:rFonts w:eastAsia="Times New Roman"/>
        </w:rPr>
        <w:t>i</w:t>
      </w:r>
      <w:proofErr w:type="spellEnd"/>
      <w:r>
        <w:rPr>
          <w:rFonts w:eastAsia="Times New Roman"/>
        </w:rPr>
        <w:t xml:space="preserve">) a Party or Person includes any allowed successor or assign; (ii) a regulatory authority includes an authority succeeding </w:t>
      </w:r>
      <w:proofErr w:type="gramStart"/>
      <w:r>
        <w:rPr>
          <w:rFonts w:eastAsia="Times New Roman"/>
        </w:rPr>
        <w:t>to</w:t>
      </w:r>
      <w:proofErr w:type="gramEnd"/>
      <w:r>
        <w:rPr>
          <w:rFonts w:eastAsia="Times New Roman"/>
        </w:rPr>
        <w:t xml:space="preserve"> the same function; and (iii) an applicable law is to the law as modified or amended and then effective. </w:t>
      </w:r>
      <w:r>
        <w:rPr>
          <w:rFonts w:eastAsia="PMingLiU"/>
        </w:rPr>
        <w:t xml:space="preserve">Reference to a PPA part by caption </w:t>
      </w:r>
      <w:r w:rsidR="007D3062">
        <w:rPr>
          <w:rFonts w:eastAsia="PMingLiU"/>
        </w:rPr>
        <w:t xml:space="preserve">(e.g., </w:t>
      </w:r>
      <w:r w:rsidRPr="007D3062" w:rsidR="007D3062">
        <w:rPr>
          <w:rFonts w:eastAsia="PMingLiU"/>
          <w:i/>
          <w:iCs/>
        </w:rPr>
        <w:t>Facility Operations</w:t>
      </w:r>
      <w:r w:rsidR="007D3062">
        <w:rPr>
          <w:rFonts w:eastAsia="PMingLiU"/>
        </w:rPr>
        <w:t xml:space="preserve">) </w:t>
      </w:r>
      <w:r>
        <w:rPr>
          <w:rFonts w:eastAsia="PMingLiU"/>
        </w:rPr>
        <w:t xml:space="preserve">or number </w:t>
      </w:r>
      <w:r w:rsidR="007D3062">
        <w:rPr>
          <w:rFonts w:eastAsia="PMingLiU"/>
        </w:rPr>
        <w:t>(e.g., Part 6 (</w:t>
      </w:r>
      <w:r w:rsidRPr="007D3062" w:rsidR="007D3062">
        <w:rPr>
          <w:rFonts w:eastAsia="PMingLiU"/>
          <w:i/>
          <w:iCs/>
        </w:rPr>
        <w:t>Performance Security</w:t>
      </w:r>
      <w:r w:rsidR="007D3062">
        <w:rPr>
          <w:rFonts w:eastAsia="PMingLiU"/>
        </w:rPr>
        <w:t xml:space="preserve">) </w:t>
      </w:r>
      <w:r>
        <w:rPr>
          <w:rFonts w:eastAsia="PMingLiU"/>
        </w:rPr>
        <w:t>includes all separate sections</w:t>
      </w:r>
      <w:r w:rsidR="007D3062">
        <w:rPr>
          <w:rFonts w:eastAsia="PMingLiU"/>
        </w:rPr>
        <w:t xml:space="preserve"> (e.g. Section 6.2 (</w:t>
      </w:r>
      <w:r w:rsidRPr="008340A6" w:rsidR="007D3062">
        <w:rPr>
          <w:rFonts w:eastAsia="PMingLiU"/>
          <w:i/>
          <w:iCs/>
        </w:rPr>
        <w:t>Replacement Collateral</w:t>
      </w:r>
      <w:r w:rsidR="007D3062">
        <w:rPr>
          <w:rFonts w:eastAsia="PMingLiU"/>
        </w:rPr>
        <w:t xml:space="preserve">; </w:t>
      </w:r>
      <w:r w:rsidRPr="008340A6" w:rsidR="007D3062">
        <w:rPr>
          <w:rFonts w:eastAsia="PMingLiU"/>
          <w:i/>
          <w:iCs/>
        </w:rPr>
        <w:t>Substituted Collateral</w:t>
      </w:r>
      <w:r w:rsidR="007D3062">
        <w:rPr>
          <w:rFonts w:eastAsia="PMingLiU"/>
        </w:rPr>
        <w:t xml:space="preserve">; </w:t>
      </w:r>
      <w:r w:rsidRPr="008340A6" w:rsidR="007D3062">
        <w:rPr>
          <w:rFonts w:eastAsia="PMingLiU"/>
          <w:i/>
          <w:iCs/>
        </w:rPr>
        <w:t>Release of Collateral</w:t>
      </w:r>
      <w:r w:rsidR="007D3062">
        <w:rPr>
          <w:rFonts w:eastAsia="PMingLiU"/>
        </w:rPr>
        <w:t xml:space="preserve">)) </w:t>
      </w:r>
      <w:r w:rsidR="00134E7B">
        <w:rPr>
          <w:rFonts w:eastAsia="PMingLiU"/>
        </w:rPr>
        <w:t>and subsections (e.g., Section 6.2.1 (</w:t>
      </w:r>
      <w:r w:rsidRPr="00134E7B" w:rsidR="00134E7B">
        <w:rPr>
          <w:rFonts w:eastAsia="PMingLiU"/>
          <w:i/>
          <w:iCs/>
        </w:rPr>
        <w:t>Replacement Collateral</w:t>
      </w:r>
      <w:r w:rsidR="00134E7B">
        <w:rPr>
          <w:rFonts w:eastAsia="PMingLiU"/>
        </w:rPr>
        <w:t xml:space="preserve">)) </w:t>
      </w:r>
      <w:r w:rsidR="007D3062">
        <w:rPr>
          <w:rFonts w:eastAsia="PMingLiU"/>
        </w:rPr>
        <w:t xml:space="preserve">within that part </w:t>
      </w:r>
      <w:r>
        <w:rPr>
          <w:rFonts w:eastAsia="PMingLiU"/>
        </w:rPr>
        <w:t>and reference to a section by caption or number includes all separate clauses within that section.</w:t>
      </w:r>
      <w:r>
        <w:rPr>
          <w:rFonts w:eastAsia="Times New Roman"/>
        </w:rPr>
        <w:t xml:space="preserve"> To the extent there is a conflict between CPT and ET, CPT will prevail.</w:t>
      </w:r>
    </w:p>
    <w:p w:rsidRPr="006E0A0D" w:rsidR="00D96326" w:rsidRDefault="00D96326" w14:paraId="7B135A82" w14:textId="77777777">
      <w:pPr>
        <w:pStyle w:val="zGNormal"/>
      </w:pPr>
      <w:r>
        <w:rPr>
          <w:rFonts w:eastAsia="Times New Roman"/>
        </w:rPr>
        <w:t>A defined term may be singular or plural, as the context requires, and, absent an express statement otherwise, each defined term has the same meaning in all PPA documents. Captions are for convenience only and do not affect PPA interpretation.</w:t>
      </w:r>
    </w:p>
    <w:p w:rsidRPr="006E0A0D" w:rsidR="00D96326" w:rsidP="00D96326" w:rsidRDefault="00D96326" w14:paraId="30842E67" w14:textId="77777777">
      <w:pPr>
        <w:pStyle w:val="zGTC02"/>
        <w:rPr>
          <w:rFonts w:ascii="Arial" w:hAnsi="Arial" w:eastAsia="PMingLiU" w:cs="Arial"/>
          <w:vanish/>
          <w:szCs w:val="20"/>
          <w:specVanish/>
        </w:rPr>
      </w:pPr>
      <w:bookmarkStart w:name="_Toc212475767" w:id="383"/>
      <w:bookmarkStart w:name="_Toc227838464" w:id="384"/>
      <w:r>
        <w:rPr>
          <w:rFonts w:ascii="Arial" w:hAnsi="Arial" w:cs="Arial"/>
          <w:szCs w:val="20"/>
        </w:rPr>
        <w:t>Replacement Index.</w:t>
      </w:r>
      <w:bookmarkEnd w:id="383"/>
      <w:bookmarkEnd w:id="384"/>
    </w:p>
    <w:p w:rsidRPr="006E0A0D" w:rsidR="00D96326" w:rsidRDefault="00D96326" w14:paraId="59F504F3" w14:textId="77777777">
      <w:pPr>
        <w:pStyle w:val="zGNormal"/>
        <w:rPr>
          <w:w w:val="0"/>
        </w:rPr>
      </w:pPr>
      <w:r>
        <w:t xml:space="preserve"> </w:t>
      </w:r>
      <w:r>
        <w:rPr>
          <w:w w:val="0"/>
        </w:rPr>
        <w:t>Should any index or tariff referenced in this PPA be discontinued, no longer published, or deemed unrepresentative, the Parties will cooperate in establishing substitute benchmarks through reference to equivalent indices or tariffs</w:t>
      </w:r>
      <w:r>
        <w:t>.</w:t>
      </w:r>
    </w:p>
    <w:p w:rsidRPr="006E0A0D" w:rsidR="00D96326" w:rsidP="00D96326" w:rsidRDefault="00D96326" w14:paraId="27CBCED2" w14:textId="77777777">
      <w:pPr>
        <w:pStyle w:val="zGTC02"/>
        <w:rPr>
          <w:rFonts w:ascii="Arial" w:hAnsi="Arial" w:eastAsia="PMingLiU" w:cs="Arial"/>
          <w:vanish/>
          <w:szCs w:val="20"/>
          <w:specVanish/>
        </w:rPr>
      </w:pPr>
      <w:bookmarkStart w:name="_Toc212475768" w:id="385"/>
      <w:bookmarkStart w:name="_Toc227838465" w:id="386"/>
      <w:r>
        <w:rPr>
          <w:rFonts w:ascii="Arial" w:hAnsi="Arial" w:cs="Arial"/>
          <w:szCs w:val="20"/>
        </w:rPr>
        <w:t>Recording.</w:t>
      </w:r>
      <w:bookmarkEnd w:id="385"/>
      <w:bookmarkEnd w:id="386"/>
    </w:p>
    <w:p w:rsidRPr="006E0A0D" w:rsidR="00D96326" w:rsidRDefault="00D96326" w14:paraId="50CA2162" w14:textId="0E2B2323">
      <w:pPr>
        <w:pStyle w:val="zGNormal"/>
      </w:pPr>
      <w:r>
        <w:t xml:space="preserve"> Each Party acknowledges and consents to the tape or electronic recording of all telephone conversations between the Parties, and that any recordings will be retained in confidence, secured from improper access, and may be submitted in evidence in any proceeding or action relating to this PPA. Each Party waives any further notice of such monitoring or recording and agrees to notify its officers and employees of any monitoring or recording and to obtain any necessary consent of such officers and employees.</w:t>
      </w:r>
    </w:p>
    <w:p w:rsidRPr="006E0A0D" w:rsidR="00D96326" w:rsidP="00D96326" w:rsidRDefault="00D96326" w14:paraId="756F974C" w14:textId="77777777">
      <w:pPr>
        <w:pStyle w:val="zGTC02"/>
        <w:rPr>
          <w:rFonts w:ascii="Arial" w:hAnsi="Arial" w:eastAsia="PMingLiU" w:cs="Arial"/>
          <w:vanish/>
          <w:szCs w:val="20"/>
          <w:specVanish/>
        </w:rPr>
      </w:pPr>
      <w:bookmarkStart w:name="_Toc212475769" w:id="387"/>
      <w:bookmarkStart w:name="_Toc227838466" w:id="388"/>
      <w:r>
        <w:rPr>
          <w:rFonts w:ascii="Arial" w:hAnsi="Arial" w:cs="Arial"/>
          <w:szCs w:val="20"/>
        </w:rPr>
        <w:t>Further Assurances.</w:t>
      </w:r>
      <w:bookmarkEnd w:id="387"/>
      <w:bookmarkEnd w:id="388"/>
    </w:p>
    <w:p w:rsidRPr="006E0A0D" w:rsidR="00D96326" w:rsidRDefault="00D96326" w14:paraId="550C31A0" w14:textId="77777777">
      <w:pPr>
        <w:pStyle w:val="zGNormal"/>
      </w:pPr>
      <w:r>
        <w:t xml:space="preserve"> Each Party agrees to provide reasonable cooperation to the other Party as necessary to give effect to the terms of this PPA.</w:t>
      </w:r>
    </w:p>
    <w:p w:rsidRPr="006E0A0D" w:rsidR="00D96326" w:rsidP="00D96326" w:rsidRDefault="00D96326" w14:paraId="4FD89A12" w14:textId="77777777">
      <w:pPr>
        <w:pStyle w:val="zGTC02"/>
        <w:rPr>
          <w:rFonts w:ascii="Arial" w:hAnsi="Arial" w:eastAsia="PMingLiU" w:cs="Arial"/>
          <w:vanish/>
          <w:szCs w:val="20"/>
          <w:specVanish/>
        </w:rPr>
      </w:pPr>
      <w:bookmarkStart w:name="_Toc212475770" w:id="389"/>
      <w:bookmarkStart w:name="_Toc227838467" w:id="390"/>
      <w:r>
        <w:rPr>
          <w:rFonts w:ascii="Arial" w:hAnsi="Arial" w:cs="Arial"/>
          <w:szCs w:val="20"/>
        </w:rPr>
        <w:lastRenderedPageBreak/>
        <w:t>Transfer of Information Acknowledgement.</w:t>
      </w:r>
      <w:bookmarkEnd w:id="389"/>
      <w:bookmarkEnd w:id="390"/>
    </w:p>
    <w:p w:rsidR="00D96326" w:rsidRDefault="00D96326" w14:paraId="439B814D" w14:textId="029578AE">
      <w:pPr>
        <w:pStyle w:val="zGNormal"/>
      </w:pPr>
      <w:r>
        <w:t xml:space="preserve"> Seller agrees to execute contemporaneous with the execution of this PPA, the Transfer of Information Acknowledgement attached as </w:t>
      </w:r>
      <w:r>
        <w:rPr>
          <w:bCs/>
        </w:rPr>
        <w:t>Exhibit K (</w:t>
      </w:r>
      <w:r>
        <w:rPr>
          <w:bCs/>
          <w:i/>
          <w:iCs/>
        </w:rPr>
        <w:t>Transfer of Information Acknowledgement</w:t>
      </w:r>
      <w:r>
        <w:rPr>
          <w:bCs/>
        </w:rPr>
        <w:t>)</w:t>
      </w:r>
      <w:r>
        <w:t xml:space="preserve">, and GPC agrees to the limited use and confidential treatment of the information </w:t>
      </w:r>
      <w:r w:rsidR="005F5CF8">
        <w:t>as</w:t>
      </w:r>
      <w:r w:rsidR="007D36A8">
        <w:t xml:space="preserve"> </w:t>
      </w:r>
      <w:r>
        <w:t xml:space="preserve">set forth in Exhibit </w:t>
      </w:r>
      <w:r>
        <w:rPr>
          <w:bCs/>
        </w:rPr>
        <w:t>K</w:t>
      </w:r>
      <w:r>
        <w:t>.</w:t>
      </w:r>
    </w:p>
    <w:p w:rsidRPr="00025799" w:rsidR="00EF1C91" w:rsidP="00EF1C91" w:rsidRDefault="00EF1C91" w14:paraId="6C037AC7" w14:textId="77777777">
      <w:pPr>
        <w:pStyle w:val="zGTC02"/>
        <w:spacing w:line="360" w:lineRule="exact"/>
        <w:rPr>
          <w:vanish/>
          <w:kern w:val="2"/>
          <w:specVanish/>
          <w14:ligatures w14:val="standardContextual"/>
        </w:rPr>
      </w:pPr>
      <w:bookmarkStart w:name="_Toc202369353" w:id="391"/>
      <w:bookmarkStart w:name="_Toc212475771" w:id="392"/>
      <w:bookmarkStart w:name="_Toc227838468" w:id="393"/>
      <w:r>
        <w:rPr>
          <w:rFonts w:ascii="Arial" w:hAnsi="Arial" w:cs="Arial"/>
          <w:kern w:val="2"/>
          <w14:ligatures w14:val="standardContextual"/>
        </w:rPr>
        <w:t>Service Contract.</w:t>
      </w:r>
      <w:bookmarkEnd w:id="391"/>
      <w:bookmarkEnd w:id="392"/>
      <w:bookmarkEnd w:id="393"/>
      <w:r>
        <w:rPr>
          <w:rFonts w:cs="Arial"/>
          <w:kern w:val="2"/>
          <w14:ligatures w14:val="standardContextual"/>
        </w:rPr>
        <w:t xml:space="preserve"> </w:t>
      </w:r>
    </w:p>
    <w:p w:rsidR="00EF1C91" w:rsidP="00D62487" w:rsidRDefault="00EF1C91" w14:paraId="5C8A1EA6" w14:textId="77777777">
      <w:pPr>
        <w:pStyle w:val="zGNormal"/>
        <w:spacing w:before="0"/>
        <w:rPr>
          <w:b/>
        </w:rPr>
      </w:pPr>
      <w:r>
        <w:t xml:space="preserve">Each Party intends this </w:t>
      </w:r>
      <w:r>
        <w:rPr>
          <w:bCs/>
        </w:rPr>
        <w:t>PPA</w:t>
      </w:r>
      <w:r>
        <w:t xml:space="preserve"> to be a “service contract” within the meaning of Section 7701(e) of the Internal Revenue Code of 1986</w:t>
      </w:r>
      <w:r w:rsidRPr="00A406BA">
        <w:rPr>
          <w:bCs/>
        </w:rPr>
        <w:t xml:space="preserve">. </w:t>
      </w:r>
    </w:p>
    <w:p w:rsidR="00D96326" w:rsidRDefault="00D96326" w14:paraId="3FBC3BDE" w14:textId="77777777">
      <w:pPr>
        <w:pStyle w:val="zGNormal6"/>
        <w:jc w:val="center"/>
        <w:rPr>
          <w:b/>
          <w:bCs/>
        </w:rPr>
      </w:pPr>
      <w:r>
        <w:rPr>
          <w:b/>
          <w:bCs/>
          <w:highlight w:val="yellow"/>
        </w:rPr>
        <w:t>[Signature Page Follows]</w:t>
      </w:r>
    </w:p>
    <w:p w:rsidR="00325783" w:rsidRDefault="00325783" w14:paraId="0F5FD3CB" w14:textId="77777777">
      <w:pPr>
        <w:pStyle w:val="zGNormal6"/>
        <w:jc w:val="center"/>
        <w:sectPr w:rsidR="00325783" w:rsidSect="006B1C54">
          <w:headerReference w:type="default" r:id="rId24"/>
          <w:footerReference w:type="default" r:id="rId25"/>
          <w:pgSz w:w="12240" w:h="15840" w:code="1"/>
          <w:pgMar w:top="1080" w:right="1080" w:bottom="936" w:left="1224" w:header="432" w:footer="576" w:gutter="0"/>
          <w:cols w:space="720"/>
          <w:docGrid w:linePitch="360"/>
        </w:sectPr>
      </w:pPr>
    </w:p>
    <w:p w:rsidRPr="00F10071" w:rsidR="00325783" w:rsidRDefault="00325783" w14:paraId="0B4FCC5D" w14:textId="77777777">
      <w:pPr>
        <w:pStyle w:val="zGNormal6"/>
        <w:jc w:val="center"/>
      </w:pPr>
    </w:p>
    <w:p w:rsidRPr="004B3A6B" w:rsidR="00D96326" w:rsidRDefault="00D96326" w14:paraId="335185C5" w14:textId="77DC9DCE">
      <w:pPr>
        <w:keepNext/>
        <w:keepLines/>
        <w:autoSpaceDE w:val="0"/>
        <w:autoSpaceDN w:val="0"/>
        <w:adjustRightInd w:val="0"/>
        <w:spacing w:before="240" w:after="240"/>
        <w:rPr>
          <w:rFonts w:cs="Arial" w:eastAsiaTheme="minorEastAsia"/>
          <w:kern w:val="14"/>
        </w:rPr>
      </w:pPr>
      <w:r>
        <w:rPr>
          <w:rFonts w:cs="Arial" w:eastAsiaTheme="minorEastAsia"/>
          <w:bCs/>
          <w:kern w:val="14"/>
        </w:rPr>
        <w:t>Each Party agrees</w:t>
      </w:r>
      <w:r>
        <w:rPr>
          <w:rFonts w:cs="Arial" w:eastAsiaTheme="minorEastAsia"/>
          <w:kern w:val="14"/>
        </w:rPr>
        <w:t xml:space="preserve"> to all terms and conditions of this </w:t>
      </w:r>
      <w:r>
        <w:rPr>
          <w:rFonts w:eastAsia="Batang" w:cs="Arial"/>
          <w:kern w:val="14"/>
        </w:rPr>
        <w:t>PPA as of the Effective Date</w:t>
      </w:r>
      <w:r w:rsidR="00084D1F">
        <w:rPr>
          <w:rFonts w:eastAsia="Batang" w:cs="Arial"/>
          <w:kern w:val="14"/>
        </w:rPr>
        <w:t xml:space="preserve"> (the date on which GPC signs, as shown below)</w:t>
      </w:r>
      <w:r>
        <w:rPr>
          <w:rFonts w:cs="Arial" w:eastAsiaTheme="minorEastAsia"/>
          <w:kern w:val="14"/>
        </w:rPr>
        <w:t xml:space="preserve">. The Parties may exchange counterparts of this </w:t>
      </w:r>
      <w:r>
        <w:rPr>
          <w:rFonts w:eastAsia="Batang" w:cs="Arial"/>
          <w:kern w:val="14"/>
        </w:rPr>
        <w:t>PPA</w:t>
      </w:r>
      <w:r>
        <w:rPr>
          <w:rFonts w:cs="Arial" w:eastAsiaTheme="minorEastAsia"/>
          <w:kern w:val="14"/>
        </w:rPr>
        <w:t xml:space="preserve"> as a scanned image (e.g., .pdf or .tiff file extension) as an attachment to email. An electronic or scanned signature is an original signature for all purposes.</w:t>
      </w:r>
    </w:p>
    <w:tbl>
      <w:tblPr>
        <w:tblW w:w="9936" w:type="dxa"/>
        <w:tblInd w:w="-29" w:type="dxa"/>
        <w:tblLayout w:type="fixed"/>
        <w:tblCellMar>
          <w:left w:w="29" w:type="dxa"/>
          <w:right w:w="29" w:type="dxa"/>
        </w:tblCellMar>
        <w:tblLook w:val="0000" w:firstRow="0" w:lastRow="0" w:firstColumn="0" w:lastColumn="0" w:noHBand="0" w:noVBand="0"/>
      </w:tblPr>
      <w:tblGrid>
        <w:gridCol w:w="647"/>
        <w:gridCol w:w="4020"/>
        <w:gridCol w:w="362"/>
        <w:gridCol w:w="700"/>
        <w:gridCol w:w="4207"/>
      </w:tblGrid>
      <w:tr w:rsidRPr="004B3A6B" w:rsidR="00D96326" w14:paraId="513F75D1" w14:textId="77777777">
        <w:trPr>
          <w:trHeight w:val="432"/>
        </w:trPr>
        <w:tc>
          <w:tcPr>
            <w:tcW w:w="4667" w:type="dxa"/>
            <w:gridSpan w:val="2"/>
            <w:tcBorders>
              <w:top w:val="nil"/>
              <w:left w:val="nil"/>
              <w:bottom w:val="nil"/>
              <w:right w:val="nil"/>
            </w:tcBorders>
            <w:tcMar>
              <w:top w:w="0" w:type="dxa"/>
              <w:left w:w="29" w:type="dxa"/>
              <w:bottom w:w="0" w:type="dxa"/>
              <w:right w:w="29" w:type="dxa"/>
            </w:tcMar>
          </w:tcPr>
          <w:p w:rsidRPr="004B3A6B" w:rsidR="00D96326" w:rsidRDefault="00D96326" w14:paraId="5985B367" w14:textId="77777777">
            <w:pPr>
              <w:keepNext/>
              <w:spacing w:before="0" w:after="0"/>
              <w:jc w:val="left"/>
              <w:rPr>
                <w:rFonts w:cs="Arial"/>
                <w:b/>
                <w:w w:val="0"/>
                <w:sz w:val="24"/>
                <w:szCs w:val="24"/>
              </w:rPr>
            </w:pPr>
            <w:r>
              <w:rPr>
                <w:rFonts w:cs="Arial"/>
                <w:b/>
                <w:w w:val="0"/>
                <w:sz w:val="24"/>
                <w:szCs w:val="24"/>
              </w:rPr>
              <w:t>Georgia Power Company</w:t>
            </w:r>
          </w:p>
        </w:tc>
        <w:tc>
          <w:tcPr>
            <w:tcW w:w="362" w:type="dxa"/>
            <w:tcBorders>
              <w:top w:val="nil"/>
              <w:left w:val="nil"/>
              <w:bottom w:val="nil"/>
              <w:right w:val="nil"/>
            </w:tcBorders>
            <w:tcMar>
              <w:top w:w="0" w:type="dxa"/>
              <w:left w:w="29" w:type="dxa"/>
              <w:bottom w:w="0" w:type="dxa"/>
              <w:right w:w="29" w:type="dxa"/>
            </w:tcMar>
          </w:tcPr>
          <w:p w:rsidRPr="004B3A6B" w:rsidR="00D96326" w:rsidRDefault="00D96326" w14:paraId="79405247" w14:textId="77777777">
            <w:pPr>
              <w:keepNext/>
              <w:spacing w:before="0" w:after="0"/>
              <w:jc w:val="left"/>
              <w:rPr>
                <w:rFonts w:cs="Arial"/>
                <w:b/>
                <w:w w:val="0"/>
                <w:sz w:val="24"/>
                <w:szCs w:val="24"/>
              </w:rPr>
            </w:pPr>
          </w:p>
        </w:tc>
        <w:tc>
          <w:tcPr>
            <w:tcW w:w="4907" w:type="dxa"/>
            <w:gridSpan w:val="2"/>
            <w:tcBorders>
              <w:top w:val="nil"/>
              <w:left w:val="nil"/>
              <w:bottom w:val="nil"/>
              <w:right w:val="nil"/>
            </w:tcBorders>
            <w:tcMar>
              <w:top w:w="0" w:type="dxa"/>
              <w:left w:w="29" w:type="dxa"/>
              <w:bottom w:w="0" w:type="dxa"/>
              <w:right w:w="29" w:type="dxa"/>
            </w:tcMar>
          </w:tcPr>
          <w:p w:rsidRPr="004B3A6B" w:rsidR="00D96326" w:rsidRDefault="00D96326" w14:paraId="33A16228" w14:textId="77777777">
            <w:pPr>
              <w:keepNext/>
              <w:spacing w:before="0" w:after="0"/>
              <w:jc w:val="left"/>
              <w:rPr>
                <w:rFonts w:cs="Arial"/>
                <w:b/>
                <w:w w:val="0"/>
                <w:sz w:val="24"/>
                <w:szCs w:val="24"/>
                <w:highlight w:val="yellow"/>
              </w:rPr>
            </w:pPr>
            <w:r>
              <w:rPr>
                <w:rFonts w:cs="Arial"/>
                <w:b/>
                <w:w w:val="0"/>
                <w:sz w:val="24"/>
                <w:szCs w:val="24"/>
                <w:highlight w:val="yellow"/>
              </w:rPr>
              <w:t>#SellerLegalName#</w:t>
            </w:r>
          </w:p>
        </w:tc>
      </w:tr>
      <w:tr w:rsidRPr="004B3A6B" w:rsidR="00356A74" w14:paraId="4194BE69" w14:textId="77777777">
        <w:trPr>
          <w:trHeight w:val="432"/>
        </w:trPr>
        <w:tc>
          <w:tcPr>
            <w:tcW w:w="647" w:type="dxa"/>
            <w:tcBorders>
              <w:top w:val="nil"/>
              <w:left w:val="nil"/>
              <w:bottom w:val="nil"/>
              <w:right w:val="nil"/>
            </w:tcBorders>
            <w:tcMar>
              <w:top w:w="0" w:type="dxa"/>
              <w:left w:w="29" w:type="dxa"/>
              <w:bottom w:w="0" w:type="dxa"/>
              <w:right w:w="29" w:type="dxa"/>
            </w:tcMar>
            <w:vAlign w:val="bottom"/>
          </w:tcPr>
          <w:p w:rsidRPr="004B3A6B" w:rsidR="00D96326" w:rsidRDefault="00D96326" w14:paraId="0A97B23D" w14:textId="77777777">
            <w:pPr>
              <w:spacing w:before="0" w:after="0"/>
              <w:jc w:val="right"/>
              <w:rPr>
                <w:rFonts w:cs="Arial"/>
                <w:w w:val="0"/>
                <w:szCs w:val="24"/>
              </w:rPr>
            </w:pPr>
            <w:r>
              <w:rPr>
                <w:rFonts w:cs="Arial"/>
                <w:w w:val="0"/>
                <w:szCs w:val="24"/>
              </w:rPr>
              <w:t>By:</w:t>
            </w:r>
          </w:p>
        </w:tc>
        <w:tc>
          <w:tcPr>
            <w:tcW w:w="4020" w:type="dxa"/>
            <w:tcBorders>
              <w:top w:val="nil"/>
              <w:left w:val="nil"/>
              <w:bottom w:val="single" w:color="auto" w:sz="4" w:space="0"/>
              <w:right w:val="nil"/>
            </w:tcBorders>
            <w:tcMar>
              <w:top w:w="0" w:type="dxa"/>
              <w:left w:w="29" w:type="dxa"/>
              <w:bottom w:w="0" w:type="dxa"/>
              <w:right w:w="29" w:type="dxa"/>
            </w:tcMar>
            <w:vAlign w:val="bottom"/>
          </w:tcPr>
          <w:p w:rsidRPr="004B3A6B" w:rsidR="00D96326" w:rsidRDefault="00D96326" w14:paraId="789D836E" w14:textId="77777777">
            <w:pPr>
              <w:spacing w:before="0" w:after="0"/>
              <w:jc w:val="right"/>
              <w:rPr>
                <w:rFonts w:cs="Arial"/>
                <w:w w:val="0"/>
                <w:szCs w:val="24"/>
              </w:rPr>
            </w:pPr>
          </w:p>
        </w:tc>
        <w:tc>
          <w:tcPr>
            <w:tcW w:w="362" w:type="dxa"/>
            <w:tcBorders>
              <w:top w:val="nil"/>
              <w:left w:val="nil"/>
              <w:bottom w:val="nil"/>
              <w:right w:val="nil"/>
            </w:tcBorders>
            <w:tcMar>
              <w:top w:w="0" w:type="dxa"/>
              <w:left w:w="29" w:type="dxa"/>
              <w:bottom w:w="0" w:type="dxa"/>
              <w:right w:w="29" w:type="dxa"/>
            </w:tcMar>
            <w:vAlign w:val="bottom"/>
          </w:tcPr>
          <w:p w:rsidRPr="004B3A6B" w:rsidR="00D96326" w:rsidRDefault="00D96326" w14:paraId="4DC818C8" w14:textId="77777777">
            <w:pPr>
              <w:spacing w:before="0" w:after="0"/>
              <w:jc w:val="right"/>
              <w:rPr>
                <w:rFonts w:cs="Arial"/>
                <w:w w:val="0"/>
                <w:szCs w:val="24"/>
              </w:rPr>
            </w:pPr>
          </w:p>
        </w:tc>
        <w:tc>
          <w:tcPr>
            <w:tcW w:w="700" w:type="dxa"/>
            <w:tcBorders>
              <w:top w:val="nil"/>
              <w:left w:val="nil"/>
              <w:bottom w:val="nil"/>
              <w:right w:val="nil"/>
            </w:tcBorders>
            <w:tcMar>
              <w:top w:w="0" w:type="dxa"/>
              <w:left w:w="29" w:type="dxa"/>
              <w:bottom w:w="0" w:type="dxa"/>
              <w:right w:w="29" w:type="dxa"/>
            </w:tcMar>
            <w:vAlign w:val="bottom"/>
          </w:tcPr>
          <w:p w:rsidRPr="004B3A6B" w:rsidR="00D96326" w:rsidRDefault="00D96326" w14:paraId="106B9A62" w14:textId="77777777">
            <w:pPr>
              <w:spacing w:before="0" w:after="0"/>
              <w:jc w:val="right"/>
              <w:rPr>
                <w:rFonts w:cs="Arial"/>
                <w:w w:val="0"/>
                <w:szCs w:val="24"/>
              </w:rPr>
            </w:pPr>
            <w:r>
              <w:rPr>
                <w:rFonts w:cs="Arial"/>
                <w:w w:val="0"/>
                <w:szCs w:val="24"/>
              </w:rPr>
              <w:t>By:</w:t>
            </w:r>
          </w:p>
        </w:tc>
        <w:tc>
          <w:tcPr>
            <w:tcW w:w="4207" w:type="dxa"/>
            <w:tcBorders>
              <w:top w:val="nil"/>
              <w:left w:val="nil"/>
              <w:bottom w:val="single" w:color="auto" w:sz="8" w:space="0"/>
              <w:right w:val="nil"/>
            </w:tcBorders>
            <w:tcMar>
              <w:top w:w="0" w:type="dxa"/>
              <w:left w:w="29" w:type="dxa"/>
              <w:bottom w:w="0" w:type="dxa"/>
              <w:right w:w="29" w:type="dxa"/>
            </w:tcMar>
            <w:vAlign w:val="bottom"/>
          </w:tcPr>
          <w:p w:rsidRPr="004B3A6B" w:rsidR="00D96326" w:rsidRDefault="00D96326" w14:paraId="0B0E6065" w14:textId="77777777">
            <w:pPr>
              <w:spacing w:before="0" w:after="0"/>
              <w:jc w:val="right"/>
              <w:rPr>
                <w:rFonts w:cs="Arial"/>
                <w:b/>
                <w:w w:val="0"/>
                <w:szCs w:val="24"/>
                <w:u w:val="single"/>
              </w:rPr>
            </w:pPr>
          </w:p>
        </w:tc>
      </w:tr>
      <w:tr w:rsidRPr="004B3A6B" w:rsidR="00D96326" w14:paraId="710E4FDE" w14:textId="77777777">
        <w:tc>
          <w:tcPr>
            <w:tcW w:w="647" w:type="dxa"/>
            <w:tcBorders>
              <w:top w:val="nil"/>
              <w:left w:val="nil"/>
              <w:bottom w:val="nil"/>
              <w:right w:val="nil"/>
            </w:tcBorders>
            <w:tcMar>
              <w:top w:w="0" w:type="dxa"/>
              <w:left w:w="29" w:type="dxa"/>
              <w:bottom w:w="0" w:type="dxa"/>
              <w:right w:w="29" w:type="dxa"/>
            </w:tcMar>
            <w:vAlign w:val="bottom"/>
          </w:tcPr>
          <w:p w:rsidRPr="004B3A6B" w:rsidR="00D96326" w:rsidRDefault="00D96326" w14:paraId="02599312" w14:textId="77777777">
            <w:pPr>
              <w:spacing w:before="0" w:after="0"/>
              <w:jc w:val="right"/>
              <w:rPr>
                <w:rFonts w:cs="Arial"/>
                <w:w w:val="0"/>
                <w:szCs w:val="24"/>
              </w:rPr>
            </w:pPr>
          </w:p>
        </w:tc>
        <w:tc>
          <w:tcPr>
            <w:tcW w:w="4020" w:type="dxa"/>
            <w:tcBorders>
              <w:top w:val="nil"/>
              <w:left w:val="nil"/>
              <w:bottom w:val="nil"/>
              <w:right w:val="nil"/>
            </w:tcBorders>
            <w:tcMar>
              <w:top w:w="0" w:type="dxa"/>
              <w:left w:w="29" w:type="dxa"/>
              <w:bottom w:w="0" w:type="dxa"/>
              <w:right w:w="29" w:type="dxa"/>
            </w:tcMar>
            <w:vAlign w:val="bottom"/>
          </w:tcPr>
          <w:p w:rsidRPr="004B3A6B" w:rsidR="00D96326" w:rsidRDefault="00D96326" w14:paraId="416BD39C" w14:textId="77777777">
            <w:pPr>
              <w:spacing w:before="0" w:after="0"/>
              <w:jc w:val="left"/>
              <w:rPr>
                <w:rFonts w:cs="Arial"/>
                <w:w w:val="0"/>
                <w:szCs w:val="24"/>
                <w:highlight w:val="yellow"/>
              </w:rPr>
            </w:pPr>
            <w:r>
              <w:rPr>
                <w:rFonts w:cs="Arial"/>
                <w:w w:val="0"/>
                <w:szCs w:val="24"/>
                <w:highlight w:val="yellow"/>
              </w:rPr>
              <w:t>#Name</w:t>
            </w:r>
          </w:p>
        </w:tc>
        <w:tc>
          <w:tcPr>
            <w:tcW w:w="362" w:type="dxa"/>
            <w:tcBorders>
              <w:top w:val="nil"/>
              <w:left w:val="nil"/>
              <w:bottom w:val="nil"/>
              <w:right w:val="nil"/>
            </w:tcBorders>
            <w:tcMar>
              <w:top w:w="0" w:type="dxa"/>
              <w:left w:w="29" w:type="dxa"/>
              <w:bottom w:w="0" w:type="dxa"/>
              <w:right w:w="29" w:type="dxa"/>
            </w:tcMar>
            <w:vAlign w:val="bottom"/>
          </w:tcPr>
          <w:p w:rsidRPr="004B3A6B" w:rsidR="00D96326" w:rsidRDefault="00D96326" w14:paraId="60A1D8BF" w14:textId="77777777">
            <w:pPr>
              <w:spacing w:before="0" w:after="0"/>
              <w:jc w:val="left"/>
              <w:rPr>
                <w:rFonts w:cs="Arial"/>
                <w:w w:val="0"/>
                <w:szCs w:val="24"/>
                <w:highlight w:val="yellow"/>
              </w:rPr>
            </w:pPr>
          </w:p>
        </w:tc>
        <w:tc>
          <w:tcPr>
            <w:tcW w:w="700" w:type="dxa"/>
            <w:tcBorders>
              <w:top w:val="nil"/>
              <w:left w:val="nil"/>
              <w:bottom w:val="nil"/>
              <w:right w:val="nil"/>
            </w:tcBorders>
            <w:tcMar>
              <w:top w:w="0" w:type="dxa"/>
              <w:left w:w="29" w:type="dxa"/>
              <w:bottom w:w="0" w:type="dxa"/>
              <w:right w:w="29" w:type="dxa"/>
            </w:tcMar>
            <w:vAlign w:val="bottom"/>
          </w:tcPr>
          <w:p w:rsidRPr="004B3A6B" w:rsidR="00D96326" w:rsidRDefault="00D96326" w14:paraId="3C04F665" w14:textId="77777777">
            <w:pPr>
              <w:spacing w:before="0" w:after="0"/>
              <w:jc w:val="left"/>
              <w:rPr>
                <w:rFonts w:cs="Arial"/>
                <w:w w:val="0"/>
                <w:szCs w:val="24"/>
              </w:rPr>
            </w:pPr>
          </w:p>
        </w:tc>
        <w:tc>
          <w:tcPr>
            <w:tcW w:w="4207" w:type="dxa"/>
            <w:tcBorders>
              <w:top w:val="nil"/>
              <w:left w:val="nil"/>
              <w:bottom w:val="nil"/>
              <w:right w:val="nil"/>
            </w:tcBorders>
            <w:tcMar>
              <w:top w:w="0" w:type="dxa"/>
              <w:left w:w="29" w:type="dxa"/>
              <w:bottom w:w="0" w:type="dxa"/>
              <w:right w:w="29" w:type="dxa"/>
            </w:tcMar>
            <w:vAlign w:val="bottom"/>
          </w:tcPr>
          <w:p w:rsidRPr="004B3A6B" w:rsidR="00D96326" w:rsidRDefault="00D96326" w14:paraId="256D66D2" w14:textId="77777777">
            <w:pPr>
              <w:spacing w:before="0" w:after="0"/>
              <w:jc w:val="left"/>
              <w:rPr>
                <w:rFonts w:cs="Arial"/>
                <w:w w:val="0"/>
                <w:szCs w:val="24"/>
                <w:highlight w:val="yellow"/>
              </w:rPr>
            </w:pPr>
            <w:r>
              <w:rPr>
                <w:rFonts w:cs="Arial"/>
                <w:w w:val="0"/>
                <w:szCs w:val="24"/>
                <w:highlight w:val="yellow"/>
              </w:rPr>
              <w:t>#SellerSignatureName</w:t>
            </w:r>
          </w:p>
        </w:tc>
      </w:tr>
      <w:tr w:rsidRPr="004B3A6B" w:rsidR="00D96326" w14:paraId="53843152" w14:textId="77777777">
        <w:tc>
          <w:tcPr>
            <w:tcW w:w="647" w:type="dxa"/>
            <w:tcBorders>
              <w:top w:val="nil"/>
              <w:left w:val="nil"/>
              <w:bottom w:val="nil"/>
              <w:right w:val="nil"/>
            </w:tcBorders>
            <w:tcMar>
              <w:top w:w="0" w:type="dxa"/>
              <w:left w:w="29" w:type="dxa"/>
              <w:bottom w:w="0" w:type="dxa"/>
              <w:right w:w="29" w:type="dxa"/>
            </w:tcMar>
            <w:vAlign w:val="bottom"/>
          </w:tcPr>
          <w:p w:rsidRPr="004B3A6B" w:rsidR="00D96326" w:rsidRDefault="00D96326" w14:paraId="4D1ADFB9" w14:textId="77777777">
            <w:pPr>
              <w:spacing w:before="0" w:after="0"/>
              <w:jc w:val="right"/>
              <w:rPr>
                <w:rFonts w:cs="Arial"/>
                <w:w w:val="0"/>
                <w:szCs w:val="24"/>
              </w:rPr>
            </w:pPr>
          </w:p>
        </w:tc>
        <w:tc>
          <w:tcPr>
            <w:tcW w:w="4020" w:type="dxa"/>
            <w:tcBorders>
              <w:top w:val="nil"/>
              <w:left w:val="nil"/>
              <w:bottom w:val="nil"/>
              <w:right w:val="nil"/>
            </w:tcBorders>
            <w:tcMar>
              <w:top w:w="0" w:type="dxa"/>
              <w:left w:w="29" w:type="dxa"/>
              <w:bottom w:w="0" w:type="dxa"/>
              <w:right w:w="29" w:type="dxa"/>
            </w:tcMar>
            <w:vAlign w:val="bottom"/>
          </w:tcPr>
          <w:p w:rsidRPr="004B3A6B" w:rsidR="00D96326" w:rsidRDefault="00D96326" w14:paraId="1B05A196" w14:textId="77777777">
            <w:pPr>
              <w:spacing w:before="0" w:after="0"/>
              <w:jc w:val="left"/>
              <w:rPr>
                <w:rFonts w:cs="Arial"/>
                <w:w w:val="0"/>
                <w:szCs w:val="24"/>
                <w:highlight w:val="yellow"/>
              </w:rPr>
            </w:pPr>
            <w:r>
              <w:rPr>
                <w:rFonts w:cs="Arial"/>
                <w:w w:val="0"/>
                <w:szCs w:val="24"/>
                <w:highlight w:val="yellow"/>
              </w:rPr>
              <w:t>#Title</w:t>
            </w:r>
          </w:p>
        </w:tc>
        <w:tc>
          <w:tcPr>
            <w:tcW w:w="362" w:type="dxa"/>
            <w:tcBorders>
              <w:top w:val="nil"/>
              <w:left w:val="nil"/>
              <w:bottom w:val="nil"/>
              <w:right w:val="nil"/>
            </w:tcBorders>
            <w:tcMar>
              <w:top w:w="0" w:type="dxa"/>
              <w:left w:w="29" w:type="dxa"/>
              <w:bottom w:w="0" w:type="dxa"/>
              <w:right w:w="29" w:type="dxa"/>
            </w:tcMar>
            <w:vAlign w:val="bottom"/>
          </w:tcPr>
          <w:p w:rsidRPr="004B3A6B" w:rsidR="00D96326" w:rsidRDefault="00D96326" w14:paraId="4214C81D" w14:textId="77777777">
            <w:pPr>
              <w:spacing w:before="0" w:after="0"/>
              <w:jc w:val="left"/>
              <w:rPr>
                <w:rFonts w:cs="Arial"/>
                <w:w w:val="0"/>
                <w:szCs w:val="24"/>
                <w:highlight w:val="yellow"/>
              </w:rPr>
            </w:pPr>
          </w:p>
        </w:tc>
        <w:tc>
          <w:tcPr>
            <w:tcW w:w="700" w:type="dxa"/>
            <w:tcBorders>
              <w:top w:val="nil"/>
              <w:left w:val="nil"/>
              <w:bottom w:val="nil"/>
              <w:right w:val="nil"/>
            </w:tcBorders>
            <w:tcMar>
              <w:top w:w="0" w:type="dxa"/>
              <w:left w:w="29" w:type="dxa"/>
              <w:bottom w:w="0" w:type="dxa"/>
              <w:right w:w="29" w:type="dxa"/>
            </w:tcMar>
            <w:vAlign w:val="bottom"/>
          </w:tcPr>
          <w:p w:rsidRPr="004B3A6B" w:rsidR="00D96326" w:rsidRDefault="00D96326" w14:paraId="324DEB76" w14:textId="77777777">
            <w:pPr>
              <w:spacing w:before="0" w:after="0"/>
              <w:jc w:val="left"/>
              <w:rPr>
                <w:rFonts w:cs="Arial"/>
                <w:w w:val="0"/>
                <w:szCs w:val="24"/>
              </w:rPr>
            </w:pPr>
          </w:p>
        </w:tc>
        <w:tc>
          <w:tcPr>
            <w:tcW w:w="4207" w:type="dxa"/>
            <w:tcBorders>
              <w:top w:val="nil"/>
              <w:left w:val="nil"/>
              <w:bottom w:val="nil"/>
              <w:right w:val="nil"/>
            </w:tcBorders>
            <w:tcMar>
              <w:top w:w="0" w:type="dxa"/>
              <w:left w:w="29" w:type="dxa"/>
              <w:bottom w:w="0" w:type="dxa"/>
              <w:right w:w="29" w:type="dxa"/>
            </w:tcMar>
            <w:vAlign w:val="bottom"/>
          </w:tcPr>
          <w:p w:rsidRPr="004B3A6B" w:rsidR="00D96326" w:rsidRDefault="00D96326" w14:paraId="724EC90F" w14:textId="77777777">
            <w:pPr>
              <w:spacing w:before="0" w:after="0"/>
              <w:jc w:val="left"/>
              <w:rPr>
                <w:rFonts w:cs="Arial"/>
                <w:w w:val="0"/>
                <w:szCs w:val="24"/>
                <w:highlight w:val="yellow"/>
              </w:rPr>
            </w:pPr>
            <w:r>
              <w:rPr>
                <w:rFonts w:cs="Arial"/>
                <w:w w:val="0"/>
                <w:szCs w:val="24"/>
                <w:highlight w:val="yellow"/>
              </w:rPr>
              <w:t>#SellerSignatureTitle</w:t>
            </w:r>
          </w:p>
        </w:tc>
      </w:tr>
      <w:tr w:rsidRPr="004B3A6B" w:rsidR="00356A74" w14:paraId="47C507AF" w14:textId="77777777">
        <w:trPr>
          <w:trHeight w:val="432"/>
        </w:trPr>
        <w:tc>
          <w:tcPr>
            <w:tcW w:w="647" w:type="dxa"/>
            <w:tcBorders>
              <w:top w:val="nil"/>
              <w:left w:val="nil"/>
              <w:bottom w:val="nil"/>
              <w:right w:val="nil"/>
            </w:tcBorders>
            <w:tcMar>
              <w:top w:w="0" w:type="dxa"/>
              <w:left w:w="29" w:type="dxa"/>
              <w:bottom w:w="0" w:type="dxa"/>
              <w:right w:w="29" w:type="dxa"/>
            </w:tcMar>
            <w:vAlign w:val="bottom"/>
          </w:tcPr>
          <w:p w:rsidRPr="004B3A6B" w:rsidR="00D96326" w:rsidRDefault="00D96326" w14:paraId="1164EDC9" w14:textId="77777777">
            <w:pPr>
              <w:spacing w:before="0" w:after="0"/>
              <w:jc w:val="right"/>
              <w:rPr>
                <w:rFonts w:cs="Arial"/>
                <w:w w:val="0"/>
                <w:szCs w:val="24"/>
              </w:rPr>
            </w:pPr>
            <w:r>
              <w:rPr>
                <w:rFonts w:cs="Arial"/>
                <w:w w:val="0"/>
                <w:szCs w:val="24"/>
              </w:rPr>
              <w:t>Date:</w:t>
            </w:r>
          </w:p>
        </w:tc>
        <w:tc>
          <w:tcPr>
            <w:tcW w:w="4020" w:type="dxa"/>
            <w:tcBorders>
              <w:top w:val="nil"/>
              <w:left w:val="nil"/>
              <w:bottom w:val="single" w:color="auto" w:sz="8" w:space="0"/>
              <w:right w:val="nil"/>
            </w:tcBorders>
            <w:tcMar>
              <w:top w:w="0" w:type="dxa"/>
              <w:left w:w="29" w:type="dxa"/>
              <w:bottom w:w="0" w:type="dxa"/>
              <w:right w:w="29" w:type="dxa"/>
            </w:tcMar>
            <w:vAlign w:val="bottom"/>
          </w:tcPr>
          <w:p w:rsidRPr="004B3A6B" w:rsidR="00D96326" w:rsidRDefault="00D96326" w14:paraId="6802E713" w14:textId="77777777">
            <w:pPr>
              <w:spacing w:before="0" w:after="0"/>
              <w:jc w:val="right"/>
              <w:rPr>
                <w:rFonts w:cs="Arial"/>
                <w:b/>
                <w:w w:val="0"/>
                <w:szCs w:val="24"/>
                <w:u w:val="single"/>
              </w:rPr>
            </w:pPr>
          </w:p>
        </w:tc>
        <w:tc>
          <w:tcPr>
            <w:tcW w:w="362" w:type="dxa"/>
            <w:tcBorders>
              <w:top w:val="nil"/>
              <w:left w:val="nil"/>
              <w:bottom w:val="nil"/>
              <w:right w:val="nil"/>
            </w:tcBorders>
            <w:tcMar>
              <w:top w:w="0" w:type="dxa"/>
              <w:left w:w="29" w:type="dxa"/>
              <w:bottom w:w="0" w:type="dxa"/>
              <w:right w:w="29" w:type="dxa"/>
            </w:tcMar>
            <w:vAlign w:val="bottom"/>
          </w:tcPr>
          <w:p w:rsidRPr="004B3A6B" w:rsidR="00D96326" w:rsidRDefault="00D96326" w14:paraId="5267A070" w14:textId="77777777">
            <w:pPr>
              <w:spacing w:before="0" w:after="0"/>
              <w:jc w:val="right"/>
              <w:rPr>
                <w:rFonts w:cs="Arial"/>
                <w:w w:val="0"/>
                <w:szCs w:val="24"/>
              </w:rPr>
            </w:pPr>
          </w:p>
        </w:tc>
        <w:tc>
          <w:tcPr>
            <w:tcW w:w="700" w:type="dxa"/>
            <w:tcBorders>
              <w:top w:val="nil"/>
              <w:left w:val="nil"/>
              <w:bottom w:val="nil"/>
              <w:right w:val="nil"/>
            </w:tcBorders>
            <w:tcMar>
              <w:top w:w="0" w:type="dxa"/>
              <w:left w:w="29" w:type="dxa"/>
              <w:bottom w:w="0" w:type="dxa"/>
              <w:right w:w="29" w:type="dxa"/>
            </w:tcMar>
            <w:vAlign w:val="bottom"/>
          </w:tcPr>
          <w:p w:rsidRPr="004B3A6B" w:rsidR="00D96326" w:rsidRDefault="00D96326" w14:paraId="6C82CF0A" w14:textId="77777777">
            <w:pPr>
              <w:spacing w:before="0" w:after="0"/>
              <w:jc w:val="right"/>
              <w:rPr>
                <w:rFonts w:cs="Arial"/>
                <w:w w:val="0"/>
                <w:szCs w:val="24"/>
              </w:rPr>
            </w:pPr>
            <w:r>
              <w:rPr>
                <w:rFonts w:cs="Arial"/>
                <w:w w:val="0"/>
                <w:szCs w:val="24"/>
              </w:rPr>
              <w:t>Date:</w:t>
            </w:r>
          </w:p>
        </w:tc>
        <w:tc>
          <w:tcPr>
            <w:tcW w:w="4207" w:type="dxa"/>
            <w:tcBorders>
              <w:top w:val="nil"/>
              <w:left w:val="nil"/>
              <w:bottom w:val="single" w:color="auto" w:sz="8" w:space="0"/>
              <w:right w:val="nil"/>
            </w:tcBorders>
            <w:tcMar>
              <w:top w:w="0" w:type="dxa"/>
              <w:left w:w="29" w:type="dxa"/>
              <w:bottom w:w="0" w:type="dxa"/>
              <w:right w:w="29" w:type="dxa"/>
            </w:tcMar>
            <w:vAlign w:val="bottom"/>
          </w:tcPr>
          <w:p w:rsidRPr="004B3A6B" w:rsidR="00D96326" w:rsidRDefault="00D96326" w14:paraId="714D911D" w14:textId="77777777">
            <w:pPr>
              <w:spacing w:before="0" w:after="0"/>
              <w:jc w:val="right"/>
              <w:rPr>
                <w:rFonts w:cs="Arial"/>
                <w:b/>
                <w:w w:val="0"/>
                <w:szCs w:val="24"/>
                <w:u w:val="single"/>
              </w:rPr>
            </w:pPr>
          </w:p>
        </w:tc>
      </w:tr>
    </w:tbl>
    <w:p w:rsidRPr="004B3A6B" w:rsidR="00D96326" w:rsidP="00D96326" w:rsidRDefault="00D96326" w14:paraId="6CC4B20B" w14:textId="77777777">
      <w:pPr>
        <w:spacing w:before="0" w:after="0"/>
        <w:rPr>
          <w:rFonts w:eastAsia="Times New Roman" w:cs="Arial"/>
          <w:b/>
          <w:u w:val="single"/>
        </w:rPr>
      </w:pPr>
    </w:p>
    <w:p w:rsidR="00D96326" w:rsidP="00D96326" w:rsidRDefault="00D96326" w14:paraId="50EF384C" w14:textId="77777777">
      <w:pPr>
        <w:suppressAutoHyphens/>
        <w:spacing w:after="240"/>
        <w:outlineLvl w:val="0"/>
        <w:rPr>
          <w:rFonts w:cs="Arial"/>
          <w:b/>
        </w:rPr>
      </w:pPr>
    </w:p>
    <w:p w:rsidRPr="00F10071" w:rsidR="00D96326" w:rsidP="00D96326" w:rsidRDefault="00D96326" w14:paraId="044F8F75" w14:textId="77777777">
      <w:pPr>
        <w:tabs>
          <w:tab w:val="left" w:pos="1365"/>
        </w:tabs>
        <w:rPr>
          <w:rFonts w:cs="Arial"/>
        </w:rPr>
        <w:sectPr w:rsidRPr="00F10071" w:rsidR="00D96326" w:rsidSect="006B1C54">
          <w:headerReference w:type="default" r:id="rId26"/>
          <w:footerReference w:type="default" r:id="rId27"/>
          <w:pgSz w:w="12240" w:h="15840" w:code="1"/>
          <w:pgMar w:top="1080" w:right="1080" w:bottom="936" w:left="1224" w:header="432" w:footer="576" w:gutter="0"/>
          <w:cols w:space="720"/>
          <w:docGrid w:linePitch="360"/>
        </w:sectPr>
      </w:pPr>
    </w:p>
    <w:p w:rsidRPr="00F10071" w:rsidR="00654FF2" w:rsidP="00654FF2" w:rsidRDefault="00654FF2" w14:paraId="7899FB0E" w14:textId="7E039B47">
      <w:pPr>
        <w:pStyle w:val="zGTitleExhibit"/>
        <w:rPr>
          <w:rFonts w:cs="Arial"/>
        </w:rPr>
      </w:pPr>
      <w:bookmarkStart w:name="_Toc212475772" w:id="394"/>
      <w:bookmarkStart w:name="_Toc227838469" w:id="395"/>
      <w:r>
        <w:rPr>
          <w:rFonts w:cs="Arial"/>
        </w:rPr>
        <w:lastRenderedPageBreak/>
        <w:t>Exhibit A – Facility Description and Additional Details</w:t>
      </w:r>
      <w:bookmarkEnd w:id="394"/>
      <w:bookmarkEnd w:id="395"/>
    </w:p>
    <w:p w:rsidR="00654FF2" w:rsidP="00654FF2" w:rsidRDefault="00654FF2" w14:paraId="2B7BC014" w14:textId="77777777">
      <w:pPr>
        <w:pStyle w:val="zGNormal"/>
      </w:pPr>
    </w:p>
    <w:p w:rsidR="00A76785" w:rsidP="00654FF2" w:rsidRDefault="00A76785" w14:paraId="5A7970ED" w14:textId="77777777">
      <w:pPr>
        <w:pStyle w:val="zGNormal"/>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245"/>
        <w:gridCol w:w="7105"/>
      </w:tblGrid>
      <w:tr w:rsidR="000A0B76" w:rsidTr="003B6531" w14:paraId="35AD71D4" w14:textId="77777777">
        <w:tc>
          <w:tcPr>
            <w:tcW w:w="9350" w:type="dxa"/>
            <w:gridSpan w:val="2"/>
            <w:shd w:val="clear" w:color="auto" w:fill="D9D9D9" w:themeFill="background1" w:themeFillShade="D9"/>
          </w:tcPr>
          <w:p w:rsidR="00A76785" w:rsidP="00A76785" w:rsidRDefault="00A76785" w14:paraId="2F8F95F8" w14:textId="77777777">
            <w:pPr>
              <w:jc w:val="center"/>
              <w:rPr>
                <w:b/>
                <w:bCs/>
              </w:rPr>
            </w:pPr>
            <w:r>
              <w:rPr>
                <w:b/>
                <w:bCs/>
              </w:rPr>
              <w:t>Table A-1</w:t>
            </w:r>
          </w:p>
          <w:p w:rsidRPr="005D3CD0" w:rsidR="000A0B76" w:rsidP="00A76785" w:rsidRDefault="00255C8D" w14:paraId="5A16BF15" w14:textId="445624E7">
            <w:pPr>
              <w:spacing w:before="0" w:after="120"/>
              <w:jc w:val="center"/>
              <w:rPr>
                <w:rFonts w:cs="Arial"/>
                <w:b/>
                <w:bCs/>
                <w:highlight w:val="yellow"/>
                <w:shd w:val="clear" w:color="auto" w:fill="E6E6E6"/>
              </w:rPr>
            </w:pPr>
            <w:r>
              <w:rPr>
                <w:b/>
                <w:bCs/>
              </w:rPr>
              <w:t>Facility, Site, and Seller Information</w:t>
            </w:r>
          </w:p>
        </w:tc>
      </w:tr>
      <w:tr w:rsidR="008F5B82" w:rsidTr="003B6531" w14:paraId="70DEE6B3" w14:textId="77777777">
        <w:tc>
          <w:tcPr>
            <w:tcW w:w="2245" w:type="dxa"/>
          </w:tcPr>
          <w:p w:rsidRPr="00A83279" w:rsidR="008F5B82" w:rsidP="004F78C3" w:rsidRDefault="008F5B82" w14:paraId="15A38E27" w14:textId="77777777">
            <w:pPr>
              <w:spacing w:after="120"/>
              <w:jc w:val="left"/>
              <w:rPr>
                <w:b/>
                <w:bCs/>
              </w:rPr>
            </w:pPr>
            <w:r>
              <w:rPr>
                <w:rFonts w:cs="Arial"/>
                <w:b/>
                <w:bCs/>
              </w:rPr>
              <w:t>Site</w:t>
            </w:r>
          </w:p>
        </w:tc>
        <w:tc>
          <w:tcPr>
            <w:tcW w:w="7105" w:type="dxa"/>
          </w:tcPr>
          <w:p w:rsidR="008F5B82" w:rsidP="004F78C3" w:rsidRDefault="008F5B82" w14:paraId="3E911A9A" w14:textId="77777777">
            <w:pPr>
              <w:spacing w:after="120"/>
              <w:rPr>
                <w:rFonts w:cs="Arial"/>
                <w:shd w:val="clear" w:color="auto" w:fill="E6E6E6"/>
              </w:rPr>
            </w:pPr>
            <w:r>
              <w:rPr>
                <w:rFonts w:cs="Arial"/>
                <w:highlight w:val="yellow"/>
                <w:shd w:val="clear" w:color="auto" w:fill="E6E6E6"/>
              </w:rPr>
              <w:t>#Street Address#</w:t>
            </w:r>
          </w:p>
          <w:p w:rsidR="008F5B82" w:rsidP="004F78C3" w:rsidRDefault="008F5B82" w14:paraId="5FB654C5" w14:textId="77777777">
            <w:pPr>
              <w:spacing w:after="120"/>
              <w:rPr>
                <w:b/>
                <w:bCs/>
              </w:rPr>
            </w:pPr>
            <w:proofErr w:type="gramStart"/>
            <w:r>
              <w:rPr>
                <w:rFonts w:cs="Arial"/>
                <w:highlight w:val="yellow"/>
              </w:rPr>
              <w:t>#City</w:t>
            </w:r>
            <w:r>
              <w:rPr>
                <w:rFonts w:cs="Arial"/>
              </w:rPr>
              <w:t xml:space="preserve">, </w:t>
            </w:r>
            <w:r>
              <w:rPr>
                <w:rFonts w:cs="Arial"/>
                <w:highlight w:val="yellow"/>
              </w:rPr>
              <w:t>#State</w:t>
            </w:r>
            <w:r>
              <w:rPr>
                <w:rFonts w:cs="Arial"/>
              </w:rPr>
              <w:t xml:space="preserve">, </w:t>
            </w:r>
            <w:r>
              <w:rPr>
                <w:rFonts w:cs="Arial"/>
                <w:highlight w:val="yellow"/>
              </w:rPr>
              <w:t>#</w:t>
            </w:r>
            <w:proofErr w:type="gramEnd"/>
            <w:r>
              <w:rPr>
                <w:rFonts w:cs="Arial"/>
                <w:highlight w:val="yellow"/>
              </w:rPr>
              <w:t>ZipCode</w:t>
            </w:r>
          </w:p>
        </w:tc>
      </w:tr>
      <w:tr w:rsidR="008F5B82" w:rsidTr="003B6531" w14:paraId="0C0C754C" w14:textId="77777777">
        <w:tc>
          <w:tcPr>
            <w:tcW w:w="2245" w:type="dxa"/>
          </w:tcPr>
          <w:p w:rsidR="008F5B82" w:rsidP="004F78C3" w:rsidRDefault="008F5B82" w14:paraId="324558C4" w14:textId="77777777">
            <w:pPr>
              <w:spacing w:after="120"/>
              <w:jc w:val="left"/>
              <w:rPr>
                <w:b/>
                <w:bCs/>
              </w:rPr>
            </w:pPr>
            <w:r>
              <w:rPr>
                <w:b/>
                <w:bCs/>
              </w:rPr>
              <w:t>GPS Coordinates</w:t>
            </w:r>
          </w:p>
        </w:tc>
        <w:tc>
          <w:tcPr>
            <w:tcW w:w="7105" w:type="dxa"/>
          </w:tcPr>
          <w:p w:rsidR="008F5B82" w:rsidP="004F78C3" w:rsidRDefault="008F5B82" w14:paraId="296B14DF" w14:textId="77777777">
            <w:pPr>
              <w:spacing w:after="120"/>
              <w:rPr>
                <w:b/>
                <w:bCs/>
              </w:rPr>
            </w:pPr>
            <w:r>
              <w:rPr>
                <w:highlight w:val="yellow"/>
              </w:rPr>
              <w:t>#Latitude</w:t>
            </w:r>
            <w:r>
              <w:t xml:space="preserve"> latitude and </w:t>
            </w:r>
            <w:r>
              <w:rPr>
                <w:highlight w:val="yellow"/>
              </w:rPr>
              <w:t>#Longitude</w:t>
            </w:r>
            <w:r>
              <w:t xml:space="preserve"> longitude</w:t>
            </w:r>
          </w:p>
        </w:tc>
      </w:tr>
      <w:tr w:rsidR="008F5B82" w:rsidTr="003B6531" w14:paraId="043672F1" w14:textId="77777777">
        <w:tc>
          <w:tcPr>
            <w:tcW w:w="2245" w:type="dxa"/>
          </w:tcPr>
          <w:p w:rsidR="008F5B82" w:rsidP="004F78C3" w:rsidRDefault="008F5B82" w14:paraId="54FCA69F" w14:textId="77777777">
            <w:pPr>
              <w:spacing w:after="120"/>
              <w:jc w:val="left"/>
              <w:rPr>
                <w:b/>
                <w:bCs/>
              </w:rPr>
            </w:pPr>
            <w:r>
              <w:rPr>
                <w:b/>
                <w:bCs/>
              </w:rPr>
              <w:t>IC Number</w:t>
            </w:r>
          </w:p>
        </w:tc>
        <w:tc>
          <w:tcPr>
            <w:tcW w:w="7105" w:type="dxa"/>
          </w:tcPr>
          <w:p w:rsidR="008F5B82" w:rsidP="004F78C3" w:rsidRDefault="008F5B82" w14:paraId="7B90FC92" w14:textId="77777777">
            <w:pPr>
              <w:spacing w:after="120"/>
              <w:rPr>
                <w:b/>
                <w:bCs/>
              </w:rPr>
            </w:pPr>
            <w:proofErr w:type="gramStart"/>
            <w:r>
              <w:rPr>
                <w:rFonts w:cs="Arial"/>
                <w:highlight w:val="yellow"/>
              </w:rPr>
              <w:t>IC-#</w:t>
            </w:r>
            <w:proofErr w:type="spellStart"/>
            <w:proofErr w:type="gramEnd"/>
            <w:r>
              <w:rPr>
                <w:rFonts w:cs="Arial"/>
                <w:highlight w:val="yellow"/>
              </w:rPr>
              <w:t>InterconnectionID</w:t>
            </w:r>
            <w:proofErr w:type="spellEnd"/>
            <w:r>
              <w:rPr>
                <w:rFonts w:cs="Arial"/>
                <w:highlight w:val="yellow"/>
              </w:rPr>
              <w:t>#</w:t>
            </w:r>
          </w:p>
        </w:tc>
      </w:tr>
      <w:tr w:rsidR="008F5B82" w:rsidTr="003B6531" w14:paraId="4B9E071D" w14:textId="77777777">
        <w:tc>
          <w:tcPr>
            <w:tcW w:w="2245" w:type="dxa"/>
          </w:tcPr>
          <w:p w:rsidR="008F5B82" w:rsidP="004F78C3" w:rsidRDefault="008F5B82" w14:paraId="37E42B71" w14:textId="77777777">
            <w:pPr>
              <w:spacing w:after="120"/>
              <w:jc w:val="left"/>
              <w:rPr>
                <w:b/>
                <w:bCs/>
              </w:rPr>
            </w:pPr>
            <w:r>
              <w:rPr>
                <w:rFonts w:cs="Arial"/>
                <w:b/>
                <w:bCs/>
              </w:rPr>
              <w:t>Facility Description</w:t>
            </w:r>
          </w:p>
        </w:tc>
        <w:tc>
          <w:tcPr>
            <w:tcW w:w="7105" w:type="dxa"/>
          </w:tcPr>
          <w:p w:rsidR="008F5B82" w:rsidP="004F78C3" w:rsidRDefault="008F5B82" w14:paraId="4763681D" w14:textId="5714E19F">
            <w:pPr>
              <w:spacing w:after="120"/>
              <w:rPr>
                <w:b/>
                <w:bCs/>
              </w:rPr>
            </w:pPr>
            <w:r>
              <w:rPr>
                <w:rFonts w:cs="Arial"/>
              </w:rPr>
              <w:t xml:space="preserve">Seller’s </w:t>
            </w:r>
            <w:r>
              <w:rPr>
                <w:rFonts w:cs="Arial"/>
                <w:highlight w:val="yellow"/>
              </w:rPr>
              <w:t>#Name</w:t>
            </w:r>
            <w:r>
              <w:rPr>
                <w:rFonts w:cs="Arial"/>
              </w:rPr>
              <w:t xml:space="preserve"> electric generating plant, interconnected to the Electric System at the POI. The Facility </w:t>
            </w:r>
            <w:r w:rsidR="00924952">
              <w:rPr>
                <w:rFonts w:cs="Arial"/>
              </w:rPr>
              <w:t>(</w:t>
            </w:r>
            <w:proofErr w:type="spellStart"/>
            <w:r w:rsidR="00605D97">
              <w:rPr>
                <w:rFonts w:cs="Arial"/>
              </w:rPr>
              <w:t>i</w:t>
            </w:r>
            <w:proofErr w:type="spellEnd"/>
            <w:r w:rsidR="00924952">
              <w:rPr>
                <w:rFonts w:cs="Arial"/>
              </w:rPr>
              <w:t xml:space="preserve">) </w:t>
            </w:r>
            <w:r>
              <w:rPr>
                <w:rFonts w:cs="Arial"/>
              </w:rPr>
              <w:t>includes</w:t>
            </w:r>
            <w:r w:rsidR="009B6D15">
              <w:rPr>
                <w:rFonts w:cs="Arial"/>
              </w:rPr>
              <w:t xml:space="preserve"> (</w:t>
            </w:r>
            <w:r w:rsidR="00605D97">
              <w:rPr>
                <w:rFonts w:cs="Arial"/>
              </w:rPr>
              <w:t>a</w:t>
            </w:r>
            <w:r w:rsidR="009B6D15">
              <w:rPr>
                <w:rFonts w:cs="Arial"/>
              </w:rPr>
              <w:t>) the Units</w:t>
            </w:r>
            <w:r w:rsidR="0008464D">
              <w:rPr>
                <w:rFonts w:cs="Arial"/>
              </w:rPr>
              <w:t xml:space="preserve">; </w:t>
            </w:r>
            <w:r w:rsidR="009B6D15">
              <w:rPr>
                <w:rFonts w:cs="Arial"/>
              </w:rPr>
              <w:t>(</w:t>
            </w:r>
            <w:r w:rsidR="00605D97">
              <w:rPr>
                <w:rFonts w:cs="Arial"/>
              </w:rPr>
              <w:t>b</w:t>
            </w:r>
            <w:r w:rsidR="009B6D15">
              <w:rPr>
                <w:rFonts w:cs="Arial"/>
              </w:rPr>
              <w:t>)</w:t>
            </w:r>
            <w:r>
              <w:rPr>
                <w:rFonts w:cs="Arial"/>
              </w:rPr>
              <w:t xml:space="preserve"> all auxiliary equipment and facilities necessary or used for </w:t>
            </w:r>
            <w:r w:rsidR="008B1BBB">
              <w:rPr>
                <w:rFonts w:cs="Arial"/>
              </w:rPr>
              <w:t>producing</w:t>
            </w:r>
            <w:r>
              <w:rPr>
                <w:rFonts w:cs="Arial"/>
              </w:rPr>
              <w:t>, control</w:t>
            </w:r>
            <w:r w:rsidR="008B1BBB">
              <w:rPr>
                <w:rFonts w:cs="Arial"/>
              </w:rPr>
              <w:t>ling</w:t>
            </w:r>
            <w:r>
              <w:rPr>
                <w:rFonts w:cs="Arial"/>
              </w:rPr>
              <w:t>, deliver</w:t>
            </w:r>
            <w:r w:rsidR="008B1BBB">
              <w:rPr>
                <w:rFonts w:cs="Arial"/>
              </w:rPr>
              <w:t>ing</w:t>
            </w:r>
            <w:r>
              <w:rPr>
                <w:rFonts w:cs="Arial"/>
              </w:rPr>
              <w:t xml:space="preserve">, or monitoring electricity </w:t>
            </w:r>
            <w:r w:rsidR="008B1BBB">
              <w:rPr>
                <w:rFonts w:cs="Arial"/>
              </w:rPr>
              <w:t xml:space="preserve">at </w:t>
            </w:r>
            <w:r>
              <w:rPr>
                <w:rFonts w:cs="Arial"/>
              </w:rPr>
              <w:t>the Site</w:t>
            </w:r>
            <w:r w:rsidR="0008464D">
              <w:rPr>
                <w:rFonts w:cs="Arial"/>
              </w:rPr>
              <w:t>; and (</w:t>
            </w:r>
            <w:r w:rsidR="00605D97">
              <w:rPr>
                <w:rFonts w:cs="Arial"/>
              </w:rPr>
              <w:t>c</w:t>
            </w:r>
            <w:r w:rsidR="0008464D">
              <w:rPr>
                <w:rFonts w:cs="Arial"/>
              </w:rPr>
              <w:t>)</w:t>
            </w:r>
            <w:r>
              <w:rPr>
                <w:rFonts w:cs="Arial"/>
              </w:rPr>
              <w:t xml:space="preserve"> </w:t>
            </w:r>
            <w:r w:rsidR="0008464D">
              <w:rPr>
                <w:rFonts w:cs="Arial"/>
              </w:rPr>
              <w:t xml:space="preserve">all </w:t>
            </w:r>
            <w:r>
              <w:rPr>
                <w:rFonts w:cs="Arial"/>
              </w:rPr>
              <w:t>equipment and facilities on Seller’s side of the POI and the Gas Delivery Point at the Site</w:t>
            </w:r>
            <w:r w:rsidR="00924952">
              <w:rPr>
                <w:rFonts w:cs="Arial"/>
              </w:rPr>
              <w:t>; and (</w:t>
            </w:r>
            <w:r w:rsidR="00605D97">
              <w:rPr>
                <w:rFonts w:cs="Arial"/>
              </w:rPr>
              <w:t>ii</w:t>
            </w:r>
            <w:r w:rsidR="00924952">
              <w:rPr>
                <w:rFonts w:cs="Arial"/>
              </w:rPr>
              <w:t xml:space="preserve">) excludes </w:t>
            </w:r>
            <w:r w:rsidR="00B2547E">
              <w:rPr>
                <w:rFonts w:cs="Arial"/>
              </w:rPr>
              <w:t xml:space="preserve">any other </w:t>
            </w:r>
            <w:r w:rsidR="008269EA">
              <w:rPr>
                <w:rFonts w:cs="Arial"/>
              </w:rPr>
              <w:t>units at the Site not designated as Units</w:t>
            </w:r>
            <w:r>
              <w:rPr>
                <w:rFonts w:cs="Arial"/>
              </w:rPr>
              <w:t>.</w:t>
            </w:r>
            <w:r w:rsidR="00924952">
              <w:rPr>
                <w:rFonts w:cs="Arial"/>
              </w:rPr>
              <w:t xml:space="preserve"> </w:t>
            </w:r>
          </w:p>
        </w:tc>
      </w:tr>
      <w:tr w:rsidR="0032489C" w:rsidTr="003B6531" w14:paraId="357CC77A" w14:textId="77777777">
        <w:trPr>
          <w:trHeight w:val="58"/>
        </w:trPr>
        <w:tc>
          <w:tcPr>
            <w:tcW w:w="2245" w:type="dxa"/>
          </w:tcPr>
          <w:p w:rsidR="0032489C" w:rsidP="004F78C3" w:rsidRDefault="0032489C" w14:paraId="5EC9BD85" w14:textId="1AC32FFC">
            <w:pPr>
              <w:jc w:val="left"/>
              <w:rPr>
                <w:b/>
                <w:bCs/>
              </w:rPr>
            </w:pPr>
            <w:r>
              <w:rPr>
                <w:b/>
                <w:bCs/>
              </w:rPr>
              <w:t>Facility Name</w:t>
            </w:r>
          </w:p>
        </w:tc>
        <w:tc>
          <w:tcPr>
            <w:tcW w:w="7105" w:type="dxa"/>
          </w:tcPr>
          <w:p w:rsidR="0032489C" w:rsidP="004F78C3" w:rsidRDefault="0032489C" w14:paraId="7C787DBD" w14:textId="6A38699D">
            <w:pPr>
              <w:rPr>
                <w:rFonts w:cs="Arial"/>
              </w:rPr>
            </w:pPr>
            <w:r>
              <w:rPr>
                <w:rFonts w:cs="Arial"/>
                <w:highlight w:val="yellow"/>
              </w:rPr>
              <w:t>#</w:t>
            </w:r>
            <w:r>
              <w:rPr>
                <w:highlight w:val="yellow"/>
              </w:rPr>
              <w:t>FacilityName</w:t>
            </w:r>
          </w:p>
        </w:tc>
      </w:tr>
      <w:tr w:rsidR="008F5B82" w:rsidTr="003B6531" w14:paraId="49AB61F2" w14:textId="77777777">
        <w:trPr>
          <w:trHeight w:val="58"/>
        </w:trPr>
        <w:tc>
          <w:tcPr>
            <w:tcW w:w="2245" w:type="dxa"/>
          </w:tcPr>
          <w:p w:rsidR="008F5B82" w:rsidP="004F78C3" w:rsidRDefault="008F5B82" w14:paraId="0883B091" w14:textId="5192674E">
            <w:pPr>
              <w:spacing w:after="120"/>
              <w:jc w:val="left"/>
              <w:rPr>
                <w:b/>
                <w:bCs/>
              </w:rPr>
            </w:pPr>
            <w:r>
              <w:rPr>
                <w:b/>
                <w:bCs/>
              </w:rPr>
              <w:t>Unit Description</w:t>
            </w:r>
            <w:r w:rsidR="0041350C">
              <w:rPr>
                <w:b/>
                <w:bCs/>
              </w:rPr>
              <w:t>(s)</w:t>
            </w:r>
          </w:p>
        </w:tc>
        <w:tc>
          <w:tcPr>
            <w:tcW w:w="7105" w:type="dxa"/>
          </w:tcPr>
          <w:p w:rsidRPr="00121D61" w:rsidR="008F5B82" w:rsidP="004F78C3" w:rsidRDefault="0013647B" w14:paraId="3F1953A9" w14:textId="7701DEA5">
            <w:pPr>
              <w:spacing w:after="120"/>
              <w:rPr>
                <w:rFonts w:cs="Arial"/>
              </w:rPr>
            </w:pPr>
            <w:r>
              <w:rPr>
                <w:rFonts w:cs="Arial"/>
              </w:rPr>
              <w:t>The CT</w:t>
            </w:r>
            <w:r w:rsidR="0037177E">
              <w:rPr>
                <w:rFonts w:cs="Arial"/>
              </w:rPr>
              <w:t>(</w:t>
            </w:r>
            <w:r>
              <w:rPr>
                <w:rFonts w:cs="Arial"/>
              </w:rPr>
              <w:t>s</w:t>
            </w:r>
            <w:r w:rsidR="0037177E">
              <w:rPr>
                <w:rFonts w:cs="Arial"/>
              </w:rPr>
              <w:t>)</w:t>
            </w:r>
            <w:r>
              <w:rPr>
                <w:rFonts w:cs="Arial"/>
              </w:rPr>
              <w:t xml:space="preserve"> at the Facility</w:t>
            </w:r>
            <w:r w:rsidR="00121D61">
              <w:rPr>
                <w:rFonts w:cs="Arial"/>
              </w:rPr>
              <w:t xml:space="preserve"> specifically identified below and</w:t>
            </w:r>
            <w:r>
              <w:rPr>
                <w:rFonts w:cs="Arial"/>
              </w:rPr>
              <w:t xml:space="preserve"> designated to meet Seller’s supply obligations </w:t>
            </w:r>
            <w:r w:rsidR="009428B1">
              <w:rPr>
                <w:rFonts w:cs="Arial"/>
              </w:rPr>
              <w:t>under</w:t>
            </w:r>
            <w:r>
              <w:rPr>
                <w:rFonts w:cs="Arial"/>
              </w:rPr>
              <w:t xml:space="preserve"> this PPA</w:t>
            </w:r>
            <w:r w:rsidR="00121D61">
              <w:rPr>
                <w:rFonts w:cs="Arial"/>
              </w:rPr>
              <w:t xml:space="preserve">: </w:t>
            </w:r>
            <w:r w:rsidRPr="00C958ED" w:rsidR="00310BB3">
              <w:rPr>
                <w:rFonts w:cs="Arial"/>
                <w:highlight w:val="yellow"/>
              </w:rPr>
              <w:t>#Identi</w:t>
            </w:r>
            <w:r w:rsidR="00D56329">
              <w:rPr>
                <w:rFonts w:cs="Arial"/>
                <w:highlight w:val="yellow"/>
              </w:rPr>
              <w:t>fy</w:t>
            </w:r>
            <w:r w:rsidRPr="00C958ED" w:rsidR="00310BB3">
              <w:rPr>
                <w:rFonts w:cs="Arial"/>
                <w:highlight w:val="yellow"/>
              </w:rPr>
              <w:t>CTs</w:t>
            </w:r>
            <w:r w:rsidR="00847C28">
              <w:rPr>
                <w:rFonts w:cs="Arial"/>
              </w:rPr>
              <w:t xml:space="preserve"> </w:t>
            </w:r>
            <w:r w:rsidRPr="00847C28" w:rsidR="00847C28">
              <w:rPr>
                <w:rFonts w:cs="Arial"/>
                <w:highlight w:val="yellow"/>
              </w:rPr>
              <w:t>#AddCTs</w:t>
            </w:r>
            <w:r>
              <w:rPr>
                <w:rFonts w:cs="Arial"/>
              </w:rPr>
              <w:t xml:space="preserve">. </w:t>
            </w:r>
          </w:p>
        </w:tc>
      </w:tr>
      <w:tr w:rsidR="00206FC7" w:rsidTr="003B6531" w14:paraId="19278B7F" w14:textId="77777777">
        <w:trPr>
          <w:trHeight w:val="58"/>
        </w:trPr>
        <w:tc>
          <w:tcPr>
            <w:tcW w:w="2245" w:type="dxa"/>
          </w:tcPr>
          <w:p w:rsidR="00206FC7" w:rsidP="004F78C3" w:rsidRDefault="00206FC7" w14:paraId="1654F1A6" w14:textId="4B60CE87">
            <w:pPr>
              <w:jc w:val="left"/>
              <w:rPr>
                <w:b/>
                <w:bCs/>
              </w:rPr>
            </w:pPr>
            <w:r>
              <w:rPr>
                <w:b/>
                <w:bCs/>
              </w:rPr>
              <w:t>Seller Information</w:t>
            </w:r>
          </w:p>
        </w:tc>
        <w:tc>
          <w:tcPr>
            <w:tcW w:w="7105" w:type="dxa"/>
          </w:tcPr>
          <w:p w:rsidR="00206FC7" w:rsidP="00206FC7" w:rsidRDefault="00206FC7" w14:paraId="53C7201B" w14:textId="450BC080">
            <w:pPr>
              <w:jc w:val="left"/>
              <w:rPr>
                <w:rFonts w:cs="Arial"/>
              </w:rPr>
            </w:pPr>
            <w:r>
              <w:rPr>
                <w:rFonts w:cs="Arial"/>
                <w:highlight w:val="yellow"/>
              </w:rPr>
              <w:t>#SellerName</w:t>
            </w:r>
            <w:r>
              <w:rPr>
                <w:rFonts w:cs="Arial"/>
              </w:rPr>
              <w:t xml:space="preserve">, </w:t>
            </w:r>
            <w:r>
              <w:rPr>
                <w:rStyle w:val="normaltextrun"/>
                <w:highlight w:val="yellow"/>
              </w:rPr>
              <w:t>#a</w:t>
            </w:r>
            <w:r>
              <w:rPr>
                <w:rStyle w:val="normaltextrun"/>
                <w:b/>
                <w:i/>
                <w:color w:val="FF0000"/>
                <w:highlight w:val="cyan"/>
                <w:u w:val="single"/>
              </w:rPr>
              <w:t>OR</w:t>
            </w:r>
            <w:r>
              <w:rPr>
                <w:rStyle w:val="normaltextrun"/>
                <w:bCs/>
                <w:iCs/>
                <w:highlight w:val="yellow"/>
              </w:rPr>
              <w:t>#</w:t>
            </w:r>
            <w:r>
              <w:rPr>
                <w:rStyle w:val="normaltextrun"/>
                <w:highlight w:val="yellow"/>
              </w:rPr>
              <w:t>an</w:t>
            </w:r>
            <w:r>
              <w:rPr>
                <w:rStyle w:val="normaltextrun"/>
              </w:rPr>
              <w:t xml:space="preserve"> </w:t>
            </w:r>
            <w:r>
              <w:rPr>
                <w:rStyle w:val="normaltextrun"/>
                <w:highlight w:val="yellow"/>
              </w:rPr>
              <w:t>#OrgState#</w:t>
            </w:r>
            <w:r>
              <w:rPr>
                <w:rStyle w:val="normaltextrun"/>
              </w:rPr>
              <w:t xml:space="preserve"> </w:t>
            </w:r>
            <w:r>
              <w:rPr>
                <w:rStyle w:val="normaltextrun"/>
                <w:highlight w:val="yellow"/>
              </w:rPr>
              <w:t xml:space="preserve">#limited liability </w:t>
            </w:r>
            <w:proofErr w:type="spellStart"/>
            <w:r>
              <w:rPr>
                <w:rStyle w:val="normaltextrun"/>
                <w:highlight w:val="yellow"/>
              </w:rPr>
              <w:t>company</w:t>
            </w:r>
            <w:r>
              <w:rPr>
                <w:rStyle w:val="normaltextrun"/>
                <w:b/>
                <w:i/>
                <w:color w:val="FF0000"/>
                <w:highlight w:val="cyan"/>
                <w:u w:val="single"/>
              </w:rPr>
              <w:t>OR</w:t>
            </w:r>
            <w:r>
              <w:rPr>
                <w:rStyle w:val="normaltextrun"/>
                <w:highlight w:val="yellow"/>
              </w:rPr>
              <w:t>#OtherOrgStructure</w:t>
            </w:r>
            <w:proofErr w:type="spellEnd"/>
          </w:p>
        </w:tc>
      </w:tr>
    </w:tbl>
    <w:p w:rsidR="008F5B82" w:rsidP="008F5B82" w:rsidRDefault="008F5B82" w14:paraId="4ED95BCD" w14:textId="77777777">
      <w:pPr>
        <w:rPr>
          <w:b/>
          <w:bCs/>
        </w:rPr>
      </w:pPr>
    </w:p>
    <w:p w:rsidR="008F5B82" w:rsidP="00255C8D" w:rsidRDefault="008F5B82" w14:paraId="03A3ADFB" w14:textId="6B66870D">
      <w:pPr>
        <w:pStyle w:val="zG01"/>
        <w:numPr>
          <w:ilvl w:val="0"/>
          <w:numId w:val="0"/>
        </w:numPr>
        <w:ind w:left="936" w:hanging="936"/>
      </w:pPr>
    </w:p>
    <w:p w:rsidRPr="00A76785" w:rsidR="00A76785" w:rsidP="00A76785" w:rsidRDefault="00A76785" w14:paraId="1B65DD18" w14:textId="77777777"/>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245"/>
        <w:gridCol w:w="7105"/>
      </w:tblGrid>
      <w:tr w:rsidR="00255C8D" w:rsidTr="003B6531" w14:paraId="27CD765E" w14:textId="77777777">
        <w:tc>
          <w:tcPr>
            <w:tcW w:w="9350" w:type="dxa"/>
            <w:gridSpan w:val="2"/>
            <w:shd w:val="clear" w:color="auto" w:fill="D9D9D9" w:themeFill="background1" w:themeFillShade="D9"/>
          </w:tcPr>
          <w:p w:rsidR="00A76785" w:rsidP="00A76785" w:rsidRDefault="00A76785" w14:paraId="285F6CDA" w14:textId="77777777">
            <w:pPr>
              <w:jc w:val="center"/>
              <w:rPr>
                <w:b/>
                <w:bCs/>
              </w:rPr>
            </w:pPr>
            <w:r>
              <w:rPr>
                <w:b/>
                <w:bCs/>
              </w:rPr>
              <w:t>Table A-2</w:t>
            </w:r>
          </w:p>
          <w:p w:rsidRPr="008A116F" w:rsidR="00255C8D" w:rsidP="00A76785" w:rsidRDefault="00255C8D" w14:paraId="3CC9E11A" w14:textId="61EC51DE">
            <w:pPr>
              <w:spacing w:before="0" w:after="120"/>
              <w:jc w:val="center"/>
              <w:rPr>
                <w:b/>
                <w:bCs/>
                <w:highlight w:val="yellow"/>
              </w:rPr>
            </w:pPr>
            <w:r>
              <w:rPr>
                <w:b/>
                <w:bCs/>
              </w:rPr>
              <w:t>Term, RCOD, and Earliest Delivery Commencement Date</w:t>
            </w:r>
          </w:p>
        </w:tc>
      </w:tr>
      <w:tr w:rsidR="008F5B82" w:rsidTr="003B6531" w14:paraId="20B6D46F" w14:textId="77777777">
        <w:tc>
          <w:tcPr>
            <w:tcW w:w="2245" w:type="dxa"/>
          </w:tcPr>
          <w:p w:rsidRPr="009222E0" w:rsidR="008F5B82" w:rsidP="004F78C3" w:rsidRDefault="008F5B82" w14:paraId="395615E1" w14:textId="420DAD81">
            <w:pPr>
              <w:jc w:val="left"/>
              <w:rPr>
                <w:b/>
                <w:iCs/>
              </w:rPr>
            </w:pPr>
            <w:r>
              <w:rPr>
                <w:b/>
                <w:bCs/>
              </w:rPr>
              <w:t>Term</w:t>
            </w:r>
          </w:p>
        </w:tc>
        <w:tc>
          <w:tcPr>
            <w:tcW w:w="7105" w:type="dxa"/>
          </w:tcPr>
          <w:p w:rsidR="008F5B82" w:rsidP="004F78C3" w:rsidRDefault="008F5B82" w14:paraId="36922C36" w14:textId="5735EF5D">
            <w:pPr>
              <w:rPr>
                <w:bCs/>
                <w:iCs/>
              </w:rPr>
            </w:pPr>
            <w:r>
              <w:rPr>
                <w:highlight w:val="yellow"/>
              </w:rPr>
              <w:t>#Number</w:t>
            </w:r>
            <w:r>
              <w:t xml:space="preserve"> Annual Periods </w:t>
            </w:r>
            <w:r>
              <w:rPr>
                <w:b/>
                <w:highlight w:val="cyan"/>
              </w:rPr>
              <w:t>[</w:t>
            </w:r>
            <w:r>
              <w:rPr>
                <w:b/>
                <w:bCs/>
                <w:i/>
                <w:iCs/>
                <w:highlight w:val="cyan"/>
                <w:u w:val="single"/>
              </w:rPr>
              <w:t>Note to Bidders</w:t>
            </w:r>
            <w:r>
              <w:rPr>
                <w:b/>
                <w:i/>
                <w:iCs/>
                <w:highlight w:val="cyan"/>
              </w:rPr>
              <w:t>: Term of 5, 10, 15,</w:t>
            </w:r>
            <w:r>
              <w:rPr>
                <w:b/>
                <w:bCs/>
                <w:i/>
                <w:iCs/>
                <w:highlight w:val="cyan"/>
              </w:rPr>
              <w:t xml:space="preserve"> </w:t>
            </w:r>
            <w:r>
              <w:rPr>
                <w:b/>
                <w:i/>
                <w:iCs/>
                <w:highlight w:val="cyan"/>
              </w:rPr>
              <w:t>20, 25, or 30 Annual Periods based on Delivery Commencement Date.</w:t>
            </w:r>
            <w:r>
              <w:rPr>
                <w:b/>
                <w:highlight w:val="cyan"/>
              </w:rPr>
              <w:t>]</w:t>
            </w:r>
          </w:p>
        </w:tc>
      </w:tr>
      <w:tr w:rsidR="008F5B82" w:rsidTr="003B6531" w14:paraId="4921A329" w14:textId="77777777">
        <w:tc>
          <w:tcPr>
            <w:tcW w:w="2245" w:type="dxa"/>
          </w:tcPr>
          <w:p w:rsidRPr="009222E0" w:rsidR="008F5B82" w:rsidP="004F78C3" w:rsidRDefault="008F5B82" w14:paraId="21005E5F" w14:textId="021EAFAA">
            <w:pPr>
              <w:jc w:val="left"/>
              <w:rPr>
                <w:b/>
                <w:iCs/>
              </w:rPr>
            </w:pPr>
            <w:r>
              <w:rPr>
                <w:rFonts w:cs="Arial"/>
                <w:b/>
                <w:bCs/>
              </w:rPr>
              <w:t>RCOD</w:t>
            </w:r>
          </w:p>
        </w:tc>
        <w:tc>
          <w:tcPr>
            <w:tcW w:w="7105" w:type="dxa"/>
          </w:tcPr>
          <w:p w:rsidRPr="006D0A61" w:rsidR="008F5B82" w:rsidP="004F78C3" w:rsidRDefault="008F5B82" w14:paraId="26313742" w14:textId="058D3D17">
            <w:r>
              <w:rPr>
                <w:rFonts w:cs="Arial"/>
                <w:highlight w:val="yellow"/>
              </w:rPr>
              <w:t>#Month #Day, #Year</w:t>
            </w:r>
            <w:r>
              <w:rPr>
                <w:rFonts w:cs="Arial"/>
                <w:b/>
                <w:bCs/>
                <w:i/>
                <w:iCs/>
                <w:highlight w:val="cyan"/>
                <w:u w:val="single"/>
              </w:rPr>
              <w:t>OR</w:t>
            </w:r>
            <w:r>
              <w:rPr>
                <w:rFonts w:cs="Arial"/>
                <w:highlight w:val="yellow"/>
              </w:rPr>
              <w:t>#N/A</w:t>
            </w:r>
          </w:p>
        </w:tc>
      </w:tr>
      <w:tr w:rsidR="008F5B82" w:rsidTr="003B6531" w14:paraId="03559516" w14:textId="77777777">
        <w:tc>
          <w:tcPr>
            <w:tcW w:w="2245" w:type="dxa"/>
          </w:tcPr>
          <w:p w:rsidRPr="009222E0" w:rsidR="008F5B82" w:rsidP="004F78C3" w:rsidRDefault="008F5B82" w14:paraId="2A7D40F9" w14:textId="6E45BCDC">
            <w:pPr>
              <w:jc w:val="left"/>
              <w:rPr>
                <w:b/>
                <w:iCs/>
              </w:rPr>
            </w:pPr>
            <w:r>
              <w:rPr>
                <w:b/>
                <w:bCs/>
              </w:rPr>
              <w:t>Earliest Delivery Commencement Date</w:t>
            </w:r>
          </w:p>
        </w:tc>
        <w:tc>
          <w:tcPr>
            <w:tcW w:w="7105" w:type="dxa"/>
          </w:tcPr>
          <w:p w:rsidRPr="00942F6F" w:rsidR="008F5B82" w:rsidP="004F78C3" w:rsidRDefault="008F5B82" w14:paraId="22326B92" w14:textId="5A3B61D7">
            <w:r>
              <w:rPr>
                <w:highlight w:val="yellow"/>
              </w:rPr>
              <w:t>#DateNineMonthsBeforeRCOD</w:t>
            </w:r>
            <w:r>
              <w:rPr>
                <w:b/>
                <w:bCs/>
                <w:i/>
                <w:iCs/>
                <w:highlight w:val="cyan"/>
                <w:u w:val="single"/>
              </w:rPr>
              <w:t>OR</w:t>
            </w:r>
            <w:r>
              <w:rPr>
                <w:highlight w:val="yellow"/>
              </w:rPr>
              <w:t>#Month #Day, #Year</w:t>
            </w:r>
          </w:p>
        </w:tc>
      </w:tr>
    </w:tbl>
    <w:p w:rsidR="008F5B82" w:rsidP="008F5B82" w:rsidRDefault="008F5B82" w14:paraId="054526B1" w14:textId="77777777">
      <w:pPr>
        <w:rPr>
          <w:b/>
          <w:bCs/>
        </w:rPr>
      </w:pPr>
    </w:p>
    <w:p w:rsidR="008F5B82" w:rsidP="00255C8D" w:rsidRDefault="008F5B82" w14:paraId="48EA0288" w14:textId="6D4D53A6">
      <w:pPr>
        <w:pStyle w:val="zG01"/>
        <w:numPr>
          <w:ilvl w:val="0"/>
          <w:numId w:val="0"/>
        </w:numPr>
        <w:ind w:left="936" w:hanging="936"/>
      </w:pPr>
    </w:p>
    <w:p w:rsidR="00A76785" w:rsidP="00A76785" w:rsidRDefault="00A76785" w14:paraId="21EEBDD8" w14:textId="77777777"/>
    <w:p w:rsidR="00250C8D" w:rsidP="00A76785" w:rsidRDefault="00250C8D" w14:paraId="065E70D3" w14:textId="77777777"/>
    <w:p w:rsidR="00A76785" w:rsidP="00A76785" w:rsidRDefault="00A76785" w14:paraId="17CEDC86" w14:textId="77777777"/>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245"/>
        <w:gridCol w:w="7105"/>
      </w:tblGrid>
      <w:tr w:rsidR="00255C8D" w:rsidTr="003B6531" w14:paraId="706F01DF" w14:textId="77777777">
        <w:tc>
          <w:tcPr>
            <w:tcW w:w="9350" w:type="dxa"/>
            <w:gridSpan w:val="2"/>
            <w:shd w:val="clear" w:color="auto" w:fill="D9D9D9" w:themeFill="background1" w:themeFillShade="D9"/>
          </w:tcPr>
          <w:p w:rsidR="00A76785" w:rsidP="00A76785" w:rsidRDefault="00A76785" w14:paraId="27D213AE" w14:textId="77777777">
            <w:pPr>
              <w:jc w:val="center"/>
              <w:rPr>
                <w:b/>
                <w:bCs/>
              </w:rPr>
            </w:pPr>
            <w:r>
              <w:rPr>
                <w:b/>
                <w:bCs/>
              </w:rPr>
              <w:lastRenderedPageBreak/>
              <w:t>Table A-3</w:t>
            </w:r>
          </w:p>
          <w:p w:rsidRPr="007066BC" w:rsidR="00255C8D" w:rsidP="00A76785" w:rsidRDefault="00255C8D" w14:paraId="4958D84E" w14:textId="7B708CAF">
            <w:pPr>
              <w:spacing w:before="0" w:after="120"/>
              <w:jc w:val="center"/>
              <w:rPr>
                <w:b/>
                <w:bCs/>
                <w:iCs/>
              </w:rPr>
            </w:pPr>
            <w:r>
              <w:rPr>
                <w:b/>
                <w:bCs/>
              </w:rPr>
              <w:t>Additional Facility and Operating Information</w:t>
            </w:r>
          </w:p>
        </w:tc>
      </w:tr>
      <w:tr w:rsidR="008F5B82" w:rsidTr="003B6531" w14:paraId="6EF9EC4A" w14:textId="77777777">
        <w:tc>
          <w:tcPr>
            <w:tcW w:w="2245" w:type="dxa"/>
          </w:tcPr>
          <w:p w:rsidRPr="00A83279" w:rsidR="008F5B82" w:rsidP="004F78C3" w:rsidRDefault="008F5B82" w14:paraId="546FF804" w14:textId="6BAEE618">
            <w:pPr>
              <w:spacing w:after="120"/>
              <w:jc w:val="left"/>
              <w:rPr>
                <w:b/>
                <w:bCs/>
              </w:rPr>
            </w:pPr>
            <w:r>
              <w:rPr>
                <w:b/>
                <w:iCs/>
              </w:rPr>
              <w:t>Air Permit Operating Limits</w:t>
            </w:r>
          </w:p>
        </w:tc>
        <w:tc>
          <w:tcPr>
            <w:tcW w:w="7105" w:type="dxa"/>
          </w:tcPr>
          <w:p w:rsidR="008F5B82" w:rsidP="004F78C3" w:rsidRDefault="00627B9B" w14:paraId="668A9EC5" w14:textId="5F33B082">
            <w:pPr>
              <w:spacing w:after="120"/>
              <w:rPr>
                <w:b/>
                <w:bCs/>
              </w:rPr>
            </w:pPr>
            <w:r>
              <w:rPr>
                <w:highlight w:val="yellow"/>
              </w:rPr>
              <w:t>#AirPermitOperatingLimits</w:t>
            </w:r>
          </w:p>
        </w:tc>
      </w:tr>
      <w:tr w:rsidR="00EB2992" w:rsidTr="003B6531" w14:paraId="38AF02DA" w14:textId="77777777">
        <w:tc>
          <w:tcPr>
            <w:tcW w:w="2245" w:type="dxa"/>
          </w:tcPr>
          <w:p w:rsidRPr="00DA2987" w:rsidR="00EB2992" w:rsidP="00EB2992" w:rsidRDefault="00EB2992" w14:paraId="762222F7" w14:textId="155648CF">
            <w:pPr>
              <w:jc w:val="left"/>
              <w:rPr>
                <w:b/>
                <w:bCs/>
              </w:rPr>
            </w:pPr>
            <w:r>
              <w:rPr>
                <w:b/>
                <w:bCs/>
              </w:rPr>
              <w:t>Daily Fuel Oil Replacement Price Location</w:t>
            </w:r>
          </w:p>
        </w:tc>
        <w:tc>
          <w:tcPr>
            <w:tcW w:w="7105" w:type="dxa"/>
          </w:tcPr>
          <w:p w:rsidRPr="00F10071" w:rsidR="00EB2992" w:rsidP="00EB2992" w:rsidRDefault="00EB2992" w14:paraId="16A45073" w14:textId="5C9618BA">
            <w:pPr>
              <w:rPr>
                <w:rFonts w:cs="Arial"/>
              </w:rPr>
            </w:pPr>
            <w:r>
              <w:rPr>
                <w:rFonts w:cs="Arial"/>
                <w:highlight w:val="yellow"/>
              </w:rPr>
              <w:t>#AddLocation</w:t>
            </w:r>
          </w:p>
        </w:tc>
      </w:tr>
      <w:tr w:rsidR="00EB2992" w:rsidTr="003B6531" w14:paraId="38065B01" w14:textId="77777777">
        <w:tc>
          <w:tcPr>
            <w:tcW w:w="2245" w:type="dxa"/>
          </w:tcPr>
          <w:p w:rsidR="00EB2992" w:rsidP="00EB2992" w:rsidRDefault="00EB2992" w14:paraId="04EAD556" w14:textId="046B354B">
            <w:pPr>
              <w:spacing w:after="120"/>
              <w:jc w:val="left"/>
              <w:rPr>
                <w:b/>
                <w:bCs/>
              </w:rPr>
            </w:pPr>
            <w:r>
              <w:rPr>
                <w:b/>
                <w:bCs/>
              </w:rPr>
              <w:t>GHG Rate</w:t>
            </w:r>
          </w:p>
        </w:tc>
        <w:tc>
          <w:tcPr>
            <w:tcW w:w="7105" w:type="dxa"/>
          </w:tcPr>
          <w:p w:rsidR="00EB2992" w:rsidP="00EB2992" w:rsidRDefault="00EB2992" w14:paraId="400700DC" w14:textId="0DFF8BD2">
            <w:pPr>
              <w:spacing w:after="120"/>
              <w:rPr>
                <w:rFonts w:cs="Arial"/>
              </w:rPr>
            </w:pPr>
            <w:r>
              <w:rPr>
                <w:rFonts w:cs="Arial"/>
              </w:rPr>
              <w:t>Either: (</w:t>
            </w:r>
            <w:proofErr w:type="spellStart"/>
            <w:r>
              <w:rPr>
                <w:rFonts w:cs="Arial"/>
              </w:rPr>
              <w:t>i</w:t>
            </w:r>
            <w:proofErr w:type="spellEnd"/>
            <w:r>
              <w:rPr>
                <w:rFonts w:cs="Arial"/>
              </w:rPr>
              <w:t xml:space="preserve">) regarding </w:t>
            </w:r>
            <w:proofErr w:type="gramStart"/>
            <w:r>
              <w:rPr>
                <w:rFonts w:cs="Arial"/>
              </w:rPr>
              <w:t xml:space="preserve">CO2, </w:t>
            </w:r>
            <w:r>
              <w:rPr>
                <w:rFonts w:cs="Arial"/>
                <w:highlight w:val="yellow"/>
              </w:rPr>
              <w:t>#</w:t>
            </w:r>
            <w:proofErr w:type="gramEnd"/>
            <w:r>
              <w:rPr>
                <w:rFonts w:cs="Arial"/>
                <w:highlight w:val="yellow"/>
              </w:rPr>
              <w:t>Weight</w:t>
            </w:r>
            <w:r>
              <w:rPr>
                <w:rFonts w:cs="Arial"/>
              </w:rPr>
              <w:t xml:space="preserve"> lbs. of CO2 / MMBtu; or (ii) regarding any other Greenhouse Gas, a rate established by GPC that is equal to the average emissions rate for the applicable Greenhouse Gas from GPC’s own combined cycle electric generation facilities.</w:t>
            </w:r>
          </w:p>
          <w:p w:rsidR="00EB2992" w:rsidP="00EB2992" w:rsidRDefault="00EB2992" w14:paraId="67B8CFBC" w14:textId="77777777">
            <w:pPr>
              <w:spacing w:after="120"/>
              <w:rPr>
                <w:b/>
                <w:bCs/>
              </w:rPr>
            </w:pPr>
          </w:p>
        </w:tc>
      </w:tr>
      <w:tr w:rsidR="00EB2992" w:rsidTr="003B6531" w14:paraId="59864CEF" w14:textId="77777777">
        <w:tc>
          <w:tcPr>
            <w:tcW w:w="2245" w:type="dxa"/>
          </w:tcPr>
          <w:p w:rsidR="00EB2992" w:rsidP="00EB2992" w:rsidRDefault="00EB2992" w14:paraId="66DE0AEE" w14:textId="48A24842">
            <w:pPr>
              <w:spacing w:after="120"/>
              <w:jc w:val="left"/>
              <w:rPr>
                <w:b/>
                <w:bCs/>
              </w:rPr>
            </w:pPr>
            <w:r>
              <w:rPr>
                <w:rFonts w:cs="Arial"/>
                <w:b/>
                <w:bCs/>
              </w:rPr>
              <w:t>Nominal Standard Capability</w:t>
            </w:r>
          </w:p>
        </w:tc>
        <w:tc>
          <w:tcPr>
            <w:tcW w:w="7105" w:type="dxa"/>
          </w:tcPr>
          <w:p w:rsidR="00EB2992" w:rsidP="00EB2992" w:rsidRDefault="00EB2992" w14:paraId="6F5636EE" w14:textId="2E5FC31B">
            <w:pPr>
              <w:spacing w:after="120"/>
              <w:jc w:val="left"/>
              <w:rPr>
                <w:b/>
                <w:bCs/>
              </w:rPr>
            </w:pPr>
            <w:r>
              <w:rPr>
                <w:rFonts w:cs="Arial"/>
                <w:bCs/>
                <w:highlight w:val="yellow"/>
              </w:rPr>
              <w:t>#Value</w:t>
            </w:r>
            <w:r>
              <w:rPr>
                <w:rFonts w:cs="Arial"/>
              </w:rPr>
              <w:t xml:space="preserve"> MW per Unit for a total of </w:t>
            </w:r>
            <w:r>
              <w:rPr>
                <w:rFonts w:cs="Arial"/>
                <w:highlight w:val="yellow"/>
              </w:rPr>
              <w:t>#Number</w:t>
            </w:r>
            <w:r>
              <w:rPr>
                <w:rFonts w:cs="Arial"/>
              </w:rPr>
              <w:t xml:space="preserve"> MW for the Facility.</w:t>
            </w:r>
          </w:p>
        </w:tc>
      </w:tr>
      <w:tr w:rsidR="00955F47" w:rsidTr="003B6531" w14:paraId="68BC1A28" w14:textId="77777777">
        <w:tc>
          <w:tcPr>
            <w:tcW w:w="2245" w:type="dxa"/>
          </w:tcPr>
          <w:p w:rsidR="00955F47" w:rsidP="00EB2992" w:rsidRDefault="00955F47" w14:paraId="364540B6" w14:textId="26AC66D9">
            <w:pPr>
              <w:jc w:val="left"/>
              <w:rPr>
                <w:rFonts w:cs="Arial"/>
                <w:b/>
                <w:bCs/>
              </w:rPr>
            </w:pPr>
            <w:r>
              <w:rPr>
                <w:rFonts w:cs="Arial"/>
                <w:b/>
                <w:bCs/>
              </w:rPr>
              <w:t>Nominal Winter Capability</w:t>
            </w:r>
          </w:p>
        </w:tc>
        <w:tc>
          <w:tcPr>
            <w:tcW w:w="7105" w:type="dxa"/>
          </w:tcPr>
          <w:p w:rsidRPr="007235FE" w:rsidR="00955F47" w:rsidP="00EB2992" w:rsidRDefault="00955F47" w14:paraId="19D05791" w14:textId="38BD88BF">
            <w:pPr>
              <w:jc w:val="left"/>
              <w:rPr>
                <w:rFonts w:cs="Arial"/>
                <w:bCs/>
                <w:highlight w:val="yellow"/>
              </w:rPr>
            </w:pPr>
            <w:r>
              <w:rPr>
                <w:rFonts w:cs="Arial"/>
                <w:bCs/>
                <w:highlight w:val="yellow"/>
              </w:rPr>
              <w:t>#Value</w:t>
            </w:r>
            <w:r>
              <w:rPr>
                <w:rFonts w:cs="Arial"/>
              </w:rPr>
              <w:t xml:space="preserve"> MW per Unit for a total of </w:t>
            </w:r>
            <w:r>
              <w:rPr>
                <w:rFonts w:cs="Arial"/>
                <w:highlight w:val="yellow"/>
              </w:rPr>
              <w:t>#Number</w:t>
            </w:r>
            <w:r>
              <w:rPr>
                <w:rFonts w:cs="Arial"/>
              </w:rPr>
              <w:t xml:space="preserve"> MW for the Facility.</w:t>
            </w:r>
          </w:p>
        </w:tc>
      </w:tr>
      <w:tr w:rsidR="00EB2992" w:rsidTr="003B6531" w14:paraId="16AD527B" w14:textId="77777777">
        <w:tc>
          <w:tcPr>
            <w:tcW w:w="2245" w:type="dxa"/>
          </w:tcPr>
          <w:p w:rsidR="00EB2992" w:rsidP="00EB2992" w:rsidRDefault="00EB2992" w14:paraId="10424C10" w14:textId="0E463477">
            <w:pPr>
              <w:spacing w:after="120"/>
              <w:jc w:val="left"/>
              <w:rPr>
                <w:b/>
                <w:bCs/>
              </w:rPr>
            </w:pPr>
            <w:r>
              <w:rPr>
                <w:rFonts w:cs="Arial"/>
                <w:b/>
                <w:bCs/>
              </w:rPr>
              <w:t>Gas Delivery Point (Pipeline Name and Additional Information)</w:t>
            </w:r>
          </w:p>
        </w:tc>
        <w:tc>
          <w:tcPr>
            <w:tcW w:w="7105" w:type="dxa"/>
          </w:tcPr>
          <w:p w:rsidR="00EB2992" w:rsidP="00EB2992" w:rsidRDefault="00EB2992" w14:paraId="5A6CB01E" w14:textId="750997A9">
            <w:pPr>
              <w:spacing w:after="120"/>
              <w:jc w:val="left"/>
              <w:rPr>
                <w:b/>
                <w:bCs/>
              </w:rPr>
            </w:pPr>
            <w:r>
              <w:rPr>
                <w:rFonts w:cs="Arial"/>
                <w:highlight w:val="yellow"/>
              </w:rPr>
              <w:t>#GasDeliveryPointInformationIncludingPipelineName</w:t>
            </w:r>
          </w:p>
        </w:tc>
      </w:tr>
      <w:tr w:rsidR="00EB2992" w:rsidTr="003B6531" w14:paraId="5F3C1910" w14:textId="77777777">
        <w:tc>
          <w:tcPr>
            <w:tcW w:w="2245" w:type="dxa"/>
          </w:tcPr>
          <w:p w:rsidR="00EB2992" w:rsidP="00EB2992" w:rsidRDefault="00EB2992" w14:paraId="663682CA" w14:textId="27B9061B">
            <w:pPr>
              <w:jc w:val="left"/>
              <w:rPr>
                <w:b/>
                <w:bCs/>
              </w:rPr>
            </w:pPr>
            <w:r>
              <w:rPr>
                <w:b/>
                <w:bCs/>
              </w:rPr>
              <w:t>Gallons Purchase Amount</w:t>
            </w:r>
          </w:p>
        </w:tc>
        <w:tc>
          <w:tcPr>
            <w:tcW w:w="7105" w:type="dxa"/>
          </w:tcPr>
          <w:p w:rsidRPr="00F57881" w:rsidR="00EB2992" w:rsidP="00EB2992" w:rsidRDefault="00EB2992" w14:paraId="5444674F" w14:textId="635D713B">
            <w:pPr>
              <w:jc w:val="left"/>
              <w:rPr>
                <w:highlight w:val="yellow"/>
              </w:rPr>
            </w:pPr>
            <w:r>
              <w:rPr>
                <w:highlight w:val="yellow"/>
              </w:rPr>
              <w:t>#GallonsPurchaseAmount</w:t>
            </w:r>
            <w:r>
              <w:t xml:space="preserve"> to be sold to GPC from Seller</w:t>
            </w:r>
          </w:p>
        </w:tc>
      </w:tr>
      <w:tr w:rsidR="00803794" w:rsidTr="003B6531" w14:paraId="4E5B46D2" w14:textId="77777777">
        <w:tc>
          <w:tcPr>
            <w:tcW w:w="2245" w:type="dxa"/>
          </w:tcPr>
          <w:p w:rsidR="00803794" w:rsidP="00803794" w:rsidRDefault="00803794" w14:paraId="7CBBC676" w14:textId="1608ABC3">
            <w:pPr>
              <w:jc w:val="left"/>
              <w:rPr>
                <w:b/>
                <w:bCs/>
              </w:rPr>
            </w:pPr>
            <w:r>
              <w:rPr>
                <w:b/>
              </w:rPr>
              <w:t>Fuel Oil Delivery Point</w:t>
            </w:r>
          </w:p>
        </w:tc>
        <w:tc>
          <w:tcPr>
            <w:tcW w:w="7105" w:type="dxa"/>
          </w:tcPr>
          <w:p w:rsidR="00803794" w:rsidP="00803794" w:rsidRDefault="00803794" w14:paraId="4AB9A0D1" w14:textId="65B2053F">
            <w:pPr>
              <w:jc w:val="left"/>
              <w:rPr>
                <w:highlight w:val="yellow"/>
              </w:rPr>
            </w:pPr>
            <w:r>
              <w:t>The inlet flow control valve on the Fuel Oil storage tank(s)</w:t>
            </w:r>
          </w:p>
        </w:tc>
      </w:tr>
      <w:tr w:rsidR="00803794" w:rsidTr="003B6531" w14:paraId="3AB985B2" w14:textId="77777777">
        <w:tc>
          <w:tcPr>
            <w:tcW w:w="2245" w:type="dxa"/>
          </w:tcPr>
          <w:p w:rsidR="00803794" w:rsidP="00803794" w:rsidRDefault="00803794" w14:paraId="1219DBA5" w14:textId="604DA491">
            <w:pPr>
              <w:jc w:val="left"/>
              <w:rPr>
                <w:b/>
                <w:bCs/>
              </w:rPr>
            </w:pPr>
            <w:r>
              <w:rPr>
                <w:b/>
                <w:bCs/>
              </w:rPr>
              <w:t>Fuel Oil Storage Tank Capacity</w:t>
            </w:r>
          </w:p>
        </w:tc>
        <w:tc>
          <w:tcPr>
            <w:tcW w:w="7105" w:type="dxa"/>
          </w:tcPr>
          <w:p w:rsidRPr="00462394" w:rsidR="00803794" w:rsidP="00803794" w:rsidRDefault="00803794" w14:paraId="050C0F74" w14:textId="0FA89674">
            <w:pPr>
              <w:jc w:val="left"/>
              <w:rPr>
                <w:highlight w:val="yellow"/>
              </w:rPr>
            </w:pPr>
            <w:r>
              <w:rPr>
                <w:highlight w:val="yellow"/>
              </w:rPr>
              <w:t>#FuelStorageTankCapacity gallons</w:t>
            </w:r>
          </w:p>
        </w:tc>
      </w:tr>
      <w:tr w:rsidR="00803794" w:rsidTr="003B6531" w14:paraId="640B2F8D" w14:textId="77777777">
        <w:tc>
          <w:tcPr>
            <w:tcW w:w="2245" w:type="dxa"/>
          </w:tcPr>
          <w:p w:rsidR="00803794" w:rsidP="00803794" w:rsidRDefault="00803794" w14:paraId="18B0D58F" w14:textId="7A9D67D3">
            <w:pPr>
              <w:jc w:val="left"/>
              <w:rPr>
                <w:b/>
                <w:bCs/>
              </w:rPr>
            </w:pPr>
            <w:r>
              <w:rPr>
                <w:b/>
                <w:bCs/>
              </w:rPr>
              <w:t xml:space="preserve">Upper Limit Fuel Oil Inventory Level </w:t>
            </w:r>
          </w:p>
        </w:tc>
        <w:tc>
          <w:tcPr>
            <w:tcW w:w="7105" w:type="dxa"/>
          </w:tcPr>
          <w:p w:rsidRPr="00F57881" w:rsidR="00803794" w:rsidP="00803794" w:rsidRDefault="00803794" w14:paraId="52FD8CB0" w14:textId="1FA65A9F">
            <w:pPr>
              <w:jc w:val="left"/>
              <w:rPr>
                <w:highlight w:val="yellow"/>
              </w:rPr>
            </w:pPr>
            <w:r>
              <w:rPr>
                <w:highlight w:val="yellow"/>
              </w:rPr>
              <w:t>#UpperLimitFuelOilInventoryLevel</w:t>
            </w:r>
          </w:p>
        </w:tc>
      </w:tr>
      <w:tr w:rsidR="00803794" w:rsidTr="003B6531" w14:paraId="3E4228B0" w14:textId="77777777">
        <w:tc>
          <w:tcPr>
            <w:tcW w:w="2245" w:type="dxa"/>
          </w:tcPr>
          <w:p w:rsidRPr="00F57881" w:rsidR="00803794" w:rsidP="00803794" w:rsidRDefault="00803794" w14:paraId="2F2E414D" w14:textId="485A1CC6">
            <w:pPr>
              <w:jc w:val="left"/>
              <w:rPr>
                <w:b/>
                <w:bCs/>
              </w:rPr>
            </w:pPr>
            <w:r>
              <w:rPr>
                <w:b/>
                <w:bCs/>
              </w:rPr>
              <w:t>Maximum Hourly Replenishment Capability</w:t>
            </w:r>
          </w:p>
        </w:tc>
        <w:tc>
          <w:tcPr>
            <w:tcW w:w="7105" w:type="dxa"/>
          </w:tcPr>
          <w:p w:rsidRPr="00F57881" w:rsidR="00803794" w:rsidP="00803794" w:rsidRDefault="00803794" w14:paraId="1C8BE7A3" w14:textId="4BBA8778">
            <w:pPr>
              <w:jc w:val="left"/>
              <w:rPr>
                <w:highlight w:val="yellow"/>
              </w:rPr>
            </w:pPr>
            <w:proofErr w:type="gramStart"/>
            <w:r>
              <w:rPr>
                <w:highlight w:val="yellow"/>
              </w:rPr>
              <w:t>#Number</w:t>
            </w:r>
            <w:proofErr w:type="gramEnd"/>
            <w:r>
              <w:t xml:space="preserve"> gallons per Hour</w:t>
            </w:r>
          </w:p>
        </w:tc>
      </w:tr>
      <w:tr w:rsidR="00803794" w:rsidTr="003B6531" w14:paraId="42851494" w14:textId="77777777">
        <w:tc>
          <w:tcPr>
            <w:tcW w:w="2245" w:type="dxa"/>
          </w:tcPr>
          <w:p w:rsidRPr="00F57881" w:rsidR="00803794" w:rsidP="00803794" w:rsidRDefault="00803794" w14:paraId="46350AFD" w14:textId="3CBE6ADA">
            <w:pPr>
              <w:spacing w:after="120"/>
              <w:jc w:val="left"/>
              <w:rPr>
                <w:b/>
                <w:bCs/>
              </w:rPr>
            </w:pPr>
            <w:r>
              <w:rPr>
                <w:b/>
                <w:bCs/>
              </w:rPr>
              <w:t>Southern Transmission Interface</w:t>
            </w:r>
          </w:p>
        </w:tc>
        <w:tc>
          <w:tcPr>
            <w:tcW w:w="7105" w:type="dxa"/>
          </w:tcPr>
          <w:p w:rsidR="00803794" w:rsidP="00803794" w:rsidRDefault="00803794" w14:paraId="7BF35EB4" w14:textId="6911C334">
            <w:pPr>
              <w:spacing w:after="120"/>
              <w:jc w:val="left"/>
            </w:pPr>
            <w:r>
              <w:rPr>
                <w:highlight w:val="yellow"/>
              </w:rPr>
              <w:t>#AddSelectedSouthernTransmissionInterface</w:t>
            </w:r>
          </w:p>
        </w:tc>
      </w:tr>
    </w:tbl>
    <w:p w:rsidRPr="006F1B60" w:rsidR="006E104E" w:rsidP="006E104E" w:rsidRDefault="006E104E" w14:paraId="7AD0CCE1" w14:textId="77777777">
      <w:pPr>
        <w:rPr>
          <w:b/>
          <w:bCs/>
        </w:rPr>
      </w:pPr>
    </w:p>
    <w:p w:rsidR="006E104E" w:rsidP="006E104E" w:rsidRDefault="006E104E" w14:paraId="306452F4" w14:textId="77777777">
      <w:pPr>
        <w:pStyle w:val="zGNormal"/>
      </w:pPr>
    </w:p>
    <w:p w:rsidR="003F0913" w:rsidP="00654FF2" w:rsidRDefault="003F0913" w14:paraId="28882A2F" w14:textId="77777777">
      <w:pPr>
        <w:pStyle w:val="zGNormal"/>
        <w:sectPr w:rsidR="003F0913" w:rsidSect="006B1C54">
          <w:headerReference w:type="default" r:id="rId28"/>
          <w:footerReference w:type="default" r:id="rId29"/>
          <w:pgSz w:w="12240" w:h="15840" w:code="1"/>
          <w:pgMar w:top="1440" w:right="1440" w:bottom="1440" w:left="1440" w:header="720" w:footer="720" w:gutter="0"/>
          <w:paperSrc w:first="15" w:other="15"/>
          <w:cols w:space="1440"/>
        </w:sectPr>
      </w:pPr>
    </w:p>
    <w:p w:rsidRPr="002C2CE9" w:rsidR="00490F53" w:rsidP="00490F53" w:rsidRDefault="00490F53" w14:paraId="3BAA49D6" w14:textId="07BAB4C7">
      <w:pPr>
        <w:pStyle w:val="zGTitleExhibit"/>
      </w:pPr>
      <w:bookmarkStart w:name="_Toc159988033" w:id="396"/>
      <w:bookmarkStart w:name="_Toc212475773" w:id="397"/>
      <w:bookmarkStart w:name="_Toc227838470" w:id="398"/>
      <w:r>
        <w:lastRenderedPageBreak/>
        <w:t>Exhibit A-1 – Key Milestones and Required Key Milestone Dates</w:t>
      </w:r>
      <w:bookmarkEnd w:id="396"/>
      <w:bookmarkEnd w:id="397"/>
      <w:bookmarkEnd w:id="398"/>
      <w:r>
        <w:t xml:space="preserve"> </w:t>
      </w:r>
    </w:p>
    <w:p w:rsidRPr="00F27C60" w:rsidR="00F27C60" w:rsidP="00F27C60" w:rsidRDefault="00F27C60" w14:paraId="423DFA03" w14:textId="7021C972">
      <w:pPr>
        <w:autoSpaceDE w:val="0"/>
        <w:autoSpaceDN w:val="0"/>
        <w:adjustRightInd w:val="0"/>
        <w:spacing w:before="0" w:after="0"/>
        <w:rPr>
          <w:rFonts w:cs="Arial" w:eastAsiaTheme="minorEastAsia"/>
          <w:b/>
          <w:bCs/>
          <w:kern w:val="14"/>
        </w:rPr>
      </w:pPr>
      <w:r>
        <w:rPr>
          <w:rFonts w:cs="Arial" w:eastAsiaTheme="minorEastAsia"/>
          <w:b/>
          <w:bCs/>
          <w:kern w:val="14"/>
          <w:highlight w:val="cyan"/>
        </w:rPr>
        <w:t>[</w:t>
      </w:r>
      <w:r>
        <w:rPr>
          <w:b/>
          <w:bCs/>
          <w:i/>
          <w:iCs/>
          <w:highlight w:val="cyan"/>
          <w:u w:val="single"/>
        </w:rPr>
        <w:t>Note to Bidders</w:t>
      </w:r>
      <w:r>
        <w:rPr>
          <w:rFonts w:cs="Arial" w:eastAsiaTheme="minorEastAsia"/>
          <w:b/>
          <w:bCs/>
          <w:i/>
          <w:iCs/>
          <w:kern w:val="14"/>
          <w:highlight w:val="cyan"/>
        </w:rPr>
        <w:t>: This Key Milestones and Required Key Milestone Dates Exhibit</w:t>
      </w:r>
      <w:r w:rsidR="0013635D">
        <w:rPr>
          <w:rFonts w:cs="Arial" w:eastAsiaTheme="minorEastAsia"/>
          <w:b/>
          <w:bCs/>
          <w:i/>
          <w:iCs/>
          <w:kern w:val="14"/>
          <w:highlight w:val="cyan"/>
        </w:rPr>
        <w:t xml:space="preserve"> will be</w:t>
      </w:r>
      <w:r>
        <w:rPr>
          <w:rFonts w:cs="Arial" w:eastAsiaTheme="minorEastAsia"/>
          <w:b/>
          <w:bCs/>
          <w:i/>
          <w:iCs/>
          <w:kern w:val="14"/>
          <w:highlight w:val="cyan"/>
        </w:rPr>
        <w:t xml:space="preserve"> revised to reflect Key Milestones applicable to the Facility and project prior to PPA execution.</w:t>
      </w:r>
      <w:r>
        <w:rPr>
          <w:rFonts w:cs="Arial" w:eastAsiaTheme="minorEastAsia"/>
          <w:b/>
          <w:bCs/>
          <w:kern w:val="14"/>
          <w:highlight w:val="cyan"/>
        </w:rPr>
        <w:t>]</w:t>
      </w:r>
    </w:p>
    <w:p w:rsidR="003F0913" w:rsidP="00654FF2" w:rsidRDefault="003F0913" w14:paraId="12641CFC" w14:textId="77777777">
      <w:pPr>
        <w:pStyle w:val="zGNormal"/>
      </w:pPr>
    </w:p>
    <w:p w:rsidR="001F00B3" w:rsidP="00654FF2" w:rsidRDefault="001F00B3" w14:paraId="396F568A" w14:textId="77777777">
      <w:pPr>
        <w:pStyle w:val="zGNormal"/>
      </w:pPr>
    </w:p>
    <w:tbl>
      <w:tblPr>
        <w:tblStyle w:val="TableGrid"/>
        <w:tblW w:w="936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420"/>
        <w:gridCol w:w="2610"/>
        <w:gridCol w:w="3330"/>
      </w:tblGrid>
      <w:tr w:rsidRPr="00921E67" w:rsidR="001F00B3" w:rsidTr="003B6531" w14:paraId="60306BF8" w14:textId="77777777">
        <w:trPr>
          <w:tblHeader/>
        </w:trPr>
        <w:tc>
          <w:tcPr>
            <w:tcW w:w="3420" w:type="dxa"/>
          </w:tcPr>
          <w:p w:rsidRPr="001F71BF" w:rsidR="001F00B3" w:rsidRDefault="001F00B3" w14:paraId="7F57BE07" w14:textId="77777777">
            <w:pPr>
              <w:spacing w:after="120"/>
              <w:jc w:val="center"/>
              <w:rPr>
                <w:rFonts w:cs="Arial"/>
                <w:b/>
              </w:rPr>
            </w:pPr>
            <w:r>
              <w:rPr>
                <w:rFonts w:cs="Arial"/>
                <w:b/>
              </w:rPr>
              <w:t>Key Milestone</w:t>
            </w:r>
          </w:p>
        </w:tc>
        <w:tc>
          <w:tcPr>
            <w:tcW w:w="2610" w:type="dxa"/>
          </w:tcPr>
          <w:p w:rsidRPr="001F71BF" w:rsidR="001F00B3" w:rsidRDefault="001F00B3" w14:paraId="642200D6" w14:textId="77777777">
            <w:pPr>
              <w:spacing w:after="120"/>
              <w:jc w:val="center"/>
              <w:rPr>
                <w:rFonts w:cs="Arial"/>
                <w:b/>
              </w:rPr>
            </w:pPr>
            <w:r>
              <w:rPr>
                <w:rFonts w:cs="Arial"/>
                <w:b/>
              </w:rPr>
              <w:t>Key Milestone Date</w:t>
            </w:r>
          </w:p>
        </w:tc>
        <w:tc>
          <w:tcPr>
            <w:tcW w:w="3330" w:type="dxa"/>
          </w:tcPr>
          <w:p w:rsidRPr="001F71BF" w:rsidR="001F00B3" w:rsidRDefault="001F00B3" w14:paraId="0786F9F9" w14:textId="77777777">
            <w:pPr>
              <w:spacing w:after="120"/>
              <w:jc w:val="center"/>
              <w:rPr>
                <w:rFonts w:cs="Arial"/>
                <w:b/>
              </w:rPr>
            </w:pPr>
            <w:r>
              <w:rPr>
                <w:rFonts w:cs="Arial"/>
                <w:b/>
              </w:rPr>
              <w:t>Required Substantiation</w:t>
            </w:r>
            <w:r>
              <w:rPr>
                <w:rStyle w:val="FootnoteReference"/>
                <w:rFonts w:cs="Arial"/>
              </w:rPr>
              <w:footnoteReference w:id="2"/>
            </w:r>
          </w:p>
        </w:tc>
      </w:tr>
      <w:tr w:rsidRPr="00921E67" w:rsidR="001F00B3" w:rsidTr="003B6531" w14:paraId="0659E703" w14:textId="77777777">
        <w:tc>
          <w:tcPr>
            <w:tcW w:w="3420" w:type="dxa"/>
          </w:tcPr>
          <w:p w:rsidRPr="001F71BF" w:rsidR="001F00B3" w:rsidRDefault="001F00B3" w14:paraId="3CAAF0DF" w14:textId="77777777">
            <w:pPr>
              <w:spacing w:after="120"/>
              <w:jc w:val="left"/>
              <w:rPr>
                <w:rFonts w:cs="Arial"/>
                <w:b/>
                <w:bCs/>
              </w:rPr>
            </w:pPr>
            <w:r>
              <w:rPr>
                <w:rFonts w:cs="Arial"/>
                <w:b/>
                <w:bCs/>
              </w:rPr>
              <w:t>Interconnection</w:t>
            </w:r>
          </w:p>
          <w:p w:rsidRPr="001F71BF" w:rsidR="001F00B3" w:rsidRDefault="001F00B3" w14:paraId="2B3DA7FC" w14:textId="77777777">
            <w:pPr>
              <w:spacing w:after="120"/>
              <w:jc w:val="left"/>
              <w:rPr>
                <w:rFonts w:cs="Arial"/>
              </w:rPr>
            </w:pPr>
            <w:r>
              <w:rPr>
                <w:rFonts w:cs="Arial"/>
              </w:rPr>
              <w:t xml:space="preserve">IA execution </w:t>
            </w:r>
          </w:p>
        </w:tc>
        <w:tc>
          <w:tcPr>
            <w:tcW w:w="2610" w:type="dxa"/>
          </w:tcPr>
          <w:p w:rsidRPr="001F71BF" w:rsidR="001F00B3" w:rsidRDefault="001F00B3" w14:paraId="77623773" w14:textId="77777777">
            <w:pPr>
              <w:spacing w:after="120"/>
              <w:rPr>
                <w:rFonts w:cs="Arial"/>
              </w:rPr>
            </w:pPr>
          </w:p>
        </w:tc>
        <w:tc>
          <w:tcPr>
            <w:tcW w:w="3330" w:type="dxa"/>
          </w:tcPr>
          <w:p w:rsidRPr="001F71BF" w:rsidR="001F00B3" w:rsidRDefault="001F00B3" w14:paraId="0DF62CDE" w14:textId="77777777">
            <w:pPr>
              <w:spacing w:after="120"/>
              <w:rPr>
                <w:rFonts w:cs="Arial"/>
              </w:rPr>
            </w:pPr>
            <w:r>
              <w:rPr>
                <w:rFonts w:cs="Arial"/>
              </w:rPr>
              <w:t>Copies of:</w:t>
            </w:r>
          </w:p>
          <w:p w:rsidRPr="001F71BF" w:rsidR="001F00B3" w:rsidRDefault="001F00B3" w14:paraId="7C849BCC" w14:textId="68D1253F">
            <w:pPr>
              <w:spacing w:after="120"/>
              <w:rPr>
                <w:rFonts w:cs="Arial"/>
              </w:rPr>
            </w:pPr>
            <w:r>
              <w:rPr>
                <w:rFonts w:cs="Arial"/>
              </w:rPr>
              <w:t>Executed copy of IA reflecting a commercial operation date no later than the RCOD</w:t>
            </w:r>
          </w:p>
        </w:tc>
      </w:tr>
      <w:tr w:rsidRPr="00921E67" w:rsidR="001F00B3" w:rsidTr="003B6531" w14:paraId="4E20DD5F" w14:textId="77777777">
        <w:tc>
          <w:tcPr>
            <w:tcW w:w="3420" w:type="dxa"/>
          </w:tcPr>
          <w:p w:rsidRPr="001F71BF" w:rsidR="001F00B3" w:rsidRDefault="001F00B3" w14:paraId="39650054" w14:textId="77777777">
            <w:pPr>
              <w:spacing w:after="120"/>
              <w:jc w:val="left"/>
              <w:rPr>
                <w:rFonts w:cs="Arial"/>
              </w:rPr>
            </w:pPr>
            <w:r>
              <w:rPr>
                <w:rFonts w:cs="Arial"/>
              </w:rPr>
              <w:t>EPC Contract execution</w:t>
            </w:r>
          </w:p>
        </w:tc>
        <w:tc>
          <w:tcPr>
            <w:tcW w:w="2610" w:type="dxa"/>
          </w:tcPr>
          <w:p w:rsidRPr="001F71BF" w:rsidR="001F00B3" w:rsidRDefault="001F00B3" w14:paraId="72CA57B3" w14:textId="77777777">
            <w:pPr>
              <w:spacing w:after="120"/>
              <w:rPr>
                <w:rFonts w:cs="Arial"/>
              </w:rPr>
            </w:pPr>
          </w:p>
        </w:tc>
        <w:tc>
          <w:tcPr>
            <w:tcW w:w="3330" w:type="dxa"/>
          </w:tcPr>
          <w:p w:rsidRPr="001F71BF" w:rsidR="001F00B3" w:rsidRDefault="001F00B3" w14:paraId="57936F47" w14:textId="62F3B884">
            <w:pPr>
              <w:spacing w:after="120"/>
              <w:rPr>
                <w:rFonts w:cs="Arial"/>
              </w:rPr>
            </w:pPr>
            <w:r>
              <w:rPr>
                <w:rFonts w:cs="Arial"/>
              </w:rPr>
              <w:t>A copy of the executed EPC Contract reflecting a substantial completion date that supports the RCOD, with pricing and</w:t>
            </w:r>
            <w:r w:rsidR="00414780">
              <w:rPr>
                <w:rFonts w:cs="Arial"/>
              </w:rPr>
              <w:t xml:space="preserve"> other</w:t>
            </w:r>
            <w:r>
              <w:rPr>
                <w:rFonts w:cs="Arial"/>
              </w:rPr>
              <w:t xml:space="preserve"> commercially sensitive information redacted.</w:t>
            </w:r>
          </w:p>
        </w:tc>
      </w:tr>
      <w:tr w:rsidRPr="00921E67" w:rsidR="001F00B3" w:rsidTr="003B6531" w14:paraId="333CB269" w14:textId="77777777">
        <w:tc>
          <w:tcPr>
            <w:tcW w:w="3420" w:type="dxa"/>
          </w:tcPr>
          <w:p w:rsidRPr="001F71BF" w:rsidR="001F00B3" w:rsidRDefault="001F00B3" w14:paraId="5DD95289" w14:textId="77777777">
            <w:pPr>
              <w:spacing w:after="120"/>
              <w:jc w:val="left"/>
              <w:rPr>
                <w:rFonts w:cs="Arial"/>
              </w:rPr>
            </w:pPr>
            <w:r>
              <w:rPr>
                <w:rFonts w:cs="Arial"/>
              </w:rPr>
              <w:t>Full execution of all major equipment procurement agreements, including those between Seller and applicable suppliers and vendors for:</w:t>
            </w:r>
          </w:p>
          <w:p w:rsidRPr="001F71BF" w:rsidR="001F00B3" w:rsidRDefault="001F00B3" w14:paraId="7540477B" w14:textId="77777777">
            <w:pPr>
              <w:spacing w:after="120"/>
              <w:jc w:val="left"/>
              <w:rPr>
                <w:rFonts w:cs="Arial"/>
              </w:rPr>
            </w:pPr>
            <w:r>
              <w:rPr>
                <w:rFonts w:cs="Arial"/>
              </w:rPr>
              <w:t xml:space="preserve">•     </w:t>
            </w:r>
            <w:r>
              <w:rPr>
                <w:rFonts w:cs="Arial"/>
                <w:highlight w:val="yellow"/>
              </w:rPr>
              <w:t>#AddEquipment</w:t>
            </w:r>
          </w:p>
          <w:p w:rsidRPr="001F71BF" w:rsidR="001F00B3" w:rsidRDefault="001F00B3" w14:paraId="3E03213C" w14:textId="77777777">
            <w:pPr>
              <w:spacing w:after="120"/>
              <w:jc w:val="left"/>
              <w:rPr>
                <w:rFonts w:cs="Arial"/>
              </w:rPr>
            </w:pPr>
            <w:r>
              <w:rPr>
                <w:rFonts w:cs="Arial"/>
              </w:rPr>
              <w:t xml:space="preserve">•     </w:t>
            </w:r>
            <w:r>
              <w:rPr>
                <w:rFonts w:cs="Arial"/>
                <w:highlight w:val="yellow"/>
              </w:rPr>
              <w:t>#AddEquipment</w:t>
            </w:r>
          </w:p>
          <w:p w:rsidRPr="001F71BF" w:rsidR="001F00B3" w:rsidRDefault="001F00B3" w14:paraId="191ED5D6" w14:textId="77777777">
            <w:pPr>
              <w:spacing w:after="120"/>
              <w:jc w:val="left"/>
              <w:rPr>
                <w:rFonts w:cs="Arial"/>
              </w:rPr>
            </w:pPr>
            <w:r>
              <w:rPr>
                <w:rFonts w:cs="Arial"/>
              </w:rPr>
              <w:t xml:space="preserve">•     </w:t>
            </w:r>
            <w:r>
              <w:rPr>
                <w:rFonts w:cs="Arial"/>
                <w:highlight w:val="yellow"/>
              </w:rPr>
              <w:t>#AddEquipment</w:t>
            </w:r>
          </w:p>
          <w:p w:rsidRPr="001F71BF" w:rsidR="001F00B3" w:rsidRDefault="001F00B3" w14:paraId="4EFE40D1" w14:textId="77777777">
            <w:pPr>
              <w:spacing w:after="120"/>
              <w:jc w:val="left"/>
              <w:rPr>
                <w:rFonts w:cs="Arial"/>
              </w:rPr>
            </w:pPr>
            <w:r>
              <w:rPr>
                <w:rFonts w:cs="Arial"/>
              </w:rPr>
              <w:t xml:space="preserve">•     </w:t>
            </w:r>
            <w:r>
              <w:rPr>
                <w:rFonts w:cs="Arial"/>
                <w:highlight w:val="yellow"/>
              </w:rPr>
              <w:t>#AddEquipment</w:t>
            </w:r>
          </w:p>
          <w:p w:rsidRPr="001F71BF" w:rsidR="001F00B3" w:rsidRDefault="001F00B3" w14:paraId="0B09761C" w14:textId="77777777">
            <w:pPr>
              <w:spacing w:after="120"/>
              <w:jc w:val="left"/>
              <w:rPr>
                <w:rFonts w:cs="Arial"/>
              </w:rPr>
            </w:pPr>
            <w:r>
              <w:rPr>
                <w:rFonts w:cs="Arial"/>
              </w:rPr>
              <w:t>and issuance of any applicable full notice to proceed.</w:t>
            </w:r>
          </w:p>
        </w:tc>
        <w:tc>
          <w:tcPr>
            <w:tcW w:w="2610" w:type="dxa"/>
          </w:tcPr>
          <w:p w:rsidRPr="001F71BF" w:rsidR="001F00B3" w:rsidRDefault="001F00B3" w14:paraId="0504BE08" w14:textId="77777777">
            <w:pPr>
              <w:spacing w:after="120"/>
              <w:rPr>
                <w:rFonts w:cs="Arial"/>
              </w:rPr>
            </w:pPr>
          </w:p>
        </w:tc>
        <w:tc>
          <w:tcPr>
            <w:tcW w:w="3330" w:type="dxa"/>
          </w:tcPr>
          <w:p w:rsidRPr="001F71BF" w:rsidR="001F00B3" w:rsidRDefault="001F00B3" w14:paraId="21FAF2AE" w14:textId="5E8EA782">
            <w:pPr>
              <w:spacing w:after="120"/>
              <w:jc w:val="left"/>
              <w:rPr>
                <w:rFonts w:cs="Arial"/>
              </w:rPr>
            </w:pPr>
            <w:r>
              <w:rPr>
                <w:rFonts w:cs="Arial"/>
              </w:rPr>
              <w:t xml:space="preserve">A copy of each executed major equipment procurement agreement, with pricing and </w:t>
            </w:r>
            <w:r w:rsidR="00FD2744">
              <w:rPr>
                <w:rFonts w:cs="Arial"/>
              </w:rPr>
              <w:t xml:space="preserve">other </w:t>
            </w:r>
            <w:r>
              <w:rPr>
                <w:rFonts w:cs="Arial"/>
              </w:rPr>
              <w:t xml:space="preserve">commercially sensitive information redacted, </w:t>
            </w:r>
            <w:r w:rsidR="00AE6622">
              <w:rPr>
                <w:rFonts w:cs="Arial"/>
              </w:rPr>
              <w:t xml:space="preserve">but </w:t>
            </w:r>
            <w:r>
              <w:rPr>
                <w:rFonts w:cs="Arial"/>
              </w:rPr>
              <w:t>including: (</w:t>
            </w:r>
            <w:proofErr w:type="spellStart"/>
            <w:r>
              <w:rPr>
                <w:rFonts w:cs="Arial"/>
              </w:rPr>
              <w:t>i</w:t>
            </w:r>
            <w:proofErr w:type="spellEnd"/>
            <w:r>
              <w:rPr>
                <w:rFonts w:cs="Arial"/>
              </w:rPr>
              <w:t xml:space="preserve">) a description of the country of origin for all equipment and components to be supplied under the agreement; (ii) any applicable full notice to proceed; and (iii) schedules with required delivery dates consistent with the RCOD. </w:t>
            </w:r>
          </w:p>
        </w:tc>
      </w:tr>
      <w:tr w:rsidRPr="00921E67" w:rsidR="001F00B3" w:rsidTr="003B6531" w14:paraId="666AB7DF" w14:textId="77777777">
        <w:tc>
          <w:tcPr>
            <w:tcW w:w="3420" w:type="dxa"/>
          </w:tcPr>
          <w:p w:rsidRPr="001F71BF" w:rsidR="001F00B3" w:rsidRDefault="001F00B3" w14:paraId="3A953EA3" w14:textId="77777777">
            <w:pPr>
              <w:spacing w:after="120"/>
              <w:rPr>
                <w:rFonts w:cs="Arial"/>
              </w:rPr>
            </w:pPr>
            <w:r>
              <w:rPr>
                <w:rFonts w:cs="Arial"/>
              </w:rPr>
              <w:t>EPC Contract Schedule Complete</w:t>
            </w:r>
          </w:p>
        </w:tc>
        <w:tc>
          <w:tcPr>
            <w:tcW w:w="2610" w:type="dxa"/>
          </w:tcPr>
          <w:p w:rsidRPr="001F71BF" w:rsidR="001F00B3" w:rsidRDefault="001F00B3" w14:paraId="0A90BA8D" w14:textId="77777777">
            <w:pPr>
              <w:spacing w:after="120"/>
              <w:rPr>
                <w:rFonts w:cs="Arial"/>
              </w:rPr>
            </w:pPr>
          </w:p>
        </w:tc>
        <w:tc>
          <w:tcPr>
            <w:tcW w:w="3330" w:type="dxa"/>
          </w:tcPr>
          <w:p w:rsidRPr="001F71BF" w:rsidR="001F00B3" w:rsidP="00581FF4" w:rsidRDefault="001F00B3" w14:paraId="6D5163B3" w14:textId="77777777">
            <w:pPr>
              <w:spacing w:after="120"/>
              <w:jc w:val="left"/>
              <w:rPr>
                <w:rFonts w:cs="Arial"/>
              </w:rPr>
            </w:pPr>
            <w:r>
              <w:rPr>
                <w:rFonts w:cs="Arial"/>
              </w:rPr>
              <w:t xml:space="preserve">A copy of the EPC Contract schedule, which must be at least a level 3 critical path method schedule that supports the RCOD. </w:t>
            </w:r>
          </w:p>
        </w:tc>
      </w:tr>
      <w:tr w:rsidRPr="00921E67" w:rsidR="001F00B3" w:rsidTr="003B6531" w14:paraId="506BA8DE" w14:textId="77777777">
        <w:tc>
          <w:tcPr>
            <w:tcW w:w="3420" w:type="dxa"/>
          </w:tcPr>
          <w:p w:rsidRPr="001F71BF" w:rsidR="001F00B3" w:rsidRDefault="001F00B3" w14:paraId="271CCAF1" w14:textId="3A8ED2CE">
            <w:pPr>
              <w:spacing w:after="120"/>
              <w:jc w:val="left"/>
              <w:rPr>
                <w:rFonts w:cs="Arial"/>
              </w:rPr>
            </w:pPr>
            <w:r>
              <w:rPr>
                <w:rFonts w:cs="Arial"/>
              </w:rPr>
              <w:t xml:space="preserve">Air Permit </w:t>
            </w:r>
            <w:r w:rsidR="00945DD1">
              <w:rPr>
                <w:rFonts w:cs="Arial"/>
              </w:rPr>
              <w:t xml:space="preserve">Milestone </w:t>
            </w:r>
          </w:p>
        </w:tc>
        <w:tc>
          <w:tcPr>
            <w:tcW w:w="2610" w:type="dxa"/>
          </w:tcPr>
          <w:p w:rsidRPr="001F71BF" w:rsidR="001F00B3" w:rsidRDefault="001F00B3" w14:paraId="16A24CBB" w14:textId="77777777">
            <w:pPr>
              <w:spacing w:after="120"/>
              <w:rPr>
                <w:rFonts w:cs="Arial"/>
              </w:rPr>
            </w:pPr>
          </w:p>
        </w:tc>
        <w:tc>
          <w:tcPr>
            <w:tcW w:w="3330" w:type="dxa"/>
          </w:tcPr>
          <w:p w:rsidRPr="001F71BF" w:rsidR="001F00B3" w:rsidRDefault="001F00B3" w14:paraId="6B6658DB" w14:textId="0EFBAA3E">
            <w:pPr>
              <w:spacing w:after="120"/>
              <w:rPr>
                <w:rFonts w:cs="Arial"/>
              </w:rPr>
            </w:pPr>
            <w:r>
              <w:rPr>
                <w:rFonts w:cs="Arial"/>
              </w:rPr>
              <w:t xml:space="preserve">A matrix of required </w:t>
            </w:r>
            <w:r w:rsidR="002C33CE">
              <w:rPr>
                <w:rFonts w:cs="Arial"/>
              </w:rPr>
              <w:t>p</w:t>
            </w:r>
            <w:r w:rsidR="00747A99">
              <w:rPr>
                <w:rFonts w:cs="Arial"/>
              </w:rPr>
              <w:t>ermits</w:t>
            </w:r>
            <w:r>
              <w:rPr>
                <w:rFonts w:cs="Arial"/>
              </w:rPr>
              <w:t xml:space="preserve">, copies of applications submitted, and a copy of </w:t>
            </w:r>
            <w:r w:rsidR="002C33CE">
              <w:rPr>
                <w:rFonts w:cs="Arial"/>
              </w:rPr>
              <w:t xml:space="preserve">permits </w:t>
            </w:r>
            <w:r>
              <w:rPr>
                <w:rFonts w:cs="Arial"/>
              </w:rPr>
              <w:t>obtained.</w:t>
            </w:r>
          </w:p>
        </w:tc>
      </w:tr>
      <w:tr w:rsidRPr="00921E67" w:rsidR="001F00B3" w:rsidTr="003B6531" w14:paraId="4001A87B" w14:textId="77777777">
        <w:tc>
          <w:tcPr>
            <w:tcW w:w="3420" w:type="dxa"/>
          </w:tcPr>
          <w:p w:rsidRPr="001F71BF" w:rsidR="001F00B3" w:rsidRDefault="001F00B3" w14:paraId="4D3A2849" w14:textId="67BEB4AF">
            <w:pPr>
              <w:spacing w:after="120"/>
              <w:jc w:val="left"/>
              <w:rPr>
                <w:rFonts w:cs="Arial"/>
              </w:rPr>
            </w:pPr>
            <w:r>
              <w:rPr>
                <w:rFonts w:cs="Arial"/>
              </w:rPr>
              <w:lastRenderedPageBreak/>
              <w:t xml:space="preserve">All other </w:t>
            </w:r>
            <w:r w:rsidR="006F67C5">
              <w:rPr>
                <w:rFonts w:cs="Arial"/>
              </w:rPr>
              <w:t xml:space="preserve">permits </w:t>
            </w:r>
            <w:proofErr w:type="gramStart"/>
            <w:r>
              <w:rPr>
                <w:rFonts w:cs="Arial"/>
              </w:rPr>
              <w:t>required</w:t>
            </w:r>
            <w:proofErr w:type="gramEnd"/>
            <w:r>
              <w:rPr>
                <w:rFonts w:cs="Arial"/>
              </w:rPr>
              <w:t xml:space="preserve"> for Facility construction and Commercial Operation.</w:t>
            </w:r>
          </w:p>
          <w:p w:rsidRPr="001F71BF" w:rsidR="001F00B3" w:rsidRDefault="001F00B3" w14:paraId="4B2857FA" w14:textId="77777777">
            <w:pPr>
              <w:spacing w:after="120"/>
              <w:jc w:val="left"/>
              <w:rPr>
                <w:rFonts w:cs="Arial"/>
              </w:rPr>
            </w:pPr>
            <w:r>
              <w:rPr>
                <w:rFonts w:cs="Arial"/>
              </w:rPr>
              <w:t>•    Applications submitted</w:t>
            </w:r>
          </w:p>
          <w:p w:rsidRPr="001F71BF" w:rsidR="001F00B3" w:rsidRDefault="001F00B3" w14:paraId="65C3FB64" w14:textId="1A268534">
            <w:pPr>
              <w:spacing w:after="120"/>
              <w:jc w:val="left"/>
              <w:rPr>
                <w:rFonts w:cs="Arial"/>
              </w:rPr>
            </w:pPr>
            <w:r>
              <w:rPr>
                <w:rFonts w:cs="Arial"/>
              </w:rPr>
              <w:t xml:space="preserve">•    All </w:t>
            </w:r>
            <w:r w:rsidR="006F67C5">
              <w:rPr>
                <w:rFonts w:cs="Arial"/>
              </w:rPr>
              <w:t xml:space="preserve">permits </w:t>
            </w:r>
            <w:r>
              <w:rPr>
                <w:rFonts w:cs="Arial"/>
              </w:rPr>
              <w:t>obtained</w:t>
            </w:r>
          </w:p>
        </w:tc>
        <w:tc>
          <w:tcPr>
            <w:tcW w:w="2610" w:type="dxa"/>
          </w:tcPr>
          <w:p w:rsidRPr="001F71BF" w:rsidR="001F00B3" w:rsidRDefault="001F00B3" w14:paraId="2A9028E9" w14:textId="77777777">
            <w:pPr>
              <w:spacing w:after="120"/>
              <w:rPr>
                <w:rFonts w:cs="Arial"/>
              </w:rPr>
            </w:pPr>
          </w:p>
        </w:tc>
        <w:tc>
          <w:tcPr>
            <w:tcW w:w="3330" w:type="dxa"/>
          </w:tcPr>
          <w:p w:rsidRPr="001F71BF" w:rsidR="001F00B3" w:rsidRDefault="001F00B3" w14:paraId="777E369A" w14:textId="30E3ACFC">
            <w:pPr>
              <w:spacing w:after="120"/>
              <w:rPr>
                <w:rFonts w:cs="Arial"/>
              </w:rPr>
            </w:pPr>
            <w:r>
              <w:rPr>
                <w:rFonts w:cs="Arial"/>
              </w:rPr>
              <w:t xml:space="preserve">A matrix of required </w:t>
            </w:r>
            <w:r w:rsidR="006F67C5">
              <w:rPr>
                <w:rFonts w:cs="Arial"/>
              </w:rPr>
              <w:t>permits</w:t>
            </w:r>
            <w:r>
              <w:rPr>
                <w:rFonts w:cs="Arial"/>
              </w:rPr>
              <w:t xml:space="preserve">, copies of applications submitted, and a copy of </w:t>
            </w:r>
            <w:r w:rsidR="006F67C5">
              <w:rPr>
                <w:rFonts w:cs="Arial"/>
              </w:rPr>
              <w:t xml:space="preserve">permits </w:t>
            </w:r>
            <w:r>
              <w:rPr>
                <w:rFonts w:cs="Arial"/>
              </w:rPr>
              <w:t>obtained.</w:t>
            </w:r>
          </w:p>
        </w:tc>
      </w:tr>
      <w:tr w:rsidRPr="00921E67" w:rsidR="001F00B3" w:rsidTr="003B6531" w14:paraId="27B0239A" w14:textId="77777777">
        <w:tc>
          <w:tcPr>
            <w:tcW w:w="3420" w:type="dxa"/>
          </w:tcPr>
          <w:p w:rsidRPr="001F71BF" w:rsidR="001F00B3" w:rsidRDefault="001F00B3" w14:paraId="1AA95E50" w14:textId="77777777">
            <w:pPr>
              <w:spacing w:after="120"/>
              <w:jc w:val="left"/>
              <w:rPr>
                <w:rFonts w:cs="Arial"/>
              </w:rPr>
            </w:pPr>
            <w:r>
              <w:rPr>
                <w:rFonts w:cs="Arial"/>
              </w:rPr>
              <w:t>Financial Closing</w:t>
            </w:r>
          </w:p>
        </w:tc>
        <w:tc>
          <w:tcPr>
            <w:tcW w:w="2610" w:type="dxa"/>
          </w:tcPr>
          <w:p w:rsidRPr="001F71BF" w:rsidR="001F00B3" w:rsidRDefault="001F00B3" w14:paraId="6E93DE8E" w14:textId="77777777">
            <w:pPr>
              <w:spacing w:after="120"/>
              <w:rPr>
                <w:rFonts w:cs="Arial"/>
              </w:rPr>
            </w:pPr>
          </w:p>
        </w:tc>
        <w:tc>
          <w:tcPr>
            <w:tcW w:w="3330" w:type="dxa"/>
          </w:tcPr>
          <w:p w:rsidRPr="001F71BF" w:rsidR="00743E69" w:rsidP="00743E69" w:rsidRDefault="00743E69" w14:paraId="37EF4F3F" w14:textId="5B0C40AD">
            <w:pPr>
              <w:rPr>
                <w:rFonts w:cs="Arial"/>
              </w:rPr>
            </w:pPr>
            <w:r>
              <w:rPr>
                <w:rFonts w:cs="Arial"/>
              </w:rPr>
              <w:t xml:space="preserve">A letter from an officer of Seller certifying that </w:t>
            </w:r>
            <w:r w:rsidR="00910B41">
              <w:rPr>
                <w:rFonts w:cs="Arial"/>
              </w:rPr>
              <w:t>the following</w:t>
            </w:r>
            <w:r>
              <w:rPr>
                <w:rFonts w:cs="Arial"/>
              </w:rPr>
              <w:t xml:space="preserve"> has occurred:</w:t>
            </w:r>
          </w:p>
          <w:p w:rsidRPr="001F71BF" w:rsidR="00743E69" w:rsidP="00E62CF6" w:rsidRDefault="00743E69" w14:paraId="72BFE8E5" w14:textId="49A23E22">
            <w:pPr>
              <w:pStyle w:val="ListParagraph"/>
              <w:numPr>
                <w:ilvl w:val="0"/>
                <w:numId w:val="38"/>
              </w:numPr>
              <w:ind w:left="616"/>
              <w:rPr>
                <w:rFonts w:ascii="Arial" w:hAnsi="Arial" w:cs="Arial"/>
                <w:sz w:val="20"/>
                <w:szCs w:val="20"/>
              </w:rPr>
            </w:pPr>
            <w:r>
              <w:rPr>
                <w:rFonts w:ascii="Arial" w:hAnsi="Arial" w:cs="Arial"/>
                <w:sz w:val="20"/>
                <w:szCs w:val="20"/>
              </w:rPr>
              <w:t xml:space="preserve">Seller obtained and </w:t>
            </w:r>
            <w:r w:rsidR="00F27EDF">
              <w:rPr>
                <w:rFonts w:ascii="Arial" w:hAnsi="Arial" w:cs="Arial"/>
                <w:sz w:val="20"/>
                <w:szCs w:val="20"/>
              </w:rPr>
              <w:t xml:space="preserve">has </w:t>
            </w:r>
            <w:r>
              <w:rPr>
                <w:rFonts w:ascii="Arial" w:hAnsi="Arial" w:cs="Arial"/>
                <w:sz w:val="20"/>
                <w:szCs w:val="20"/>
              </w:rPr>
              <w:t xml:space="preserve">closed on all financing arrangements necessary to obtain funds for the anticipated cost of </w:t>
            </w:r>
            <w:r w:rsidR="00886C1C">
              <w:rPr>
                <w:rFonts w:ascii="Arial" w:hAnsi="Arial" w:cs="Arial"/>
                <w:sz w:val="20"/>
                <w:szCs w:val="20"/>
              </w:rPr>
              <w:t xml:space="preserve">completing construction of the </w:t>
            </w:r>
            <w:proofErr w:type="gramStart"/>
            <w:r>
              <w:rPr>
                <w:rFonts w:ascii="Arial" w:hAnsi="Arial" w:cs="Arial"/>
                <w:sz w:val="20"/>
                <w:szCs w:val="20"/>
              </w:rPr>
              <w:t>Facility;</w:t>
            </w:r>
            <w:proofErr w:type="gramEnd"/>
          </w:p>
          <w:p w:rsidRPr="001F71BF" w:rsidR="001F71BF" w:rsidP="00E62CF6" w:rsidRDefault="00743E69" w14:paraId="0281B1E4" w14:textId="0035F908">
            <w:pPr>
              <w:pStyle w:val="ListParagraph"/>
              <w:numPr>
                <w:ilvl w:val="0"/>
                <w:numId w:val="38"/>
              </w:numPr>
              <w:ind w:left="616"/>
              <w:rPr>
                <w:rFonts w:ascii="Arial" w:hAnsi="Arial" w:cs="Arial"/>
                <w:sz w:val="20"/>
                <w:szCs w:val="20"/>
              </w:rPr>
            </w:pPr>
            <w:r>
              <w:rPr>
                <w:rFonts w:ascii="Arial" w:hAnsi="Arial" w:cs="Arial"/>
                <w:sz w:val="20"/>
                <w:szCs w:val="20"/>
              </w:rPr>
              <w:t>all conditions precedent to the availability of funds</w:t>
            </w:r>
            <w:r w:rsidR="00166290">
              <w:rPr>
                <w:rFonts w:ascii="Arial" w:hAnsi="Arial" w:cs="Arial"/>
                <w:sz w:val="20"/>
                <w:szCs w:val="20"/>
              </w:rPr>
              <w:t xml:space="preserve"> pursuant to </w:t>
            </w:r>
            <w:r w:rsidR="005535BA">
              <w:rPr>
                <w:rFonts w:ascii="Arial" w:hAnsi="Arial" w:cs="Arial"/>
                <w:sz w:val="20"/>
                <w:szCs w:val="20"/>
              </w:rPr>
              <w:t>such</w:t>
            </w:r>
            <w:r>
              <w:rPr>
                <w:rFonts w:ascii="Arial" w:hAnsi="Arial" w:cs="Arial"/>
                <w:sz w:val="20"/>
                <w:szCs w:val="20"/>
              </w:rPr>
              <w:t xml:space="preserve"> financing arrangements have been satisfied or waived by the applicable </w:t>
            </w:r>
            <w:r w:rsidR="005535BA">
              <w:rPr>
                <w:rFonts w:ascii="Arial" w:hAnsi="Arial" w:cs="Arial"/>
                <w:sz w:val="20"/>
                <w:szCs w:val="20"/>
              </w:rPr>
              <w:t xml:space="preserve">parties </w:t>
            </w:r>
            <w:r>
              <w:rPr>
                <w:rFonts w:ascii="Arial" w:hAnsi="Arial" w:cs="Arial"/>
                <w:sz w:val="20"/>
                <w:szCs w:val="20"/>
              </w:rPr>
              <w:t xml:space="preserve">(other than customary conditions to each drawdown of a construction loan) and </w:t>
            </w:r>
            <w:r w:rsidR="005535BA">
              <w:rPr>
                <w:rFonts w:ascii="Arial" w:hAnsi="Arial" w:cs="Arial"/>
                <w:sz w:val="20"/>
                <w:szCs w:val="20"/>
              </w:rPr>
              <w:t>such</w:t>
            </w:r>
            <w:r>
              <w:rPr>
                <w:rFonts w:ascii="Arial" w:hAnsi="Arial" w:cs="Arial"/>
                <w:sz w:val="20"/>
                <w:szCs w:val="20"/>
              </w:rPr>
              <w:t xml:space="preserve"> funds will be made available for disbursement to Seller; and</w:t>
            </w:r>
          </w:p>
          <w:p w:rsidRPr="001F71BF" w:rsidR="001F00B3" w:rsidP="00E62CF6" w:rsidRDefault="00FF5BD6" w14:paraId="39CDCFF8" w14:textId="319F58D6">
            <w:pPr>
              <w:pStyle w:val="ListParagraph"/>
              <w:numPr>
                <w:ilvl w:val="0"/>
                <w:numId w:val="38"/>
              </w:numPr>
              <w:ind w:left="616"/>
              <w:rPr>
                <w:rFonts w:ascii="Arial" w:hAnsi="Arial" w:cs="Arial"/>
                <w:sz w:val="20"/>
                <w:szCs w:val="20"/>
              </w:rPr>
            </w:pPr>
            <w:r>
              <w:rPr>
                <w:rFonts w:ascii="Arial" w:hAnsi="Arial" w:cs="Arial"/>
                <w:sz w:val="20"/>
                <w:szCs w:val="20"/>
              </w:rPr>
              <w:t xml:space="preserve">an </w:t>
            </w:r>
            <w:r w:rsidR="00A7309C">
              <w:rPr>
                <w:rFonts w:ascii="Arial" w:hAnsi="Arial" w:cs="Arial"/>
                <w:sz w:val="20"/>
                <w:szCs w:val="20"/>
              </w:rPr>
              <w:t>officer</w:t>
            </w:r>
            <w:r>
              <w:rPr>
                <w:rFonts w:ascii="Arial" w:hAnsi="Arial" w:cs="Arial"/>
                <w:sz w:val="20"/>
                <w:szCs w:val="20"/>
              </w:rPr>
              <w:t xml:space="preserve"> of Seller</w:t>
            </w:r>
            <w:r w:rsidR="00743E69">
              <w:rPr>
                <w:rFonts w:ascii="Arial" w:hAnsi="Arial" w:cs="Arial"/>
                <w:sz w:val="20"/>
                <w:szCs w:val="20"/>
              </w:rPr>
              <w:t xml:space="preserve"> has provided GPC with an executed certification that the foregoing (</w:t>
            </w:r>
            <w:proofErr w:type="spellStart"/>
            <w:r w:rsidR="00743E69">
              <w:rPr>
                <w:rFonts w:ascii="Arial" w:hAnsi="Arial" w:cs="Arial"/>
                <w:sz w:val="20"/>
                <w:szCs w:val="20"/>
              </w:rPr>
              <w:t>i</w:t>
            </w:r>
            <w:proofErr w:type="spellEnd"/>
            <w:r w:rsidR="00743E69">
              <w:rPr>
                <w:rFonts w:ascii="Arial" w:hAnsi="Arial" w:cs="Arial"/>
                <w:sz w:val="20"/>
                <w:szCs w:val="20"/>
              </w:rPr>
              <w:t xml:space="preserve">) and (ii) have occurred. </w:t>
            </w:r>
          </w:p>
        </w:tc>
      </w:tr>
      <w:tr w:rsidRPr="00921E67" w:rsidR="001F00B3" w:rsidTr="003B6531" w14:paraId="7C92439D" w14:textId="77777777">
        <w:tc>
          <w:tcPr>
            <w:tcW w:w="3420" w:type="dxa"/>
          </w:tcPr>
          <w:p w:rsidRPr="001F71BF" w:rsidR="001F00B3" w:rsidRDefault="001F00B3" w14:paraId="2B52A1DD" w14:textId="77777777">
            <w:pPr>
              <w:spacing w:after="120"/>
              <w:jc w:val="left"/>
              <w:rPr>
                <w:rFonts w:cs="Arial"/>
              </w:rPr>
            </w:pPr>
            <w:r>
              <w:rPr>
                <w:rFonts w:cs="Arial"/>
              </w:rPr>
              <w:t>Interconnection Notice to Proceed</w:t>
            </w:r>
          </w:p>
        </w:tc>
        <w:tc>
          <w:tcPr>
            <w:tcW w:w="2610" w:type="dxa"/>
          </w:tcPr>
          <w:p w:rsidRPr="001F71BF" w:rsidR="001F00B3" w:rsidRDefault="001F00B3" w14:paraId="1C1869BD" w14:textId="77777777">
            <w:pPr>
              <w:spacing w:after="120"/>
              <w:rPr>
                <w:rFonts w:cs="Arial"/>
              </w:rPr>
            </w:pPr>
            <w:r>
              <w:rPr>
                <w:rFonts w:cs="Arial"/>
              </w:rPr>
              <w:t xml:space="preserve">The date by which the IA </w:t>
            </w:r>
            <w:proofErr w:type="gramStart"/>
            <w:r>
              <w:rPr>
                <w:rFonts w:cs="Arial"/>
              </w:rPr>
              <w:t>notice to</w:t>
            </w:r>
            <w:proofErr w:type="gramEnd"/>
            <w:r>
              <w:rPr>
                <w:rFonts w:cs="Arial"/>
              </w:rPr>
              <w:t xml:space="preserve"> proceed must be issued for commercial operation (as defined in the IA) to be achieved in time to support RCOD.</w:t>
            </w:r>
          </w:p>
        </w:tc>
        <w:tc>
          <w:tcPr>
            <w:tcW w:w="3330" w:type="dxa"/>
          </w:tcPr>
          <w:p w:rsidRPr="001F71BF" w:rsidR="001F00B3" w:rsidRDefault="001F00B3" w14:paraId="6F9D31F4" w14:textId="77777777">
            <w:pPr>
              <w:spacing w:after="120"/>
              <w:rPr>
                <w:rFonts w:cs="Arial"/>
              </w:rPr>
            </w:pPr>
            <w:r>
              <w:rPr>
                <w:rFonts w:cs="Arial"/>
              </w:rPr>
              <w:t xml:space="preserve">An executed copy of the Interconnection Notice to Proceed </w:t>
            </w:r>
          </w:p>
        </w:tc>
      </w:tr>
      <w:tr w:rsidRPr="00921E67" w:rsidR="001F00B3" w:rsidTr="003B6531" w14:paraId="00411AFE" w14:textId="77777777">
        <w:tc>
          <w:tcPr>
            <w:tcW w:w="3420" w:type="dxa"/>
          </w:tcPr>
          <w:p w:rsidRPr="001F71BF" w:rsidR="001F00B3" w:rsidRDefault="001F00B3" w14:paraId="1238E67C" w14:textId="77777777">
            <w:pPr>
              <w:spacing w:after="120"/>
              <w:jc w:val="left"/>
              <w:rPr>
                <w:rFonts w:cs="Arial"/>
              </w:rPr>
            </w:pPr>
            <w:r>
              <w:rPr>
                <w:rFonts w:cs="Arial"/>
              </w:rPr>
              <w:t xml:space="preserve">EPC Notice to Proceed </w:t>
            </w:r>
          </w:p>
        </w:tc>
        <w:tc>
          <w:tcPr>
            <w:tcW w:w="2610" w:type="dxa"/>
          </w:tcPr>
          <w:p w:rsidRPr="001F71BF" w:rsidR="001F00B3" w:rsidRDefault="001F00B3" w14:paraId="2BEECDAF" w14:textId="77777777">
            <w:pPr>
              <w:spacing w:after="120"/>
              <w:rPr>
                <w:rFonts w:cs="Arial"/>
              </w:rPr>
            </w:pPr>
          </w:p>
        </w:tc>
        <w:tc>
          <w:tcPr>
            <w:tcW w:w="3330" w:type="dxa"/>
          </w:tcPr>
          <w:p w:rsidRPr="001F71BF" w:rsidR="001F00B3" w:rsidRDefault="001F00B3" w14:paraId="0355739E" w14:textId="77777777">
            <w:pPr>
              <w:spacing w:after="120"/>
              <w:rPr>
                <w:rFonts w:cs="Arial"/>
              </w:rPr>
            </w:pPr>
            <w:r>
              <w:rPr>
                <w:rFonts w:cs="Arial"/>
              </w:rPr>
              <w:t>A copy of the EPC Notice to Proceed.</w:t>
            </w:r>
          </w:p>
        </w:tc>
      </w:tr>
      <w:tr w:rsidRPr="00921E67" w:rsidR="001F00B3" w:rsidTr="003B6531" w14:paraId="06A83047" w14:textId="77777777">
        <w:tc>
          <w:tcPr>
            <w:tcW w:w="3420" w:type="dxa"/>
          </w:tcPr>
          <w:p w:rsidRPr="001F71BF" w:rsidR="001F00B3" w:rsidRDefault="001F00B3" w14:paraId="5CB5244A" w14:textId="491FD4AC">
            <w:pPr>
              <w:spacing w:after="120"/>
              <w:jc w:val="left"/>
              <w:rPr>
                <w:rFonts w:cs="Arial"/>
              </w:rPr>
            </w:pPr>
            <w:r>
              <w:rPr>
                <w:rFonts w:cs="Arial"/>
              </w:rPr>
              <w:t>Delivery of</w:t>
            </w:r>
            <w:r w:rsidR="005E7D23">
              <w:rPr>
                <w:rFonts w:cs="Arial"/>
              </w:rPr>
              <w:t xml:space="preserve"> all</w:t>
            </w:r>
            <w:r>
              <w:rPr>
                <w:rFonts w:cs="Arial"/>
              </w:rPr>
              <w:t xml:space="preserve"> Major Equipment to the Facility site by dates required to support </w:t>
            </w:r>
            <w:r w:rsidR="00E32FF2">
              <w:rPr>
                <w:rFonts w:cs="Arial"/>
              </w:rPr>
              <w:t>Commercial Operation</w:t>
            </w:r>
            <w:r>
              <w:rPr>
                <w:rFonts w:cs="Arial"/>
              </w:rPr>
              <w:t xml:space="preserve"> by </w:t>
            </w:r>
            <w:r w:rsidR="003164DC">
              <w:rPr>
                <w:rFonts w:cs="Arial"/>
              </w:rPr>
              <w:t xml:space="preserve">the </w:t>
            </w:r>
            <w:r>
              <w:rPr>
                <w:rFonts w:cs="Arial"/>
              </w:rPr>
              <w:t xml:space="preserve">RCOD. </w:t>
            </w:r>
          </w:p>
        </w:tc>
        <w:tc>
          <w:tcPr>
            <w:tcW w:w="2610" w:type="dxa"/>
          </w:tcPr>
          <w:p w:rsidRPr="001F71BF" w:rsidR="001F00B3" w:rsidRDefault="001F00B3" w14:paraId="2C3E168F" w14:textId="77777777">
            <w:pPr>
              <w:spacing w:after="120"/>
              <w:rPr>
                <w:rFonts w:cs="Arial"/>
              </w:rPr>
            </w:pPr>
          </w:p>
        </w:tc>
        <w:tc>
          <w:tcPr>
            <w:tcW w:w="3330" w:type="dxa"/>
          </w:tcPr>
          <w:p w:rsidRPr="001F71BF" w:rsidR="001F00B3" w:rsidRDefault="001F00B3" w14:paraId="64F42E7C" w14:textId="77777777">
            <w:pPr>
              <w:spacing w:after="120"/>
              <w:rPr>
                <w:rFonts w:cs="Arial"/>
              </w:rPr>
            </w:pPr>
          </w:p>
        </w:tc>
      </w:tr>
      <w:tr w:rsidRPr="00921E67" w:rsidR="001F00B3" w:rsidTr="003B6531" w14:paraId="7AA99D40" w14:textId="77777777">
        <w:tc>
          <w:tcPr>
            <w:tcW w:w="3420" w:type="dxa"/>
          </w:tcPr>
          <w:p w:rsidRPr="001F71BF" w:rsidR="001F00B3" w:rsidRDefault="001F00B3" w14:paraId="7D50D67A" w14:textId="77777777">
            <w:pPr>
              <w:spacing w:after="120"/>
              <w:jc w:val="left"/>
              <w:rPr>
                <w:rFonts w:cs="Arial"/>
              </w:rPr>
            </w:pPr>
            <w:r>
              <w:rPr>
                <w:rFonts w:cs="Arial"/>
              </w:rPr>
              <w:lastRenderedPageBreak/>
              <w:t>Achievement of EPC Contract key milestones:</w:t>
            </w:r>
          </w:p>
          <w:p w:rsidRPr="001F71BF" w:rsidR="001F00B3" w:rsidRDefault="001F00B3" w14:paraId="2140F97D" w14:textId="77777777">
            <w:pPr>
              <w:spacing w:after="120"/>
              <w:jc w:val="left"/>
              <w:rPr>
                <w:rFonts w:cs="Arial"/>
              </w:rPr>
            </w:pPr>
            <w:r>
              <w:rPr>
                <w:rFonts w:cs="Arial"/>
              </w:rPr>
              <w:t>•    Site mobilization</w:t>
            </w:r>
          </w:p>
          <w:p w:rsidRPr="001F71BF" w:rsidR="001F00B3" w:rsidRDefault="001F00B3" w14:paraId="54AFEAEE" w14:textId="77777777">
            <w:pPr>
              <w:spacing w:after="120"/>
              <w:jc w:val="left"/>
              <w:rPr>
                <w:rFonts w:cs="Arial"/>
              </w:rPr>
            </w:pPr>
            <w:r>
              <w:rPr>
                <w:rFonts w:cs="Arial"/>
              </w:rPr>
              <w:t>•    Mechanical Completion</w:t>
            </w:r>
          </w:p>
          <w:p w:rsidRPr="001F71BF" w:rsidR="001F00B3" w:rsidRDefault="001F00B3" w14:paraId="7BD480FA" w14:textId="77777777">
            <w:pPr>
              <w:spacing w:after="120"/>
              <w:jc w:val="left"/>
              <w:rPr>
                <w:rFonts w:cs="Arial"/>
              </w:rPr>
            </w:pPr>
            <w:r>
              <w:rPr>
                <w:rFonts w:cs="Arial"/>
              </w:rPr>
              <w:t>•    Substantial Completion</w:t>
            </w:r>
          </w:p>
          <w:p w:rsidRPr="001F71BF" w:rsidR="001F00B3" w:rsidRDefault="001F00B3" w14:paraId="2264F2D4" w14:textId="77777777">
            <w:pPr>
              <w:spacing w:after="120"/>
              <w:jc w:val="left"/>
              <w:rPr>
                <w:rFonts w:cs="Arial"/>
              </w:rPr>
            </w:pPr>
            <w:r>
              <w:rPr>
                <w:rFonts w:cs="Arial"/>
              </w:rPr>
              <w:t>•    Initial synchronization</w:t>
            </w:r>
          </w:p>
        </w:tc>
        <w:tc>
          <w:tcPr>
            <w:tcW w:w="2610" w:type="dxa"/>
          </w:tcPr>
          <w:p w:rsidRPr="001F71BF" w:rsidR="001F00B3" w:rsidRDefault="001F00B3" w14:paraId="15C47A2C" w14:textId="77777777">
            <w:pPr>
              <w:spacing w:after="120"/>
              <w:rPr>
                <w:rFonts w:cs="Arial"/>
              </w:rPr>
            </w:pPr>
          </w:p>
        </w:tc>
        <w:tc>
          <w:tcPr>
            <w:tcW w:w="3330" w:type="dxa"/>
          </w:tcPr>
          <w:p w:rsidRPr="001F71BF" w:rsidR="001F00B3" w:rsidRDefault="001F00B3" w14:paraId="2D8FA494" w14:textId="77777777">
            <w:pPr>
              <w:spacing w:after="120"/>
              <w:rPr>
                <w:rFonts w:cs="Arial"/>
              </w:rPr>
            </w:pPr>
          </w:p>
        </w:tc>
      </w:tr>
      <w:tr w:rsidRPr="00921E67" w:rsidR="001F00B3" w:rsidTr="003B6531" w14:paraId="5D1A3782" w14:textId="77777777">
        <w:tc>
          <w:tcPr>
            <w:tcW w:w="3420" w:type="dxa"/>
          </w:tcPr>
          <w:p w:rsidRPr="001F71BF" w:rsidR="001F00B3" w:rsidRDefault="001F00B3" w14:paraId="58029822" w14:textId="77777777">
            <w:pPr>
              <w:spacing w:after="120"/>
              <w:jc w:val="left"/>
              <w:rPr>
                <w:rFonts w:cs="Arial"/>
              </w:rPr>
            </w:pPr>
            <w:r>
              <w:rPr>
                <w:rFonts w:cs="Arial"/>
              </w:rPr>
              <w:t>RCOD</w:t>
            </w:r>
          </w:p>
        </w:tc>
        <w:tc>
          <w:tcPr>
            <w:tcW w:w="2610" w:type="dxa"/>
          </w:tcPr>
          <w:p w:rsidRPr="001F71BF" w:rsidR="001F00B3" w:rsidRDefault="001F00B3" w14:paraId="7693422A" w14:textId="77777777">
            <w:pPr>
              <w:spacing w:after="120"/>
              <w:rPr>
                <w:rFonts w:cs="Arial"/>
              </w:rPr>
            </w:pPr>
          </w:p>
        </w:tc>
        <w:tc>
          <w:tcPr>
            <w:tcW w:w="3330" w:type="dxa"/>
          </w:tcPr>
          <w:p w:rsidRPr="001F71BF" w:rsidR="001F00B3" w:rsidRDefault="001F00B3" w14:paraId="0A5E4218" w14:textId="77777777">
            <w:pPr>
              <w:spacing w:after="120"/>
              <w:rPr>
                <w:rFonts w:cs="Arial"/>
              </w:rPr>
            </w:pPr>
          </w:p>
        </w:tc>
      </w:tr>
    </w:tbl>
    <w:p w:rsidR="001F00B3" w:rsidP="00654FF2" w:rsidRDefault="001F00B3" w14:paraId="6E8475D7" w14:textId="77777777">
      <w:pPr>
        <w:pStyle w:val="zGNormal"/>
      </w:pPr>
    </w:p>
    <w:p w:rsidR="00D20B66" w:rsidP="00654FF2" w:rsidRDefault="00D20B66" w14:paraId="4D76794D" w14:textId="77777777">
      <w:pPr>
        <w:pStyle w:val="zGNormal"/>
      </w:pPr>
    </w:p>
    <w:p w:rsidR="00D20B66" w:rsidP="00654FF2" w:rsidRDefault="00D20B66" w14:paraId="136D2922" w14:textId="77777777">
      <w:pPr>
        <w:pStyle w:val="zGNormal"/>
        <w:sectPr w:rsidR="00D20B66" w:rsidSect="006B1C54">
          <w:headerReference w:type="default" r:id="rId30"/>
          <w:footerReference w:type="default" r:id="rId31"/>
          <w:pgSz w:w="12240" w:h="15840" w:code="1"/>
          <w:pgMar w:top="1440" w:right="1440" w:bottom="1440" w:left="1440" w:header="720" w:footer="720" w:gutter="0"/>
          <w:paperSrc w:first="15" w:other="15"/>
          <w:cols w:space="1440"/>
        </w:sectPr>
      </w:pPr>
    </w:p>
    <w:p w:rsidR="00D20B66" w:rsidP="00D20B66" w:rsidRDefault="00D20B66" w14:paraId="57289B81" w14:textId="4718B39D">
      <w:pPr>
        <w:pStyle w:val="zGTitleExhibit"/>
      </w:pPr>
      <w:bookmarkStart w:name="_Toc160731549" w:id="399"/>
      <w:bookmarkStart w:name="_Toc212475774" w:id="400"/>
      <w:bookmarkStart w:name="_Toc227838471" w:id="401"/>
      <w:r>
        <w:lastRenderedPageBreak/>
        <w:t>Exhibit A-2 – Performance Security and Liquidated Damages</w:t>
      </w:r>
      <w:bookmarkEnd w:id="399"/>
      <w:bookmarkEnd w:id="400"/>
      <w:bookmarkEnd w:id="401"/>
    </w:p>
    <w:p w:rsidR="00DC0791" w:rsidP="00DC0791" w:rsidRDefault="00DC0791" w14:paraId="07410AC4" w14:textId="77777777">
      <w:pPr>
        <w:pStyle w:val="zGNormal"/>
        <w:rPr>
          <w:rStyle w:val="Subheading"/>
        </w:rPr>
      </w:pPr>
    </w:p>
    <w:p w:rsidRPr="00DC0791" w:rsidR="00DC0791" w:rsidP="00DC0791" w:rsidRDefault="00DC0791" w14:paraId="0E5AE876" w14:textId="19351799">
      <w:pPr>
        <w:pStyle w:val="zGNormal"/>
        <w:rPr>
          <w:rStyle w:val="Subheading"/>
        </w:rPr>
      </w:pPr>
      <w:r>
        <w:t>All amounts shown as $/kW will be calculated based on the Facility’s Nominal Standard Capability.</w:t>
      </w:r>
    </w:p>
    <w:p w:rsidR="00455568" w:rsidP="00455568" w:rsidRDefault="00455568" w14:paraId="7ED622E8" w14:textId="77777777">
      <w:pPr>
        <w:pStyle w:val="zGNormal"/>
      </w:pPr>
      <w:bookmarkStart w:name="_Toc167347254" w:id="402"/>
    </w:p>
    <w:p w:rsidRPr="00455568" w:rsidR="00D0148A" w:rsidP="00455568" w:rsidRDefault="008A3FE1" w14:paraId="0B182B80" w14:textId="362FB60A">
      <w:pPr>
        <w:pStyle w:val="zGNormal"/>
        <w:rPr>
          <w:rFonts w:ascii="Arial Bold" w:hAnsi="Arial Bold"/>
          <w:b/>
          <w:bCs/>
          <w:caps/>
          <w:u w:val="single"/>
        </w:rPr>
      </w:pPr>
      <w:r>
        <w:rPr>
          <w:rFonts w:ascii="Arial Bold" w:hAnsi="Arial Bold"/>
          <w:b/>
          <w:bCs/>
          <w:caps/>
          <w:u w:val="single"/>
        </w:rPr>
        <w:t>Part 1.  Performance Security</w:t>
      </w:r>
      <w:bookmarkEnd w:id="402"/>
    </w:p>
    <w:p w:rsidR="00D20B66" w:rsidP="00D20B66" w:rsidRDefault="00D20B66" w14:paraId="6817E848" w14:textId="7A76F4A5">
      <w:pPr>
        <w:pStyle w:val="zGNormal"/>
        <w:rPr>
          <w:b/>
          <w:bCs/>
        </w:rPr>
      </w:pPr>
      <w:r>
        <w:rPr>
          <w:b/>
          <w:bCs/>
          <w:highlight w:val="cyan"/>
        </w:rPr>
        <w:t>[</w:t>
      </w:r>
      <w:r>
        <w:rPr>
          <w:b/>
          <w:bCs/>
          <w:i/>
          <w:iCs/>
          <w:highlight w:val="cyan"/>
          <w:u w:val="single"/>
        </w:rPr>
        <w:t>Note to Bidders</w:t>
      </w:r>
      <w:r>
        <w:rPr>
          <w:b/>
          <w:bCs/>
          <w:i/>
          <w:iCs/>
          <w:highlight w:val="cyan"/>
        </w:rPr>
        <w:t xml:space="preserve">: A Performance Security table will be added to include the applicable Performance Security amounts in Attachment 1 (Performance Security and Liquidated Damages Summary) of RFP Exhibit D (Summary of </w:t>
      </w:r>
      <w:proofErr w:type="gramStart"/>
      <w:r>
        <w:rPr>
          <w:b/>
          <w:bCs/>
          <w:i/>
          <w:iCs/>
          <w:highlight w:val="cyan"/>
        </w:rPr>
        <w:t>Fees, Costs</w:t>
      </w:r>
      <w:proofErr w:type="gramEnd"/>
      <w:r>
        <w:rPr>
          <w:b/>
          <w:bCs/>
          <w:i/>
          <w:iCs/>
          <w:highlight w:val="cyan"/>
        </w:rPr>
        <w:t>, Security, and Deadlines</w:t>
      </w:r>
      <w:proofErr w:type="gramStart"/>
      <w:r>
        <w:rPr>
          <w:b/>
          <w:bCs/>
          <w:i/>
          <w:iCs/>
          <w:highlight w:val="cyan"/>
        </w:rPr>
        <w:t>).</w:t>
      </w:r>
      <w:r>
        <w:rPr>
          <w:b/>
          <w:bCs/>
          <w:highlight w:val="cyan"/>
        </w:rPr>
        <w:t>]</w:t>
      </w:r>
      <w:proofErr w:type="gramEnd"/>
    </w:p>
    <w:p w:rsidRPr="006E0A0D" w:rsidR="00455568" w:rsidP="00D20B66" w:rsidRDefault="00455568" w14:paraId="4249CA94" w14:textId="77777777">
      <w:pPr>
        <w:pStyle w:val="zGNormal"/>
        <w:rPr>
          <w:b/>
          <w:bCs/>
        </w:rPr>
      </w:pPr>
    </w:p>
    <w:p w:rsidRPr="00455568" w:rsidR="00E42EFC" w:rsidP="00455568" w:rsidRDefault="008A3FE1" w14:paraId="7F70C92C" w14:textId="5F675C45">
      <w:pPr>
        <w:pStyle w:val="zGNormal"/>
        <w:rPr>
          <w:rFonts w:ascii="Arial Bold" w:hAnsi="Arial Bold"/>
          <w:b/>
          <w:bCs/>
          <w:caps/>
          <w:u w:val="single"/>
        </w:rPr>
      </w:pPr>
      <w:bookmarkStart w:name="_Toc167347255" w:id="403"/>
      <w:r>
        <w:rPr>
          <w:rFonts w:ascii="Arial Bold" w:hAnsi="Arial Bold"/>
          <w:b/>
          <w:bCs/>
          <w:caps/>
          <w:u w:val="single"/>
        </w:rPr>
        <w:t>Part 2.  Liquidated Damages</w:t>
      </w:r>
      <w:bookmarkEnd w:id="403"/>
    </w:p>
    <w:p w:rsidR="00455568" w:rsidP="00455568" w:rsidRDefault="00455568" w14:paraId="22232A60" w14:textId="77777777">
      <w:pPr>
        <w:pStyle w:val="zGNormal"/>
      </w:pPr>
    </w:p>
    <w:p w:rsidR="00DB3EA1" w:rsidP="00455568" w:rsidRDefault="71BDB12D" w14:paraId="0A3BF29A" w14:textId="6325368E">
      <w:pPr>
        <w:pStyle w:val="zGNormal"/>
      </w:pPr>
      <w:r>
        <w:t>The following table represents delay liquidated damages amounts that will be owed if Seller does not timely achieve Commercial Operation by RCOD. The amounts shown in the table are daily amounts that will be owed for each Day of delay beyond the RCOD in the applicable Month.</w:t>
      </w:r>
    </w:p>
    <w:p w:rsidR="54C72364" w:rsidP="54C72364" w:rsidRDefault="54C72364" w14:paraId="4A6C06A8" w14:textId="390BC9A1">
      <w:pPr>
        <w:pStyle w:val="zGNormal"/>
      </w:pPr>
    </w:p>
    <w:p w:rsidRPr="000057B0" w:rsidR="00AC2F09" w:rsidP="00B072DC" w:rsidRDefault="00AC2F09" w14:paraId="19048092" w14:textId="530C2107">
      <w:pPr>
        <w:pStyle w:val="zGNormal"/>
        <w:rPr>
          <w:b/>
          <w:bCs/>
        </w:rPr>
      </w:pPr>
      <w:r>
        <w:rPr>
          <w:b/>
          <w:bCs/>
          <w:highlight w:val="cyan"/>
        </w:rPr>
        <w:t>[</w:t>
      </w:r>
      <w:r>
        <w:rPr>
          <w:b/>
          <w:bCs/>
          <w:i/>
          <w:iCs/>
          <w:highlight w:val="cyan"/>
          <w:u w:val="single"/>
        </w:rPr>
        <w:t>Note to Bidders</w:t>
      </w:r>
      <w:r>
        <w:rPr>
          <w:b/>
          <w:bCs/>
          <w:i/>
          <w:iCs/>
          <w:highlight w:val="cyan"/>
        </w:rPr>
        <w:t xml:space="preserve">: A Liquidated Damages table will be added to include the applicable delay liquidated damages stated in Attachment 1 (Performance Security and Liquidated Damages Summary) of RFP Exhibit D (Summary of </w:t>
      </w:r>
      <w:proofErr w:type="gramStart"/>
      <w:r>
        <w:rPr>
          <w:b/>
          <w:bCs/>
          <w:i/>
          <w:iCs/>
          <w:highlight w:val="cyan"/>
        </w:rPr>
        <w:t>Fees, Costs</w:t>
      </w:r>
      <w:proofErr w:type="gramEnd"/>
      <w:r>
        <w:rPr>
          <w:b/>
          <w:bCs/>
          <w:i/>
          <w:iCs/>
          <w:highlight w:val="cyan"/>
        </w:rPr>
        <w:t>, Security, and Deadlines</w:t>
      </w:r>
      <w:proofErr w:type="gramStart"/>
      <w:r>
        <w:rPr>
          <w:b/>
          <w:bCs/>
          <w:i/>
          <w:iCs/>
          <w:highlight w:val="cyan"/>
        </w:rPr>
        <w:t>).</w:t>
      </w:r>
      <w:r>
        <w:rPr>
          <w:b/>
          <w:bCs/>
          <w:highlight w:val="cyan"/>
        </w:rPr>
        <w:t>]</w:t>
      </w:r>
      <w:proofErr w:type="gramEnd"/>
    </w:p>
    <w:p w:rsidR="00D20B66" w:rsidP="00654FF2" w:rsidRDefault="00D20B66" w14:paraId="077D01BC" w14:textId="77777777">
      <w:pPr>
        <w:pStyle w:val="zGNormal"/>
        <w:sectPr w:rsidR="00D20B66" w:rsidSect="006B1C54">
          <w:headerReference w:type="default" r:id="rId32"/>
          <w:footerReference w:type="default" r:id="rId33"/>
          <w:pgSz w:w="12240" w:h="15840" w:code="1"/>
          <w:pgMar w:top="1440" w:right="1440" w:bottom="1440" w:left="1440" w:header="720" w:footer="720" w:gutter="0"/>
          <w:paperSrc w:first="15" w:other="15"/>
          <w:cols w:space="1440"/>
        </w:sectPr>
      </w:pPr>
    </w:p>
    <w:p w:rsidRPr="00F10071" w:rsidR="00D96326" w:rsidP="00D96326" w:rsidRDefault="00D96326" w14:paraId="7B3F38CB" w14:textId="673938A7">
      <w:pPr>
        <w:pStyle w:val="zGTitleExhibit"/>
        <w:rPr>
          <w:rFonts w:cs="Arial"/>
        </w:rPr>
      </w:pPr>
      <w:bookmarkStart w:name="_Toc212475775" w:id="404"/>
      <w:bookmarkStart w:name="_Toc227838472" w:id="405"/>
      <w:r>
        <w:rPr>
          <w:rFonts w:cs="Arial"/>
        </w:rPr>
        <w:lastRenderedPageBreak/>
        <w:t>Exhibit B – Capacity; Capacity Payments and Payment Reductions; BuyDown</w:t>
      </w:r>
      <w:bookmarkEnd w:id="404"/>
      <w:bookmarkEnd w:id="405"/>
    </w:p>
    <w:p w:rsidRPr="00396F9B" w:rsidR="00D96326" w:rsidP="00E62CF6" w:rsidRDefault="00D96326" w14:paraId="4372B3EA" w14:textId="135BE2C9">
      <w:pPr>
        <w:pStyle w:val="zG01"/>
        <w:numPr>
          <w:ilvl w:val="0"/>
          <w:numId w:val="37"/>
        </w:numPr>
      </w:pPr>
      <w:r>
        <w:t>Contracted Capacity RANGE; Tested Reliable Capacity; DECLARED Capacity; Capacity BuyDown; Capacity Pricing</w:t>
      </w:r>
    </w:p>
    <w:p w:rsidRPr="00595F47" w:rsidR="00D96326" w:rsidP="00D96326" w:rsidRDefault="00D96326" w14:paraId="226CEEB4" w14:textId="77777777">
      <w:pPr>
        <w:pStyle w:val="zG02"/>
      </w:pPr>
      <w:r>
        <w:rPr>
          <w:b/>
        </w:rPr>
        <w:t xml:space="preserve">Contracted Capacity Cap; Contracted Capacity Range. </w:t>
      </w:r>
    </w:p>
    <w:p w:rsidR="00662ED0" w:rsidP="00D96326" w:rsidRDefault="00D96326" w14:paraId="6E5D7F1C" w14:textId="7DC41FB1">
      <w:pPr>
        <w:pStyle w:val="zG03"/>
        <w:rPr>
          <w:rStyle w:val="zGNormalChar"/>
        </w:rPr>
      </w:pPr>
      <w:r>
        <w:rPr>
          <w:rStyle w:val="zGNormalChar"/>
          <w:b/>
          <w:bCs/>
        </w:rPr>
        <w:t>Contracted Capacity Cap.</w:t>
      </w:r>
      <w:r>
        <w:rPr>
          <w:rStyle w:val="zGNormalChar"/>
          <w:b/>
        </w:rPr>
        <w:t xml:space="preserve"> </w:t>
      </w:r>
      <w:r>
        <w:rPr>
          <w:rStyle w:val="zGNormalChar"/>
        </w:rPr>
        <w:t>The “</w:t>
      </w:r>
      <w:r>
        <w:rPr>
          <w:rStyle w:val="zGNormalChar"/>
          <w:b/>
          <w:bCs/>
        </w:rPr>
        <w:t>Contracted Capacity Cap</w:t>
      </w:r>
      <w:r>
        <w:rPr>
          <w:rStyle w:val="zGNormalChar"/>
        </w:rPr>
        <w:t xml:space="preserve">” means (a) with respect to the Standard Seasonal Performance Periods, the Standard Capacity Cap; and (b) with respect to the Winter Seasonal Performance Period, the Winter Capacity Cap. </w:t>
      </w:r>
    </w:p>
    <w:p w:rsidR="00D96326" w:rsidP="00662ED0" w:rsidRDefault="00FC2791" w14:paraId="480E28EF" w14:textId="5494BC34">
      <w:pPr>
        <w:pStyle w:val="zG04"/>
        <w:rPr>
          <w:rStyle w:val="zGNormalChar"/>
        </w:rPr>
      </w:pPr>
      <w:r>
        <w:rPr>
          <w:rStyle w:val="zGNormalChar"/>
        </w:rPr>
        <w:t>The “</w:t>
      </w:r>
      <w:r>
        <w:rPr>
          <w:rStyle w:val="zGNormalChar"/>
          <w:b/>
          <w:bCs/>
        </w:rPr>
        <w:t>Standard Capacity Cap</w:t>
      </w:r>
      <w:r>
        <w:rPr>
          <w:rStyle w:val="zGNormalChar"/>
        </w:rPr>
        <w:t xml:space="preserve">” means an amount equal to 102.5% of the Nominal Standard Capability. However, GPC, in its sole discretion, may elect to accept an offer from Seller to increase the Standard </w:t>
      </w:r>
      <w:proofErr w:type="gramStart"/>
      <w:r>
        <w:rPr>
          <w:rStyle w:val="zGNormalChar"/>
        </w:rPr>
        <w:t>Capacity Cap</w:t>
      </w:r>
      <w:proofErr w:type="gramEnd"/>
      <w:r>
        <w:rPr>
          <w:rStyle w:val="zGNormalChar"/>
        </w:rPr>
        <w:t xml:space="preserve"> to an amount equal to a Tested Standard Reliable Capacity </w:t>
      </w:r>
      <w:bookmarkStart w:name="_Hlk24531722" w:id="406"/>
      <w:r>
        <w:rPr>
          <w:rStyle w:val="zGNormalChar"/>
        </w:rPr>
        <w:t xml:space="preserve">that is greater than 102.5% of the Nominal Standard Capability </w:t>
      </w:r>
      <w:bookmarkEnd w:id="406"/>
      <w:r>
        <w:rPr>
          <w:rStyle w:val="zGNormalChar"/>
        </w:rPr>
        <w:t>in accordance with Section 1.2 (</w:t>
      </w:r>
      <w:r>
        <w:rPr>
          <w:rStyle w:val="zGNormalChar"/>
          <w:i/>
          <w:iCs/>
        </w:rPr>
        <w:t>Tested Reliable Capacity; Performance Tests</w:t>
      </w:r>
      <w:r>
        <w:rPr>
          <w:rStyle w:val="zGNormalChar"/>
        </w:rPr>
        <w:t>).</w:t>
      </w:r>
    </w:p>
    <w:p w:rsidR="00662ED0" w:rsidP="00662ED0" w:rsidRDefault="00662ED0" w14:paraId="18B8AB91" w14:textId="04DAAFBE">
      <w:pPr>
        <w:pStyle w:val="zG04"/>
        <w:rPr>
          <w:rStyle w:val="zGNormalChar"/>
        </w:rPr>
      </w:pPr>
      <w:r>
        <w:rPr>
          <w:rStyle w:val="zGNormalChar"/>
        </w:rPr>
        <w:t>The “</w:t>
      </w:r>
      <w:r>
        <w:rPr>
          <w:rStyle w:val="zGNormalChar"/>
          <w:b/>
          <w:bCs/>
        </w:rPr>
        <w:t>Winter Capacity Cap</w:t>
      </w:r>
      <w:r>
        <w:rPr>
          <w:rStyle w:val="zGNormalChar"/>
        </w:rPr>
        <w:t>” means an amount equal to 102.5% of the Nominal Winter Capability. However, GPC, in its sole discretion, may elect to accept an offer from Seller to increase the Winter Capacity Cap to an amount equal to a Tested Winter Reliable Capacity that is greater than 102.5% of the Nominal Winter Capability in accordance with Section 1.2 (</w:t>
      </w:r>
      <w:r>
        <w:rPr>
          <w:rStyle w:val="zGNormalChar"/>
          <w:i/>
          <w:iCs/>
        </w:rPr>
        <w:t>Tested Reliable Capacity; Performance Tests</w:t>
      </w:r>
      <w:r>
        <w:rPr>
          <w:rStyle w:val="zGNormalChar"/>
        </w:rPr>
        <w:t>).</w:t>
      </w:r>
    </w:p>
    <w:p w:rsidRPr="001664AE" w:rsidR="001664AE" w:rsidP="00D96326" w:rsidRDefault="00D96326" w14:paraId="5E10CB20" w14:textId="306FD297">
      <w:pPr>
        <w:pStyle w:val="zG03"/>
      </w:pPr>
      <w:r>
        <w:rPr>
          <w:b/>
          <w:bCs/>
        </w:rPr>
        <w:t xml:space="preserve">Contracted Capacity Range. </w:t>
      </w:r>
      <w:r>
        <w:t>During the Term, Seller must make available to GPC generating capacity of the Facility (in MW) within the applicable Contracted Capacity Range. During the Standard Seasonal Performance Periods, the applicable Contracted Capacity Range is the Standard Capacity Range. During the Winter Seasonal Performance Period, the applicable Contracted Capacity Range is the Winter Capacity Range.</w:t>
      </w:r>
    </w:p>
    <w:p w:rsidRPr="006E0A0D" w:rsidR="00D96326" w:rsidP="001664AE" w:rsidRDefault="00730D12" w14:paraId="624545D8" w14:textId="7BF192CF">
      <w:pPr>
        <w:pStyle w:val="zG04"/>
      </w:pPr>
      <w:r>
        <w:t>The “</w:t>
      </w:r>
      <w:r>
        <w:rPr>
          <w:b/>
          <w:bCs/>
        </w:rPr>
        <w:t>Standard Capacity Range</w:t>
      </w:r>
      <w:r>
        <w:t>” means the range of generating capacity of the Facility (in MW) described in this Section 1.1.B(</w:t>
      </w:r>
      <w:proofErr w:type="spellStart"/>
      <w:r>
        <w:t>i</w:t>
      </w:r>
      <w:proofErr w:type="spellEnd"/>
      <w:r>
        <w:t>) (</w:t>
      </w:r>
      <w:r>
        <w:rPr>
          <w:i/>
          <w:iCs/>
        </w:rPr>
        <w:t>Contracted Capacity Range</w:t>
      </w:r>
      <w:r>
        <w:t>). Subject to Section 1.4 (</w:t>
      </w:r>
      <w:r>
        <w:rPr>
          <w:i/>
          <w:iCs/>
        </w:rPr>
        <w:t>Tested Reliable Capacity Below Contracted Capacity Range; Capacity Buydown</w:t>
      </w:r>
      <w:r>
        <w:t>), the upper limit of the Standard Capacity Range for the Term will be the Standard Capacity Cap. Subject to Section 1.4, the lower limit of the Standard Capacity Range for the Term will be 92% of the Nominal Standard Capability.</w:t>
      </w:r>
    </w:p>
    <w:p w:rsidRPr="006E0A0D" w:rsidR="001664AE" w:rsidP="001664AE" w:rsidRDefault="001664AE" w14:paraId="311BD671" w14:textId="4E658787">
      <w:pPr>
        <w:pStyle w:val="zG04"/>
      </w:pPr>
      <w:r>
        <w:t>The “</w:t>
      </w:r>
      <w:r>
        <w:rPr>
          <w:b/>
          <w:bCs/>
        </w:rPr>
        <w:t>Winter Capacity Range</w:t>
      </w:r>
      <w:r>
        <w:t>” means the range of generating capacity of the Facility (in MW) described in this Section 1.1.B(ii) (</w:t>
      </w:r>
      <w:r>
        <w:rPr>
          <w:i/>
          <w:iCs/>
        </w:rPr>
        <w:t>Contracted Capacity Range</w:t>
      </w:r>
      <w:r>
        <w:t>). Subject to Section 1.4 (</w:t>
      </w:r>
      <w:r>
        <w:rPr>
          <w:i/>
          <w:iCs/>
        </w:rPr>
        <w:t>Tested Reliable Capacity Below Contracted Capacity Range; Capacity Buydown</w:t>
      </w:r>
      <w:r>
        <w:t>), the upper limit of the Winter Capacity Range for the Term will be the Winter Capacity Cap. Subject to Section 1.4, the lower limit of the Winter Capacity Range for the Term will be 92% of the Nominal Winter Capability.</w:t>
      </w:r>
    </w:p>
    <w:p w:rsidRPr="006E0A0D" w:rsidR="00D96326" w:rsidP="00D96326" w:rsidRDefault="00D96326" w14:paraId="16955453" w14:textId="05A77A80">
      <w:pPr>
        <w:pStyle w:val="zG02"/>
        <w:rPr>
          <w:rStyle w:val="zGNormalChar"/>
        </w:rPr>
      </w:pPr>
      <w:r>
        <w:rPr>
          <w:b/>
          <w:bCs/>
        </w:rPr>
        <w:t xml:space="preserve">Tested Reliable </w:t>
      </w:r>
      <w:proofErr w:type="gramStart"/>
      <w:r>
        <w:rPr>
          <w:b/>
          <w:bCs/>
        </w:rPr>
        <w:t>Capacity;</w:t>
      </w:r>
      <w:proofErr w:type="gramEnd"/>
      <w:r>
        <w:rPr>
          <w:b/>
          <w:bCs/>
        </w:rPr>
        <w:t xml:space="preserve"> Performance Tests.</w:t>
      </w:r>
    </w:p>
    <w:p w:rsidRPr="006E0A0D" w:rsidR="00D96326" w:rsidP="00D96326" w:rsidRDefault="00D96326" w14:paraId="79D0BA5B" w14:textId="652EA4EC">
      <w:pPr>
        <w:pStyle w:val="zG03"/>
      </w:pPr>
      <w:r>
        <w:rPr>
          <w:b/>
          <w:bCs/>
        </w:rPr>
        <w:t>Facility Performance Testing.</w:t>
      </w:r>
      <w:r>
        <w:t xml:space="preserve"> Seller must conduct Performance Testing of the </w:t>
      </w:r>
      <w:r w:rsidR="006457DC">
        <w:t xml:space="preserve">Facility, including each Unit, </w:t>
      </w:r>
      <w:r>
        <w:t>in accordance with Exhibit E (</w:t>
      </w:r>
      <w:r>
        <w:rPr>
          <w:i/>
          <w:iCs/>
        </w:rPr>
        <w:t>Performance Testing Procedures</w:t>
      </w:r>
      <w:r>
        <w:t xml:space="preserve">) to determine the capacity that will reliably and consistently be available to meet GPC’s Schedules. </w:t>
      </w:r>
    </w:p>
    <w:p w:rsidRPr="006E0A0D" w:rsidR="00D96326" w:rsidP="00D96326" w:rsidRDefault="00D96326" w14:paraId="6D4C6FF3" w14:textId="5485BE6D">
      <w:pPr>
        <w:pStyle w:val="zG03"/>
      </w:pPr>
      <w:r>
        <w:rPr>
          <w:b/>
          <w:bCs/>
        </w:rPr>
        <w:t>Establishing Initial Tested Reliable Capacity.</w:t>
      </w:r>
      <w:r>
        <w:t xml:space="preserve"> Before the Delivery Commencement Date, but no earlier than 90 Days before the Delivery Commencement Date, Seller must establish the initial Tested Standard Reliable Capacity and Tested Winter Reliable Capacity in accordance with a Performance Test. However, if Seller cannot perform the Performance Test during that 90-Day period because of inadequate ambient conditions, Seller must perform the Performance Test as soon as practicable with appropriate ambient conditions after the Delivery Commencement Date, and the Nominal Standard Capability and the Nominal Winter Capability will apply until the initial Tested Standard Reliable Capacity and the Tested Winter Reliable Capacity are determined. </w:t>
      </w:r>
    </w:p>
    <w:p w:rsidRPr="006E0A0D" w:rsidR="00D96326" w:rsidP="00D96326" w:rsidRDefault="00D96326" w14:paraId="286F9C70" w14:textId="4979D4CA">
      <w:pPr>
        <w:pStyle w:val="zG03"/>
      </w:pPr>
      <w:r>
        <w:rPr>
          <w:b/>
          <w:bCs/>
        </w:rPr>
        <w:t xml:space="preserve">Request to Redetermine Tested Reliable Capacity. </w:t>
      </w:r>
      <w:r>
        <w:t>Following the establishment of the initial Tested Standard Reliable Capacity and Tested Winter Reliable Capacity, each Party will have the right to request a Performance Test to re-determine one or both of the Tested Reliable Capacity(</w:t>
      </w:r>
      <w:proofErr w:type="spellStart"/>
      <w:r>
        <w:t>ies</w:t>
      </w:r>
      <w:proofErr w:type="spellEnd"/>
      <w:r>
        <w:t xml:space="preserve">) to be performed during the period from March 15 to April 15 of each Annual Period upon 10 Business Days prior notice to the other Party. However, upon consent by each Party, the Performance Test may be performed outside the period of March 15 </w:t>
      </w:r>
      <w:r>
        <w:lastRenderedPageBreak/>
        <w:t>to April 15 of each Annual Period. Despite the preceding sentence, no Performance Test may be scheduled during: (</w:t>
      </w:r>
      <w:proofErr w:type="spellStart"/>
      <w:r>
        <w:t>i</w:t>
      </w:r>
      <w:proofErr w:type="spellEnd"/>
      <w:r>
        <w:t>) a period of Scheduled Outage; (ii) a period of Maintenance Outage; (iii) an FME; or (iv) a Forced Outage. The Tested Standard Reliable Capacity or Tested Winter Reliable Capacity, as applicable, determined by an additional Performance Test will become the new Tested Standard Reliable Capacity or Tested Winter Reliable Capacity, as applicable.</w:t>
      </w:r>
    </w:p>
    <w:p w:rsidRPr="006E0A0D" w:rsidR="00D96326" w:rsidP="00D96326" w:rsidRDefault="00D96326" w14:paraId="5CD14289" w14:textId="2A6FC236">
      <w:pPr>
        <w:pStyle w:val="zG03"/>
      </w:pPr>
      <w:r>
        <w:rPr>
          <w:b/>
          <w:bCs/>
        </w:rPr>
        <w:t xml:space="preserve">Tested Reliable Capacity Greater Than Applicable Effective Contracted Capacity Cap. </w:t>
      </w:r>
      <w:r>
        <w:t>If a Performance Test results in a Tested Standard Reliable Capacity that is greater than the then-effective Standard Capacity Cap, or a Tested Winter Reliable Capacity that is greater than the then-effective Winter Capacity Cap, then Seller may offer to increase either or both of those Contracted Capacity Cap(s) to the new applicable Tested Reliable Capacity(</w:t>
      </w:r>
      <w:proofErr w:type="spellStart"/>
      <w:r>
        <w:t>ies</w:t>
      </w:r>
      <w:proofErr w:type="spellEnd"/>
      <w:r>
        <w:t>) and GPC, in GPC’s sole discretion, will accept or reject Seller’s offer. If GPC accepts Seller’s offer, then either or both (as applicable) Contracted Capacity Cap(s) will be reset to the new Tested Reliable Capacity(</w:t>
      </w:r>
      <w:proofErr w:type="spellStart"/>
      <w:r>
        <w:t>ies</w:t>
      </w:r>
      <w:proofErr w:type="spellEnd"/>
      <w:r>
        <w:t>) resulting from the Performance Test. If GPC does not accept Seller’s offer, the Contracted Capacity Cap will not change.</w:t>
      </w:r>
    </w:p>
    <w:p w:rsidRPr="006E0A0D" w:rsidR="00D96326" w:rsidP="00325783" w:rsidRDefault="00D96326" w14:paraId="62F27768" w14:textId="1C7A508F">
      <w:pPr>
        <w:pStyle w:val="zG03"/>
        <w:tabs>
          <w:tab w:val="num" w:pos="576"/>
        </w:tabs>
        <w:ind w:left="270"/>
        <w:rPr>
          <w:b/>
          <w:bCs/>
        </w:rPr>
      </w:pPr>
      <w:r>
        <w:rPr>
          <w:b/>
          <w:bCs/>
        </w:rPr>
        <w:t>Cost Responsibility for Fuel Required for Performance Test(s) for initial Tested Reliable Capacity; Purchase of Test Energy.</w:t>
      </w:r>
      <w:r>
        <w:t xml:space="preserve"> Seller will be responsible and bear all costs and expenses to obtain and deliver fuel required for the Performance Test(s) required to determine the initial Tested Standard Reliable Capacity and Tested Winter Reliable Capacity. GPC will receive and purchase the test energy at the Test Energy Price. “</w:t>
      </w:r>
      <w:r>
        <w:rPr>
          <w:b/>
          <w:bCs/>
        </w:rPr>
        <w:t>Test Energy Price</w:t>
      </w:r>
      <w:r>
        <w:t>” means the product of: (</w:t>
      </w:r>
      <w:proofErr w:type="spellStart"/>
      <w:r>
        <w:t>i</w:t>
      </w:r>
      <w:proofErr w:type="spellEnd"/>
      <w:r>
        <w:t xml:space="preserve">) AIER; </w:t>
      </w:r>
      <w:r>
        <w:rPr>
          <w:rFonts w:eastAsia="Times New Roman"/>
          <w:bCs/>
          <w:i/>
          <w:iCs/>
        </w:rPr>
        <w:t>times</w:t>
      </w:r>
      <w:r>
        <w:t xml:space="preserve"> (ii) 90%, as shown in the following equation:</w:t>
      </w:r>
      <w:r>
        <w:rPr>
          <w:b/>
          <w:bCs/>
        </w:rPr>
        <w:t> </w:t>
      </w:r>
    </w:p>
    <w:p w:rsidRPr="006E0A0D" w:rsidR="00D96326" w:rsidP="00D96326" w:rsidRDefault="00D96326" w14:paraId="0ADBB15E" w14:textId="10C3266D">
      <w:pPr>
        <w:widowControl w:val="0"/>
        <w:tabs>
          <w:tab w:val="left" w:pos="576"/>
        </w:tabs>
        <w:autoSpaceDE w:val="0"/>
        <w:autoSpaceDN w:val="0"/>
        <w:adjustRightInd w:val="0"/>
        <w:ind w:left="180"/>
        <w:jc w:val="center"/>
        <w:outlineLvl w:val="2"/>
        <w:rPr>
          <w:rFonts w:cs="Arial" w:eastAsiaTheme="minorEastAsia"/>
          <w:b/>
          <w:bCs/>
          <w:spacing w:val="-6"/>
          <w:kern w:val="14"/>
        </w:rPr>
      </w:pPr>
      <w:r>
        <w:rPr>
          <w:rFonts w:cs="Arial" w:eastAsiaTheme="minorEastAsia"/>
          <w:spacing w:val="-6"/>
          <w:kern w:val="14"/>
        </w:rPr>
        <w:t>(Test Energy Price = AIER x  0.90)</w:t>
      </w:r>
    </w:p>
    <w:p w:rsidRPr="006E0A0D" w:rsidR="00D96326" w:rsidP="00D96326" w:rsidRDefault="00D96326" w14:paraId="35A720E0" w14:textId="2F42CAD8">
      <w:pPr>
        <w:pStyle w:val="zG03"/>
      </w:pPr>
      <w:r>
        <w:rPr>
          <w:b/>
          <w:bCs/>
        </w:rPr>
        <w:t>Fuel Costs for Subsequent Performance Tests.</w:t>
      </w:r>
      <w:r>
        <w:t xml:space="preserve"> For all subsequent Performance Tests, the Party requesting the Performance Test will bear the costs and expenses of that Performance Test. However, Seller must bear costs and expenses of: (</w:t>
      </w:r>
      <w:proofErr w:type="spellStart"/>
      <w:r>
        <w:t>i</w:t>
      </w:r>
      <w:proofErr w:type="spellEnd"/>
      <w:r>
        <w:t>) any Performance Test GPC requests if the Tested Reliable Capacity (because of the Performance Test) is determined to be less than the Tested Reliable Capacity immediately before the Performance Test; (ii) any Performance Test performed under Section 1.4 (</w:t>
      </w:r>
      <w:r>
        <w:rPr>
          <w:i/>
          <w:iCs/>
        </w:rPr>
        <w:t>Tested Reliable Capacity Below Contracted Capacity Range; Capacity Buydown</w:t>
      </w:r>
      <w:r>
        <w:t>); or (iii) any Performance Test performed due to a reliability issue under Exhibit E (</w:t>
      </w:r>
      <w:r>
        <w:rPr>
          <w:i/>
          <w:iCs/>
        </w:rPr>
        <w:t>Performance Testing Procedures</w:t>
      </w:r>
      <w:r>
        <w:t>), Part 3 (</w:t>
      </w:r>
      <w:r>
        <w:rPr>
          <w:i/>
          <w:iCs/>
        </w:rPr>
        <w:t>Testing</w:t>
      </w:r>
      <w:r>
        <w:t xml:space="preserve">). If GPC is responsible for the fuel costs for a Performance Test, GPC will purchase test energy at the applicable price under </w:t>
      </w:r>
      <w:r>
        <w:rPr>
          <w:bCs/>
        </w:rPr>
        <w:t>Exhibit</w:t>
      </w:r>
      <w:r>
        <w:t xml:space="preserve"> C </w:t>
      </w:r>
      <w:r>
        <w:rPr>
          <w:bCs/>
        </w:rPr>
        <w:t>(</w:t>
      </w:r>
      <w:r>
        <w:rPr>
          <w:bCs/>
          <w:i/>
          <w:iCs/>
        </w:rPr>
        <w:t>Energy Payment Calculation</w:t>
      </w:r>
      <w:r>
        <w:rPr>
          <w:bCs/>
        </w:rPr>
        <w:t>)</w:t>
      </w:r>
      <w:r>
        <w:t xml:space="preserve"> for energy delivered from the </w:t>
      </w:r>
      <w:r w:rsidR="006457DC">
        <w:t xml:space="preserve">Facility </w:t>
      </w:r>
      <w:r>
        <w:t xml:space="preserve">in accordance with GPC’s Schedule. If Seller is responsible for the fuel costs for a Performance Test, GPC will purchase test energy at the lesser of: (a) the Test Energy Price; and (b) the applicable price under </w:t>
      </w:r>
      <w:r>
        <w:rPr>
          <w:bCs/>
        </w:rPr>
        <w:t>Exhibit</w:t>
      </w:r>
      <w:r>
        <w:t xml:space="preserve"> C for energy delivered from the </w:t>
      </w:r>
      <w:r w:rsidR="006457DC">
        <w:t xml:space="preserve">Facility </w:t>
      </w:r>
      <w:r>
        <w:t>in accordance with the Schedule.</w:t>
      </w:r>
    </w:p>
    <w:p w:rsidRPr="006E0A0D" w:rsidR="00D96326" w:rsidP="00D96326" w:rsidRDefault="00745154" w14:paraId="67A4FAF4" w14:textId="58B988E8">
      <w:pPr>
        <w:pStyle w:val="zG02"/>
      </w:pPr>
      <w:r>
        <w:rPr>
          <w:b/>
          <w:bCs/>
        </w:rPr>
        <w:t>Declared Capacity.</w:t>
      </w:r>
      <w:r>
        <w:t xml:space="preserve"> </w:t>
      </w:r>
    </w:p>
    <w:p w:rsidRPr="006E0A0D" w:rsidR="00D96326" w:rsidP="00D96326" w:rsidRDefault="00745154" w14:paraId="3F3C4AB7" w14:textId="3C73D8C5">
      <w:pPr>
        <w:pStyle w:val="zG03"/>
      </w:pPr>
      <w:r>
        <w:rPr>
          <w:b/>
          <w:bCs/>
        </w:rPr>
        <w:t>Declared Capacity.</w:t>
      </w:r>
      <w:r>
        <w:rPr>
          <w:b/>
        </w:rPr>
        <w:t xml:space="preserve"> </w:t>
      </w:r>
      <w:r>
        <w:rPr>
          <w:bCs/>
        </w:rPr>
        <w:t>After the initial Tested Standard Reliable Capacity and Tested Winter Reliable Capacity are determined in accordance with Section 1.2 (</w:t>
      </w:r>
      <w:r>
        <w:rPr>
          <w:bCs/>
          <w:i/>
          <w:iCs/>
        </w:rPr>
        <w:t>Tested Reliable Capacity; Performance Tests</w:t>
      </w:r>
      <w:r>
        <w:rPr>
          <w:bCs/>
        </w:rPr>
        <w:t>), the following declared capacity values will be established based on the respective Tested Reliable Capacity values (subject to Section 1.3.B (</w:t>
      </w:r>
      <w:r>
        <w:rPr>
          <w:bCs/>
          <w:i/>
          <w:iCs/>
        </w:rPr>
        <w:t>Seller’s Election to Designate a Declared Capacity Below the Tested Capacity</w:t>
      </w:r>
      <w:r>
        <w:rPr>
          <w:bCs/>
        </w:rPr>
        <w:t>): (</w:t>
      </w:r>
      <w:proofErr w:type="spellStart"/>
      <w:r>
        <w:rPr>
          <w:bCs/>
        </w:rPr>
        <w:t>i</w:t>
      </w:r>
      <w:proofErr w:type="spellEnd"/>
      <w:r>
        <w:rPr>
          <w:bCs/>
        </w:rPr>
        <w:t>)</w:t>
      </w:r>
      <w:r>
        <w:t xml:space="preserve"> the “</w:t>
      </w:r>
      <w:r>
        <w:rPr>
          <w:b/>
          <w:bCs/>
        </w:rPr>
        <w:t>Declared Standard Capacity</w:t>
      </w:r>
      <w:r>
        <w:t>” will be deemed to be the Tested Standard Reliable Capacity; and (ii) the “</w:t>
      </w:r>
      <w:r>
        <w:rPr>
          <w:b/>
          <w:bCs/>
        </w:rPr>
        <w:t>Declared Winter Capacity</w:t>
      </w:r>
      <w:r>
        <w:t>” will be deemed to be the Tested Winter Reliable Capacity. However, despite any other provision in this PPA: (a) the Declared Standard Capacity may not exceed the Standard Capacity Cap; and (b) the Declared Winter Capacity may not exceed the Winter Capacity Cap.</w:t>
      </w:r>
    </w:p>
    <w:p w:rsidRPr="006E0A0D" w:rsidR="00D96326" w:rsidP="00D96326" w:rsidRDefault="00D96326" w14:paraId="070B33CA" w14:textId="1946DD48">
      <w:pPr>
        <w:pStyle w:val="zG03"/>
        <w:numPr>
          <w:ilvl w:val="0"/>
          <w:numId w:val="0"/>
        </w:numPr>
        <w:ind w:left="259"/>
      </w:pPr>
      <w:r>
        <w:t>If the Tested Standard Reliable Capacity under a Performance Test is greater than the then-effective Standard Capacity Cap, or the Tested Winter Reliable Capacity under a Performance Test is greater than the then-effective Winter Capacity Cap, and Seller does not offer, or GPC rejects an offer, to increase either or both of those Contracted Capacity Cap(s) to the new applicable Tested Reliable Capacity under Section 1.2 (</w:t>
      </w:r>
      <w:r>
        <w:rPr>
          <w:i/>
          <w:iCs/>
        </w:rPr>
        <w:t>Tested Reliable Capacity; Performance Tests</w:t>
      </w:r>
      <w:r>
        <w:t>), then with respect to those Contracted Capacity Cap(s), as applicable: (I) the Declared Standard Capacity will be deemed to be the Standard Capacity Cap, unless Seller designates a Declared Standard Capacity that does not exceed the Standard Capacity Cap, as set forth in Section 1.3.B; and (II) the Declared Winter Capacity will be deemed to be the Winter Capacity Cap, unless Seller designates a Declared Winter Capacity that does not exceed the Winter Capacity Cap, as set forth in Section 1.3.B.</w:t>
      </w:r>
    </w:p>
    <w:p w:rsidRPr="006E0A0D" w:rsidR="00D96326" w:rsidP="00D96326" w:rsidRDefault="00D96326" w14:paraId="53CE6FAC" w14:textId="306C966A">
      <w:pPr>
        <w:pStyle w:val="zG03"/>
      </w:pPr>
      <w:r>
        <w:rPr>
          <w:b/>
          <w:bCs/>
        </w:rPr>
        <w:t xml:space="preserve">Seller’s Election to Designate the Declared Capacity Less Than the Tested Capacity. </w:t>
      </w:r>
      <w:r>
        <w:t xml:space="preserve">By no later than 10 Business Days after establishment of the Tested Standard Reliable Capacity and Tested Winter Reliable </w:t>
      </w:r>
      <w:r>
        <w:lastRenderedPageBreak/>
        <w:t>Capacity through a Performance Test, Seller may elect, by notice to GPC, to designate: (</w:t>
      </w:r>
      <w:proofErr w:type="spellStart"/>
      <w:r>
        <w:t>i</w:t>
      </w:r>
      <w:proofErr w:type="spellEnd"/>
      <w:r>
        <w:t xml:space="preserve">) a Declared Standard Capacity that is less than the Tested Standard Reliable Capacity resulting from the Performance Test, so long as the Declared Standard Capacity does not exceed the </w:t>
      </w:r>
      <w:r>
        <w:rPr>
          <w:bCs/>
        </w:rPr>
        <w:t xml:space="preserve">Standard Capacity Cap; and (ii) a Declared Winter Capacity that is less than the Tested Winter Reliable Capacity, so long as the Declared Winter Capacity does not exceed the Winter Capacity Cap. If Seller does </w:t>
      </w:r>
      <w:proofErr w:type="gramStart"/>
      <w:r>
        <w:rPr>
          <w:bCs/>
        </w:rPr>
        <w:t>not so</w:t>
      </w:r>
      <w:proofErr w:type="gramEnd"/>
      <w:r>
        <w:rPr>
          <w:bCs/>
        </w:rPr>
        <w:t xml:space="preserve"> </w:t>
      </w:r>
      <w:r>
        <w:t xml:space="preserve">designate a Declared Standard Capacity or Declared Winter Capacity within </w:t>
      </w:r>
      <w:r>
        <w:rPr>
          <w:bCs/>
        </w:rPr>
        <w:t>the</w:t>
      </w:r>
      <w:r>
        <w:t xml:space="preserve"> 10 Business Days as described in the preceding sentence, those Declared Capacity values will be determined as set forth in Section 1.3.A (</w:t>
      </w:r>
      <w:r>
        <w:rPr>
          <w:i/>
          <w:iCs/>
        </w:rPr>
        <w:t>Declared Capacity</w:t>
      </w:r>
      <w:r>
        <w:t>).</w:t>
      </w:r>
    </w:p>
    <w:p w:rsidRPr="006E0A0D" w:rsidR="00D96326" w:rsidP="00D96326" w:rsidRDefault="00D96326" w14:paraId="3D17043A" w14:textId="50D32118">
      <w:pPr>
        <w:pStyle w:val="zG03"/>
      </w:pPr>
      <w:r>
        <w:rPr>
          <w:b/>
          <w:bCs/>
        </w:rPr>
        <w:t>Compliance with IA Reactive Power Purchase Requirements.</w:t>
      </w:r>
      <w:r>
        <w:t xml:space="preserve"> Despite any other provision in this PPA, if the IA requires Seller to produce reactive power for the Electric System, the Declared Capacity must not exceed the capability of the </w:t>
      </w:r>
      <w:r w:rsidR="006457DC">
        <w:t xml:space="preserve">Facility </w:t>
      </w:r>
      <w:r>
        <w:t>assuming that the maximum production of reactive power is being supplied to satisfy the IA requirements.</w:t>
      </w:r>
    </w:p>
    <w:p w:rsidRPr="006E0A0D" w:rsidR="00D96326" w:rsidP="00D96326" w:rsidRDefault="00D96326" w14:paraId="3709EF1A" w14:textId="269AA2A5">
      <w:pPr>
        <w:pStyle w:val="zG03"/>
      </w:pPr>
      <w:r>
        <w:rPr>
          <w:b/>
          <w:bCs/>
        </w:rPr>
        <w:t xml:space="preserve">Effectiveness of Changes to Declared Capacity. </w:t>
      </w:r>
      <w:r>
        <w:t xml:space="preserve">Any change to the Declared Capacity will take effect on the first day of the Month immediately after the Month in which the new Declared Capacity is determined and designated in accordance with </w:t>
      </w:r>
      <w:proofErr w:type="gramStart"/>
      <w:r>
        <w:t>this Section</w:t>
      </w:r>
      <w:proofErr w:type="gramEnd"/>
      <w:r>
        <w:t xml:space="preserve"> 1.3 (</w:t>
      </w:r>
      <w:r>
        <w:rPr>
          <w:i/>
          <w:iCs/>
        </w:rPr>
        <w:t>Declared Capacity</w:t>
      </w:r>
      <w:r>
        <w:t>).</w:t>
      </w:r>
    </w:p>
    <w:p w:rsidRPr="006E0A0D" w:rsidR="00D96326" w:rsidP="00D96326" w:rsidRDefault="00D96326" w14:paraId="13267D9B" w14:textId="5021FDED">
      <w:pPr>
        <w:pStyle w:val="zG03"/>
      </w:pPr>
      <w:r>
        <w:rPr>
          <w:b/>
          <w:bCs/>
        </w:rPr>
        <w:t xml:space="preserve">Capacity Shortfall Standard. </w:t>
      </w:r>
      <w:r>
        <w:t>Despite any provision in this PPA, this Section 1.3 (</w:t>
      </w:r>
      <w:r>
        <w:rPr>
          <w:i/>
          <w:iCs/>
        </w:rPr>
        <w:t>Declared Capacity</w:t>
      </w:r>
      <w:r>
        <w:t>) is subject to the determination of a Capacity Shortfall in accordance with PPA Section 4.1.7 (</w:t>
      </w:r>
      <w:r>
        <w:rPr>
          <w:i/>
          <w:iCs/>
        </w:rPr>
        <w:t>Capacity Shortfall</w:t>
      </w:r>
      <w:r>
        <w:t>).</w:t>
      </w:r>
    </w:p>
    <w:p w:rsidRPr="006E0A0D" w:rsidR="00D96326" w:rsidP="00D96326" w:rsidRDefault="00D96326" w14:paraId="06AA235F" w14:textId="5BA73FA8">
      <w:pPr>
        <w:pStyle w:val="zG02"/>
        <w:rPr>
          <w:b/>
          <w:bCs/>
          <w:snapToGrid w:val="0"/>
        </w:rPr>
      </w:pPr>
      <w:r>
        <w:rPr>
          <w:b/>
          <w:bCs/>
          <w:snapToGrid w:val="0"/>
        </w:rPr>
        <w:t xml:space="preserve">Tested Reliable Capacity Below Contracted Capacity Range; Capacity Buydown. </w:t>
      </w:r>
    </w:p>
    <w:p w:rsidRPr="006E0A0D" w:rsidR="00D96326" w:rsidP="00D96326" w:rsidRDefault="00D96326" w14:paraId="481BA710" w14:textId="1FC7678B">
      <w:pPr>
        <w:pStyle w:val="zG03"/>
        <w:rPr>
          <w:snapToGrid w:val="0"/>
        </w:rPr>
      </w:pPr>
      <w:r>
        <w:rPr>
          <w:b/>
          <w:bCs/>
          <w:snapToGrid w:val="0"/>
        </w:rPr>
        <w:t xml:space="preserve">Cure Plan and Cure Period. </w:t>
      </w:r>
      <w:r>
        <w:rPr>
          <w:snapToGrid w:val="0"/>
        </w:rPr>
        <w:t xml:space="preserve">In addition to and without limiting the remedies available to </w:t>
      </w:r>
      <w:r>
        <w:t xml:space="preserve">GPC </w:t>
      </w:r>
      <w:r>
        <w:rPr>
          <w:snapToGrid w:val="0"/>
        </w:rPr>
        <w:t>under PPA Section 16.1.9 (</w:t>
      </w:r>
      <w:r>
        <w:rPr>
          <w:i/>
          <w:iCs/>
        </w:rPr>
        <w:t>Inadequate Tested Reliable Capacity; Curing</w:t>
      </w:r>
      <w:r>
        <w:rPr>
          <w:snapToGrid w:val="0"/>
        </w:rPr>
        <w:t>), if a Performance Test indicates that the: (</w:t>
      </w:r>
      <w:proofErr w:type="spellStart"/>
      <w:r>
        <w:rPr>
          <w:snapToGrid w:val="0"/>
        </w:rPr>
        <w:t>i</w:t>
      </w:r>
      <w:proofErr w:type="spellEnd"/>
      <w:r>
        <w:rPr>
          <w:snapToGrid w:val="0"/>
        </w:rPr>
        <w:t xml:space="preserve">) Tested Standard Reliable Capacity is less than the lower end of the then-effective Standard Capacity Range but greater than or equal to 70% of the Nominal Standard Capability (or other applicable percentage if </w:t>
      </w:r>
      <w:r>
        <w:t xml:space="preserve">GPC </w:t>
      </w:r>
      <w:r>
        <w:rPr>
          <w:snapToGrid w:val="0"/>
        </w:rPr>
        <w:t xml:space="preserve">makes the election provided under PPA Section </w:t>
      </w:r>
      <w:r>
        <w:t>16.1.9(iii) (</w:t>
      </w:r>
      <w:r>
        <w:rPr>
          <w:i/>
          <w:iCs/>
        </w:rPr>
        <w:t>GPC’s Right to Select a Remedy</w:t>
      </w:r>
      <w:r>
        <w:t>)): or (ii) Tested Winter Reliable Capacity is less than the lower end of the then-effective Winter Capacity Range but greater than or equal to 70% of the Nominal Winter Capability (or other applicable percentage if GPC makes the election provided under PPA Section 16.1.9(iii))</w:t>
      </w:r>
      <w:r>
        <w:rPr>
          <w:snapToGrid w:val="0"/>
        </w:rPr>
        <w:t xml:space="preserve">, then Seller </w:t>
      </w:r>
      <w:r>
        <w:t xml:space="preserve">will </w:t>
      </w:r>
      <w:r>
        <w:rPr>
          <w:snapToGrid w:val="0"/>
        </w:rPr>
        <w:t xml:space="preserve">have 10 Days to submit to </w:t>
      </w:r>
      <w:r>
        <w:t xml:space="preserve">GPC </w:t>
      </w:r>
      <w:r>
        <w:rPr>
          <w:snapToGrid w:val="0"/>
        </w:rPr>
        <w:t xml:space="preserve">a cure plan for increasing the Facility’s capacity to a value equal to or greater than the lower limit of the then-effective applicable Contracted Capacity Range, which cure plan </w:t>
      </w:r>
      <w:r>
        <w:t xml:space="preserve">must </w:t>
      </w:r>
      <w:r>
        <w:rPr>
          <w:snapToGrid w:val="0"/>
        </w:rPr>
        <w:t xml:space="preserve">be reasonably acceptable to </w:t>
      </w:r>
      <w:r>
        <w:t xml:space="preserve">GPC </w:t>
      </w:r>
      <w:r>
        <w:rPr>
          <w:snapToGrid w:val="0"/>
        </w:rPr>
        <w:t>and include a reasonable cure period during which Seller may conduct additional Performance Tests. The cure period must</w:t>
      </w:r>
      <w:r>
        <w:t xml:space="preserve"> </w:t>
      </w:r>
      <w:r>
        <w:rPr>
          <w:snapToGrid w:val="0"/>
        </w:rPr>
        <w:t>not exceed 160 Days. For the avoidance of doubt, if the inadequate Tested Reliable Capacity is the Tested Standard Reliable Capacity, the applicable Contracted Capacity Range is the Standard Capacity Range, and if the inadequate Tested Reliable Capacity is the Tested Winter Reliable Capacity, the applicable Contracted Capacity Range is the Winter Capacity Range. If both the Tested Standard Reliable Capacity and the Tested Winter Reliable Capacity are inadequate, the requirements under this Section 1.4 (</w:t>
      </w:r>
      <w:r>
        <w:rPr>
          <w:i/>
          <w:iCs/>
          <w:snapToGrid w:val="0"/>
        </w:rPr>
        <w:t>Tested Reliable Capacity Below Contracted Capacity Range; Capacity Buydown</w:t>
      </w:r>
      <w:r>
        <w:rPr>
          <w:snapToGrid w:val="0"/>
        </w:rPr>
        <w:t>) apply with respect to both inadequate Tested Reliable Capacities.</w:t>
      </w:r>
    </w:p>
    <w:p w:rsidRPr="006E0A0D" w:rsidR="00D96326" w:rsidP="00D96326" w:rsidRDefault="00D96326" w14:paraId="67E4E973" w14:textId="7E1053C3">
      <w:pPr>
        <w:pStyle w:val="zG04"/>
        <w:rPr>
          <w:snapToGrid w:val="0"/>
        </w:rPr>
      </w:pPr>
      <w:r>
        <w:rPr>
          <w:b/>
          <w:bCs/>
          <w:snapToGrid w:val="0"/>
        </w:rPr>
        <w:t xml:space="preserve">Cure Period Extension. </w:t>
      </w:r>
      <w:r>
        <w:rPr>
          <w:snapToGrid w:val="0"/>
        </w:rPr>
        <w:t>If Seller establishes a cure plan under this Section 1.4.A (</w:t>
      </w:r>
      <w:r>
        <w:rPr>
          <w:i/>
          <w:iCs/>
          <w:snapToGrid w:val="0"/>
        </w:rPr>
        <w:t>Cure Plan and Cure Period</w:t>
      </w:r>
      <w:r>
        <w:rPr>
          <w:snapToGrid w:val="0"/>
        </w:rPr>
        <w:t xml:space="preserve">) but requires a cure period of more than 160 Days to cure the inadequate Tested Reliable Capacity, then the cure period will be extended for a reasonable additional </w:t>
      </w:r>
      <w:proofErr w:type="gramStart"/>
      <w:r>
        <w:rPr>
          <w:snapToGrid w:val="0"/>
        </w:rPr>
        <w:t>period of time</w:t>
      </w:r>
      <w:proofErr w:type="gramEnd"/>
      <w:r>
        <w:rPr>
          <w:snapToGrid w:val="0"/>
        </w:rPr>
        <w:t>, but the extension must not exceed 420 Days</w:t>
      </w:r>
      <w:r>
        <w:t xml:space="preserve">. As a condition to GPC granting the cure period extension, by no later than 15 Days before the expiration of the 160-Day cure period, Seller must provide to GPC: </w:t>
      </w:r>
    </w:p>
    <w:p w:rsidRPr="006E0A0D" w:rsidR="00D96326" w:rsidP="00D96326" w:rsidRDefault="00D96326" w14:paraId="53DCDC68" w14:textId="77777777">
      <w:pPr>
        <w:pStyle w:val="zG05"/>
        <w:rPr>
          <w:snapToGrid w:val="0"/>
        </w:rPr>
      </w:pPr>
      <w:r>
        <w:rPr>
          <w:snapToGrid w:val="0"/>
        </w:rPr>
        <w:t xml:space="preserve">A revised cure plan reasonably acceptable to </w:t>
      </w:r>
      <w:r>
        <w:t>GPC</w:t>
      </w:r>
      <w:r>
        <w:rPr>
          <w:snapToGrid w:val="0"/>
        </w:rPr>
        <w:t xml:space="preserve"> setting forth a reasonable extension of the cure period, not to exceed 420 </w:t>
      </w:r>
      <w:proofErr w:type="gramStart"/>
      <w:r>
        <w:rPr>
          <w:snapToGrid w:val="0"/>
        </w:rPr>
        <w:t>Days;</w:t>
      </w:r>
      <w:proofErr w:type="gramEnd"/>
      <w:r>
        <w:rPr>
          <w:snapToGrid w:val="0"/>
        </w:rPr>
        <w:t xml:space="preserve"> </w:t>
      </w:r>
    </w:p>
    <w:p w:rsidRPr="006E0A0D" w:rsidR="00D96326" w:rsidP="00D96326" w:rsidRDefault="00D96326" w14:paraId="5B0076BE" w14:textId="77777777">
      <w:pPr>
        <w:pStyle w:val="zG05"/>
        <w:rPr>
          <w:snapToGrid w:val="0"/>
        </w:rPr>
      </w:pPr>
      <w:r>
        <w:rPr>
          <w:snapToGrid w:val="0"/>
        </w:rPr>
        <w:t xml:space="preserve">A written certification reasonably acceptable to </w:t>
      </w:r>
      <w:r>
        <w:t xml:space="preserve">GPC </w:t>
      </w:r>
      <w:r>
        <w:rPr>
          <w:snapToGrid w:val="0"/>
        </w:rPr>
        <w:t xml:space="preserve">confirming that, for Seller to cure the inadequate Tested Reliable Capacity, Seller must be given a reasonable additional period; and </w:t>
      </w:r>
    </w:p>
    <w:p w:rsidRPr="006E0A0D" w:rsidR="00D96326" w:rsidP="00D96326" w:rsidRDefault="00D96326" w14:paraId="3BD8459E" w14:textId="5424C5EF">
      <w:pPr>
        <w:pStyle w:val="zG05"/>
        <w:rPr>
          <w:snapToGrid w:val="0"/>
        </w:rPr>
      </w:pPr>
      <w:r>
        <w:rPr>
          <w:snapToGrid w:val="0"/>
        </w:rPr>
        <w:t xml:space="preserve">Seller’s election for the extended cure period to cover (to the extent of the degraded capacity) </w:t>
      </w:r>
      <w:r>
        <w:t xml:space="preserve">GPC’s </w:t>
      </w:r>
      <w:r>
        <w:rPr>
          <w:snapToGrid w:val="0"/>
        </w:rPr>
        <w:t xml:space="preserve">Schedules through an Alternate Resource in accordance with PPA Section </w:t>
      </w:r>
      <w:r>
        <w:t>4</w:t>
      </w:r>
      <w:r>
        <w:rPr>
          <w:snapToGrid w:val="0"/>
        </w:rPr>
        <w:t>.1.4</w:t>
      </w:r>
      <w:r>
        <w:t>(iii) (</w:t>
      </w:r>
      <w:r>
        <w:rPr>
          <w:i/>
          <w:iCs/>
        </w:rPr>
        <w:t>Requirements for Exercising Delivery Right from an Alternate Resource</w:t>
      </w:r>
      <w:r>
        <w:t>)</w:t>
      </w:r>
      <w:r>
        <w:rPr>
          <w:snapToGrid w:val="0"/>
        </w:rPr>
        <w:t xml:space="preserve">.  </w:t>
      </w:r>
    </w:p>
    <w:p w:rsidRPr="006E0A0D" w:rsidR="00D96326" w:rsidP="00D96326" w:rsidRDefault="00D96326" w14:paraId="72F39C22" w14:textId="27F0C201">
      <w:pPr>
        <w:pStyle w:val="zG04"/>
        <w:numPr>
          <w:ilvl w:val="0"/>
          <w:numId w:val="0"/>
        </w:numPr>
        <w:ind w:left="504"/>
        <w:rPr>
          <w:snapToGrid w:val="0"/>
        </w:rPr>
      </w:pPr>
      <w:r>
        <w:rPr>
          <w:snapToGrid w:val="0"/>
        </w:rPr>
        <w:t xml:space="preserve">The total duration of any cure period, as extended, </w:t>
      </w:r>
      <w:r>
        <w:t xml:space="preserve">may </w:t>
      </w:r>
      <w:r>
        <w:rPr>
          <w:snapToGrid w:val="0"/>
        </w:rPr>
        <w:t xml:space="preserve">not exceed 540 Days. </w:t>
      </w:r>
    </w:p>
    <w:p w:rsidRPr="00462C5D" w:rsidR="00D96326" w:rsidP="00D96326" w:rsidRDefault="00D96326" w14:paraId="06B9A71C" w14:textId="0AC32B07">
      <w:pPr>
        <w:pStyle w:val="zG03"/>
        <w:rPr>
          <w:snapToGrid w:val="0"/>
        </w:rPr>
      </w:pPr>
      <w:r>
        <w:rPr>
          <w:b/>
          <w:bCs/>
          <w:snapToGrid w:val="0"/>
        </w:rPr>
        <w:t xml:space="preserve">Cured Inadequate Tested Reliable Capacity. </w:t>
      </w:r>
      <w:r>
        <w:rPr>
          <w:snapToGrid w:val="0"/>
        </w:rPr>
        <w:t xml:space="preserve">The inadequate Tested Reliable Capacity </w:t>
      </w:r>
      <w:r>
        <w:t xml:space="preserve">will </w:t>
      </w:r>
      <w:r>
        <w:rPr>
          <w:snapToGrid w:val="0"/>
        </w:rPr>
        <w:t>be deemed cured under this Section 1.4 (</w:t>
      </w:r>
      <w:r>
        <w:rPr>
          <w:i/>
          <w:iCs/>
          <w:snapToGrid w:val="0"/>
        </w:rPr>
        <w:t>Tested Reliable Capacity Below Contracted Capacity Range; Capacity Buydown</w:t>
      </w:r>
      <w:r>
        <w:rPr>
          <w:snapToGrid w:val="0"/>
        </w:rPr>
        <w:t xml:space="preserve">) </w:t>
      </w:r>
      <w:r>
        <w:rPr>
          <w:snapToGrid w:val="0"/>
        </w:rPr>
        <w:lastRenderedPageBreak/>
        <w:t>only if: (</w:t>
      </w:r>
      <w:proofErr w:type="spellStart"/>
      <w:r>
        <w:rPr>
          <w:snapToGrid w:val="0"/>
        </w:rPr>
        <w:t>i</w:t>
      </w:r>
      <w:proofErr w:type="spellEnd"/>
      <w:r>
        <w:rPr>
          <w:snapToGrid w:val="0"/>
        </w:rPr>
        <w:t xml:space="preserve">) Seller provides </w:t>
      </w:r>
      <w:r>
        <w:t xml:space="preserve">GPC </w:t>
      </w:r>
      <w:r>
        <w:rPr>
          <w:snapToGrid w:val="0"/>
        </w:rPr>
        <w:t xml:space="preserve">with a written certification reasonably acceptable to </w:t>
      </w:r>
      <w:r>
        <w:t xml:space="preserve">GPC </w:t>
      </w:r>
      <w:r>
        <w:rPr>
          <w:snapToGrid w:val="0"/>
        </w:rPr>
        <w:t>confirming that the inadequate Tested Reliable Capacity has been cured; and (ii) the Tested Reliable Capacity, as demonstrated by the most recent Performance Test, is increased to a value equal to or greater than the lower limit of the applicable Contracted Capacity Range then in effect.</w:t>
      </w:r>
      <w:r>
        <w:t xml:space="preserve"> </w:t>
      </w:r>
      <w:r>
        <w:rPr>
          <w:snapToGrid w:val="0"/>
        </w:rPr>
        <w:t xml:space="preserve">Throughout the duration of any cure period, the applicable Declared Capacity will be deemed to be the applicable Tested Reliable Capacity determined </w:t>
      </w:r>
      <w:r>
        <w:t>in accordance with</w:t>
      </w:r>
      <w:r>
        <w:rPr>
          <w:snapToGrid w:val="0"/>
        </w:rPr>
        <w:t xml:space="preserve"> the most recent Performance Test. </w:t>
      </w:r>
      <w:r>
        <w:rPr>
          <w:szCs w:val="24"/>
          <w:shd w:val="clear" w:color="auto" w:fill="FFFFFF"/>
        </w:rPr>
        <w:t>For the avoidance of doubt, if the inadequate Tested Reliable Capacity is the Tested Standard Reliable Capacity, the Declared Standard Capacity will be deemed to be the Tested Standard Reliable Capacity determined in accordance with the most recent Performance Test, and if the inadequate Tested Reliable Capacity is the Tested Winter Reliable Capacity, the Declared Winter Capacity will be deemed to be the Tested Winter Reliable Capacity determined in accordance with the most recent Performance Test.</w:t>
      </w:r>
    </w:p>
    <w:p w:rsidRPr="009019D2" w:rsidR="00D40E29" w:rsidP="00D40E29" w:rsidRDefault="00D96326" w14:paraId="739C053E" w14:textId="6A97BE86">
      <w:pPr>
        <w:pStyle w:val="zG03"/>
        <w:tabs>
          <w:tab w:val="num" w:pos="497"/>
        </w:tabs>
        <w:ind w:left="180"/>
      </w:pPr>
      <w:r>
        <w:rPr>
          <w:b/>
          <w:bCs/>
          <w:snapToGrid w:val="0"/>
        </w:rPr>
        <w:t>Buydown Liquidated Damages.</w:t>
      </w:r>
      <w:r>
        <w:rPr>
          <w:snapToGrid w:val="0"/>
        </w:rPr>
        <w:t xml:space="preserve"> If Seller fails to: (</w:t>
      </w:r>
      <w:proofErr w:type="spellStart"/>
      <w:r>
        <w:rPr>
          <w:snapToGrid w:val="0"/>
        </w:rPr>
        <w:t>i</w:t>
      </w:r>
      <w:proofErr w:type="spellEnd"/>
      <w:r>
        <w:rPr>
          <w:snapToGrid w:val="0"/>
        </w:rPr>
        <w:t>) establish the cure plan within the required 10-Day period set forth in Section 1.4.A (</w:t>
      </w:r>
      <w:r>
        <w:rPr>
          <w:i/>
          <w:iCs/>
          <w:snapToGrid w:val="0"/>
        </w:rPr>
        <w:t>Cure Plan and Cure Period</w:t>
      </w:r>
      <w:r>
        <w:rPr>
          <w:snapToGrid w:val="0"/>
        </w:rPr>
        <w:t>) or, if applicable, establish the revised cure plan within the required 15-Day period set forth in Section 1.4.A(</w:t>
      </w:r>
      <w:proofErr w:type="spellStart"/>
      <w:r>
        <w:rPr>
          <w:snapToGrid w:val="0"/>
        </w:rPr>
        <w:t>i</w:t>
      </w:r>
      <w:proofErr w:type="spellEnd"/>
      <w:r>
        <w:rPr>
          <w:snapToGrid w:val="0"/>
        </w:rPr>
        <w:t>) (</w:t>
      </w:r>
      <w:r>
        <w:rPr>
          <w:i/>
          <w:iCs/>
          <w:snapToGrid w:val="0"/>
        </w:rPr>
        <w:t>Cure Period Extension</w:t>
      </w:r>
      <w:r>
        <w:rPr>
          <w:snapToGrid w:val="0"/>
        </w:rPr>
        <w:t xml:space="preserve">) for a cure period extension; (ii) diligently implement the cure plan (including implementation of actions as </w:t>
      </w:r>
      <w:r>
        <w:t>GPC</w:t>
      </w:r>
      <w:r>
        <w:rPr>
          <w:snapToGrid w:val="0"/>
        </w:rPr>
        <w:t xml:space="preserve"> may reasonably request); or (iii) cure the inadequate Tested Reliable Capacity within the applicable cure period, then Seller </w:t>
      </w:r>
      <w:r>
        <w:t>must</w:t>
      </w:r>
      <w:r>
        <w:rPr>
          <w:snapToGrid w:val="0"/>
        </w:rPr>
        <w:t xml:space="preserve"> pay </w:t>
      </w:r>
      <w:r>
        <w:t>GPC</w:t>
      </w:r>
      <w:r>
        <w:rPr>
          <w:snapToGrid w:val="0"/>
        </w:rPr>
        <w:t>, as liquidated damages, the buydown payment for the corresponding Annual Period as shown in Table B-1 (</w:t>
      </w:r>
      <w:r>
        <w:rPr>
          <w:i/>
          <w:iCs/>
          <w:snapToGrid w:val="0"/>
        </w:rPr>
        <w:t>Buydown Payment for Capacity Reduction Below Minimum Guarantee</w:t>
      </w:r>
      <w:r>
        <w:rPr>
          <w:snapToGrid w:val="0"/>
        </w:rPr>
        <w:t>) corresponding to the Annual Period immediately following the Annual Period in which the most recent Performance Test was conducted, based on the difference (in kW) between (</w:t>
      </w:r>
      <w:proofErr w:type="spellStart"/>
      <w:r>
        <w:rPr>
          <w:snapToGrid w:val="0"/>
        </w:rPr>
        <w:t>i</w:t>
      </w:r>
      <w:proofErr w:type="spellEnd"/>
      <w:r>
        <w:rPr>
          <w:snapToGrid w:val="0"/>
        </w:rPr>
        <w:t>) the then-effective lower limit of the Standard Capacity Range and the then-effective Tested Standard Reliable Capacity; or (ii) the then-effective lower limit of the Winter Capacity Range and the then-effective Tested Winter Reliable Capacity, as applicable; provided however, that if both the Tested Standard Reliable Capacity and the Tested Winter Reliable Capacity are inadequate, then Seller shall pay to GPC the liquidated damages buydown payment shown in Table B-1 for whichever of the foregoing (</w:t>
      </w:r>
      <w:proofErr w:type="spellStart"/>
      <w:r>
        <w:rPr>
          <w:snapToGrid w:val="0"/>
        </w:rPr>
        <w:t>i</w:t>
      </w:r>
      <w:proofErr w:type="spellEnd"/>
      <w:r>
        <w:rPr>
          <w:snapToGrid w:val="0"/>
        </w:rPr>
        <w:t>) or (ii) results in the higher amount of buydown liquidated damages. Additionally, upon Seller making the required buydown payment under this Section 1.4.C</w:t>
      </w:r>
      <w:r>
        <w:t xml:space="preserve"> (</w:t>
      </w:r>
      <w:r>
        <w:rPr>
          <w:i/>
        </w:rPr>
        <w:t>Buydown Liquidated Damages</w:t>
      </w:r>
      <w:r>
        <w:t>)</w:t>
      </w:r>
      <w:r>
        <w:rPr>
          <w:snapToGrid w:val="0"/>
        </w:rPr>
        <w:t xml:space="preserve">: (a) the lower limit of the then-effective applicable Contracted Capacity Range </w:t>
      </w:r>
      <w:r>
        <w:t>will</w:t>
      </w:r>
      <w:r>
        <w:rPr>
          <w:snapToGrid w:val="0"/>
        </w:rPr>
        <w:t xml:space="preserve"> be reset at the applicable Tested Reliable Capacity demonstrated in the most recent Performance Test; and (b) the upper limit of the then-effective applicable Contracted Capacity Range will be lowered by the same amount that the lower limit has been reduced. However, any resetting of the lower and upper limits of that Contracted Capacity Range </w:t>
      </w:r>
      <w:r>
        <w:t>will</w:t>
      </w:r>
      <w:r>
        <w:rPr>
          <w:snapToGrid w:val="0"/>
        </w:rPr>
        <w:t xml:space="preserve"> not limit or modify GPC’s rights or remedies under PPA Section 16.1.9 (</w:t>
      </w:r>
      <w:r>
        <w:rPr>
          <w:i/>
          <w:iCs/>
          <w:snapToGrid w:val="0"/>
        </w:rPr>
        <w:t>Inadequate Tested Reliable Capacity; Curing</w:t>
      </w:r>
      <w:r>
        <w:rPr>
          <w:snapToGrid w:val="0"/>
        </w:rPr>
        <w:t xml:space="preserve">). Subject to PPA Section 16.1.9, Seller’s payment of buydown liquidated damages </w:t>
      </w:r>
      <w:r>
        <w:t>in accordance with</w:t>
      </w:r>
      <w:r>
        <w:rPr>
          <w:snapToGrid w:val="0"/>
        </w:rPr>
        <w:t xml:space="preserve"> this Section 1.4.C </w:t>
      </w:r>
      <w:r>
        <w:t>will</w:t>
      </w:r>
      <w:r>
        <w:rPr>
          <w:snapToGrid w:val="0"/>
        </w:rPr>
        <w:t xml:space="preserve"> be GPC’s sole remedy for a reduction of any Tested Reliable Capacity below the lower end of the then-effective applicable Contracted Capacity Range.</w:t>
      </w:r>
    </w:p>
    <w:p w:rsidRPr="005E6A06" w:rsidR="005E6A06" w:rsidP="005E6A06" w:rsidRDefault="005E6A06" w14:paraId="4694B21A" w14:textId="5A4A8075">
      <w:pPr>
        <w:pStyle w:val="zGNormal"/>
        <w:rPr>
          <w:b/>
          <w:bCs/>
          <w:snapToGrid w:val="0"/>
        </w:rPr>
      </w:pPr>
      <w:r>
        <w:rPr>
          <w:b/>
          <w:bCs/>
          <w:highlight w:val="cyan"/>
        </w:rPr>
        <w:t>[</w:t>
      </w:r>
      <w:r>
        <w:rPr>
          <w:b/>
          <w:bCs/>
          <w:i/>
          <w:iCs/>
          <w:highlight w:val="cyan"/>
          <w:u w:val="single"/>
        </w:rPr>
        <w:t>Note to Bidders</w:t>
      </w:r>
      <w:r>
        <w:rPr>
          <w:b/>
          <w:bCs/>
          <w:i/>
          <w:iCs/>
          <w:highlight w:val="cyan"/>
        </w:rPr>
        <w:t>: Table B-1 will be populated using the applicable amounts stated in Attachment 1 (Performance Security and Liquidated Damages Summary) of RFP Exhibit D (Summary of Fees, Costs, Security, and Deadlines).</w:t>
      </w:r>
      <w:r>
        <w:rPr>
          <w:b/>
          <w:bCs/>
          <w:highlight w:val="cyan"/>
        </w:rPr>
        <w:t>]</w:t>
      </w:r>
    </w:p>
    <w:p w:rsidRPr="009019D2" w:rsidR="002B7571" w:rsidP="005E6A06" w:rsidRDefault="002B7571" w14:paraId="13B169E5" w14:textId="77777777">
      <w:pPr>
        <w:pStyle w:val="zG03"/>
        <w:numPr>
          <w:ilvl w:val="0"/>
          <w:numId w:val="0"/>
        </w:numPr>
        <w:ind w:left="180"/>
        <w:rPr>
          <w:snapToGrid w:val="0"/>
        </w:rPr>
      </w:pPr>
    </w:p>
    <w:tbl>
      <w:tblPr>
        <w:tblStyle w:val="TableGrid"/>
        <w:tblW w:w="0" w:type="auto"/>
        <w:tblInd w:w="13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800"/>
        <w:gridCol w:w="4770"/>
      </w:tblGrid>
      <w:tr w:rsidR="00227F47" w:rsidTr="003B6531" w14:paraId="5250B515" w14:textId="77777777">
        <w:tc>
          <w:tcPr>
            <w:tcW w:w="6570" w:type="dxa"/>
            <w:gridSpan w:val="2"/>
            <w:shd w:val="clear" w:color="auto" w:fill="D9D9D9" w:themeFill="background1" w:themeFillShade="D9"/>
          </w:tcPr>
          <w:p w:rsidRPr="004B6C20" w:rsidR="00227F47" w:rsidP="00227F47" w:rsidRDefault="00227F47" w14:paraId="51EDA47C" w14:textId="119AF4E3">
            <w:pPr>
              <w:adjustRightInd w:val="0"/>
              <w:spacing w:before="0"/>
              <w:jc w:val="center"/>
              <w:textAlignment w:val="baseline"/>
              <w:rPr>
                <w:rFonts w:eastAsia="Times New Roman" w:cs="Arial"/>
                <w:b/>
                <w:bCs/>
              </w:rPr>
            </w:pPr>
            <w:r>
              <w:rPr>
                <w:rFonts w:eastAsia="Times New Roman" w:cs="Arial"/>
                <w:b/>
                <w:bCs/>
              </w:rPr>
              <w:t>Table B-1</w:t>
            </w:r>
          </w:p>
          <w:p w:rsidRPr="004B6C20" w:rsidR="00227F47" w:rsidP="00227F47" w:rsidRDefault="00227F47" w14:paraId="408891DD" w14:textId="24CC080F">
            <w:pPr>
              <w:adjustRightInd w:val="0"/>
              <w:spacing w:before="0"/>
              <w:jc w:val="center"/>
              <w:textAlignment w:val="baseline"/>
              <w:rPr>
                <w:rFonts w:eastAsia="Times New Roman" w:cs="Arial"/>
                <w:b/>
                <w:bCs/>
              </w:rPr>
            </w:pPr>
            <w:r>
              <w:rPr>
                <w:rFonts w:eastAsia="Times New Roman" w:cs="Arial"/>
                <w:b/>
                <w:bCs/>
              </w:rPr>
              <w:t>Buydown Payment for Capacity Reduction Below Minimum Guarantee</w:t>
            </w:r>
          </w:p>
        </w:tc>
      </w:tr>
      <w:tr w:rsidR="00D40E29" w:rsidTr="003B6531" w14:paraId="5CB62A24" w14:textId="77777777">
        <w:tc>
          <w:tcPr>
            <w:tcW w:w="1800" w:type="dxa"/>
            <w:shd w:val="clear" w:color="auto" w:fill="F2F2F2" w:themeFill="background1" w:themeFillShade="F2"/>
          </w:tcPr>
          <w:p w:rsidRPr="004B6C20" w:rsidR="00D40E29" w:rsidRDefault="00D40E29" w14:paraId="1BE857D1" w14:textId="77777777">
            <w:pPr>
              <w:adjustRightInd w:val="0"/>
              <w:spacing w:before="0" w:line="360" w:lineRule="atLeast"/>
              <w:jc w:val="center"/>
              <w:textAlignment w:val="baseline"/>
              <w:rPr>
                <w:rFonts w:eastAsia="Times New Roman" w:cs="Arial"/>
                <w:b/>
                <w:bCs/>
              </w:rPr>
            </w:pPr>
            <w:r>
              <w:rPr>
                <w:rFonts w:eastAsia="Times New Roman" w:cs="Arial"/>
                <w:b/>
                <w:bCs/>
              </w:rPr>
              <w:t xml:space="preserve">Annual Period </w:t>
            </w:r>
          </w:p>
        </w:tc>
        <w:tc>
          <w:tcPr>
            <w:tcW w:w="4770" w:type="dxa"/>
            <w:shd w:val="clear" w:color="auto" w:fill="F2F2F2" w:themeFill="background1" w:themeFillShade="F2"/>
          </w:tcPr>
          <w:p w:rsidRPr="004B6C20" w:rsidR="00D40E29" w:rsidRDefault="00D40E29" w14:paraId="3B7D9B28" w14:textId="489C9649">
            <w:pPr>
              <w:adjustRightInd w:val="0"/>
              <w:spacing w:before="0" w:line="360" w:lineRule="atLeast"/>
              <w:jc w:val="center"/>
              <w:textAlignment w:val="baseline"/>
              <w:rPr>
                <w:rFonts w:eastAsia="Times New Roman" w:cs="Arial"/>
                <w:b/>
                <w:bCs/>
              </w:rPr>
            </w:pPr>
            <w:r>
              <w:rPr>
                <w:rFonts w:eastAsia="Times New Roman" w:cs="Arial"/>
                <w:b/>
                <w:bCs/>
              </w:rPr>
              <w:t>Buydown Payment ($/kW)</w:t>
            </w:r>
          </w:p>
        </w:tc>
      </w:tr>
      <w:tr w:rsidR="00D40E29" w:rsidTr="003B6531" w14:paraId="55D2CFF5" w14:textId="77777777">
        <w:tc>
          <w:tcPr>
            <w:tcW w:w="1800" w:type="dxa"/>
          </w:tcPr>
          <w:p w:rsidR="00D40E29" w:rsidRDefault="00D40E29" w14:paraId="537B9466" w14:textId="77777777">
            <w:pPr>
              <w:adjustRightInd w:val="0"/>
              <w:spacing w:before="0" w:line="360" w:lineRule="atLeast"/>
              <w:jc w:val="center"/>
              <w:textAlignment w:val="baseline"/>
              <w:rPr>
                <w:rFonts w:eastAsia="Times New Roman" w:cs="Arial"/>
              </w:rPr>
            </w:pPr>
            <w:r>
              <w:rPr>
                <w:rFonts w:eastAsia="Times New Roman" w:cs="Arial"/>
              </w:rPr>
              <w:t>1-5</w:t>
            </w:r>
          </w:p>
        </w:tc>
        <w:tc>
          <w:tcPr>
            <w:tcW w:w="4770" w:type="dxa"/>
          </w:tcPr>
          <w:p w:rsidR="00D40E29" w:rsidRDefault="00D40E29" w14:paraId="46F8E76B" w14:textId="77777777">
            <w:pPr>
              <w:adjustRightInd w:val="0"/>
              <w:spacing w:before="0" w:line="360" w:lineRule="atLeast"/>
              <w:jc w:val="center"/>
              <w:textAlignment w:val="baseline"/>
              <w:rPr>
                <w:rFonts w:eastAsia="Times New Roman" w:cs="Arial"/>
              </w:rPr>
            </w:pPr>
            <w:r>
              <w:rPr>
                <w:rFonts w:eastAsia="Times New Roman" w:cs="Arial"/>
                <w:highlight w:val="yellow"/>
              </w:rPr>
              <w:t>#Amount</w:t>
            </w:r>
          </w:p>
        </w:tc>
      </w:tr>
      <w:tr w:rsidR="00D40E29" w:rsidTr="003B6531" w14:paraId="2BF4D63D" w14:textId="77777777">
        <w:tc>
          <w:tcPr>
            <w:tcW w:w="1800" w:type="dxa"/>
          </w:tcPr>
          <w:p w:rsidR="00D40E29" w:rsidRDefault="00D40E29" w14:paraId="1380CCEA" w14:textId="77777777">
            <w:pPr>
              <w:adjustRightInd w:val="0"/>
              <w:spacing w:before="0" w:line="360" w:lineRule="atLeast"/>
              <w:jc w:val="center"/>
              <w:textAlignment w:val="baseline"/>
              <w:rPr>
                <w:rFonts w:eastAsia="Times New Roman" w:cs="Arial"/>
              </w:rPr>
            </w:pPr>
            <w:r>
              <w:rPr>
                <w:rFonts w:eastAsia="Times New Roman" w:cs="Arial"/>
                <w:highlight w:val="yellow"/>
              </w:rPr>
              <w:t>#6-10</w:t>
            </w:r>
          </w:p>
        </w:tc>
        <w:tc>
          <w:tcPr>
            <w:tcW w:w="4770" w:type="dxa"/>
          </w:tcPr>
          <w:p w:rsidR="00D40E29" w:rsidRDefault="00D40E29" w14:paraId="4F41D77E" w14:textId="77777777">
            <w:pPr>
              <w:adjustRightInd w:val="0"/>
              <w:spacing w:before="0" w:line="360" w:lineRule="atLeast"/>
              <w:jc w:val="center"/>
              <w:textAlignment w:val="baseline"/>
              <w:rPr>
                <w:rFonts w:eastAsia="Times New Roman" w:cs="Arial"/>
              </w:rPr>
            </w:pPr>
            <w:r>
              <w:rPr>
                <w:rFonts w:eastAsia="Times New Roman" w:cs="Arial"/>
                <w:highlight w:val="yellow"/>
              </w:rPr>
              <w:t>#Amount</w:t>
            </w:r>
          </w:p>
        </w:tc>
      </w:tr>
      <w:tr w:rsidR="00D40E29" w:rsidTr="003B6531" w14:paraId="288983A8" w14:textId="77777777">
        <w:tc>
          <w:tcPr>
            <w:tcW w:w="1800" w:type="dxa"/>
          </w:tcPr>
          <w:p w:rsidR="00D40E29" w:rsidRDefault="00D40E29" w14:paraId="6ACBB75A" w14:textId="77777777">
            <w:pPr>
              <w:adjustRightInd w:val="0"/>
              <w:spacing w:before="0" w:line="360" w:lineRule="atLeast"/>
              <w:jc w:val="center"/>
              <w:textAlignment w:val="baseline"/>
              <w:rPr>
                <w:rFonts w:eastAsia="Times New Roman" w:cs="Arial"/>
              </w:rPr>
            </w:pPr>
            <w:r>
              <w:rPr>
                <w:rFonts w:eastAsia="Times New Roman" w:cs="Arial"/>
                <w:highlight w:val="yellow"/>
              </w:rPr>
              <w:t>#11-15</w:t>
            </w:r>
          </w:p>
        </w:tc>
        <w:tc>
          <w:tcPr>
            <w:tcW w:w="4770" w:type="dxa"/>
          </w:tcPr>
          <w:p w:rsidR="00D40E29" w:rsidRDefault="00D40E29" w14:paraId="2445E5B1" w14:textId="77777777">
            <w:pPr>
              <w:adjustRightInd w:val="0"/>
              <w:spacing w:before="0" w:line="360" w:lineRule="atLeast"/>
              <w:jc w:val="center"/>
              <w:textAlignment w:val="baseline"/>
              <w:rPr>
                <w:rFonts w:eastAsia="Times New Roman" w:cs="Arial"/>
              </w:rPr>
            </w:pPr>
            <w:r>
              <w:rPr>
                <w:rFonts w:eastAsia="Times New Roman" w:cs="Arial"/>
                <w:highlight w:val="yellow"/>
              </w:rPr>
              <w:t>#Amount</w:t>
            </w:r>
          </w:p>
        </w:tc>
      </w:tr>
      <w:tr w:rsidR="00D40E29" w:rsidTr="003B6531" w14:paraId="1944CCCF" w14:textId="77777777">
        <w:tc>
          <w:tcPr>
            <w:tcW w:w="1800" w:type="dxa"/>
          </w:tcPr>
          <w:p w:rsidR="00D40E29" w:rsidRDefault="00D40E29" w14:paraId="3E8C7B07" w14:textId="77777777">
            <w:pPr>
              <w:adjustRightInd w:val="0"/>
              <w:spacing w:before="0" w:line="360" w:lineRule="atLeast"/>
              <w:jc w:val="center"/>
              <w:textAlignment w:val="baseline"/>
              <w:rPr>
                <w:rFonts w:eastAsia="Times New Roman" w:cs="Arial"/>
              </w:rPr>
            </w:pPr>
            <w:r>
              <w:rPr>
                <w:rFonts w:eastAsia="Times New Roman" w:cs="Arial"/>
                <w:highlight w:val="yellow"/>
              </w:rPr>
              <w:t>#16-20</w:t>
            </w:r>
          </w:p>
        </w:tc>
        <w:tc>
          <w:tcPr>
            <w:tcW w:w="4770" w:type="dxa"/>
          </w:tcPr>
          <w:p w:rsidR="00D40E29" w:rsidRDefault="00D40E29" w14:paraId="2E58A1D2" w14:textId="77777777">
            <w:pPr>
              <w:adjustRightInd w:val="0"/>
              <w:spacing w:before="0" w:line="360" w:lineRule="atLeast"/>
              <w:jc w:val="center"/>
              <w:textAlignment w:val="baseline"/>
              <w:rPr>
                <w:rFonts w:eastAsia="Times New Roman" w:cs="Arial"/>
              </w:rPr>
            </w:pPr>
            <w:r>
              <w:rPr>
                <w:rFonts w:eastAsia="Times New Roman" w:cs="Arial"/>
                <w:highlight w:val="yellow"/>
              </w:rPr>
              <w:t>#Amount</w:t>
            </w:r>
          </w:p>
        </w:tc>
      </w:tr>
      <w:tr w:rsidR="001B0687" w:rsidTr="003B6531" w14:paraId="5D962046" w14:textId="77777777">
        <w:tc>
          <w:tcPr>
            <w:tcW w:w="1800" w:type="dxa"/>
          </w:tcPr>
          <w:p w:rsidRPr="004B6C20" w:rsidR="001B0687" w:rsidP="001B0687" w:rsidRDefault="001B0687" w14:paraId="2C9106C8" w14:textId="446FC75B">
            <w:pPr>
              <w:adjustRightInd w:val="0"/>
              <w:spacing w:before="0" w:line="360" w:lineRule="atLeast"/>
              <w:jc w:val="center"/>
              <w:textAlignment w:val="baseline"/>
              <w:rPr>
                <w:rFonts w:eastAsia="Times New Roman" w:cs="Arial"/>
                <w:highlight w:val="yellow"/>
              </w:rPr>
            </w:pPr>
            <w:r>
              <w:rPr>
                <w:rFonts w:eastAsia="Times New Roman" w:cs="Arial"/>
                <w:highlight w:val="yellow"/>
              </w:rPr>
              <w:t>#21-25</w:t>
            </w:r>
          </w:p>
        </w:tc>
        <w:tc>
          <w:tcPr>
            <w:tcW w:w="4770" w:type="dxa"/>
          </w:tcPr>
          <w:p w:rsidRPr="004B6C20" w:rsidR="001B0687" w:rsidP="001B0687" w:rsidRDefault="001B0687" w14:paraId="52BDFCBF" w14:textId="7FFB3589">
            <w:pPr>
              <w:adjustRightInd w:val="0"/>
              <w:spacing w:before="0" w:line="360" w:lineRule="atLeast"/>
              <w:jc w:val="center"/>
              <w:textAlignment w:val="baseline"/>
              <w:rPr>
                <w:rFonts w:eastAsia="Times New Roman" w:cs="Arial"/>
                <w:highlight w:val="yellow"/>
              </w:rPr>
            </w:pPr>
            <w:r>
              <w:rPr>
                <w:rFonts w:eastAsia="Times New Roman" w:cs="Arial"/>
                <w:highlight w:val="yellow"/>
              </w:rPr>
              <w:t>#Amount</w:t>
            </w:r>
          </w:p>
        </w:tc>
      </w:tr>
      <w:tr w:rsidR="001B0687" w:rsidTr="003B6531" w14:paraId="12F93A47" w14:textId="77777777">
        <w:tc>
          <w:tcPr>
            <w:tcW w:w="1800" w:type="dxa"/>
          </w:tcPr>
          <w:p w:rsidRPr="004B6C20" w:rsidR="001B0687" w:rsidP="001B0687" w:rsidRDefault="001B0687" w14:paraId="0CB5BCEE" w14:textId="75CDC284">
            <w:pPr>
              <w:adjustRightInd w:val="0"/>
              <w:spacing w:before="0" w:line="360" w:lineRule="atLeast"/>
              <w:jc w:val="center"/>
              <w:textAlignment w:val="baseline"/>
              <w:rPr>
                <w:rFonts w:eastAsia="Times New Roman" w:cs="Arial"/>
                <w:highlight w:val="yellow"/>
              </w:rPr>
            </w:pPr>
            <w:r>
              <w:rPr>
                <w:rFonts w:eastAsia="Times New Roman" w:cs="Arial"/>
                <w:highlight w:val="yellow"/>
              </w:rPr>
              <w:t>#26-30</w:t>
            </w:r>
          </w:p>
        </w:tc>
        <w:tc>
          <w:tcPr>
            <w:tcW w:w="4770" w:type="dxa"/>
          </w:tcPr>
          <w:p w:rsidRPr="004B6C20" w:rsidR="001B0687" w:rsidP="001B0687" w:rsidRDefault="001B0687" w14:paraId="331DA2BF" w14:textId="3C12FB7E">
            <w:pPr>
              <w:adjustRightInd w:val="0"/>
              <w:spacing w:before="0" w:line="360" w:lineRule="atLeast"/>
              <w:jc w:val="center"/>
              <w:textAlignment w:val="baseline"/>
              <w:rPr>
                <w:rFonts w:eastAsia="Times New Roman" w:cs="Arial"/>
                <w:highlight w:val="yellow"/>
              </w:rPr>
            </w:pPr>
            <w:r>
              <w:rPr>
                <w:rFonts w:eastAsia="Times New Roman" w:cs="Arial"/>
                <w:highlight w:val="yellow"/>
              </w:rPr>
              <w:t>#Amount</w:t>
            </w:r>
          </w:p>
        </w:tc>
      </w:tr>
    </w:tbl>
    <w:p w:rsidRPr="00396F9B" w:rsidR="00D96326" w:rsidP="003139EF" w:rsidRDefault="00D96326" w14:paraId="1B4CA03C" w14:textId="7F71DAAA">
      <w:pPr>
        <w:pStyle w:val="zG03"/>
        <w:numPr>
          <w:ilvl w:val="0"/>
          <w:numId w:val="0"/>
        </w:numPr>
      </w:pPr>
    </w:p>
    <w:p w:rsidR="00D96326" w:rsidP="00D96326" w:rsidRDefault="00D96326" w14:paraId="65ABE713" w14:textId="4EA98596">
      <w:pPr>
        <w:pStyle w:val="zG03"/>
        <w:numPr>
          <w:ilvl w:val="0"/>
          <w:numId w:val="0"/>
        </w:numPr>
        <w:ind w:left="259"/>
        <w:rPr>
          <w:rStyle w:val="zGNormalChar"/>
        </w:rPr>
      </w:pPr>
      <w:r>
        <w:lastRenderedPageBreak/>
        <w:t>If the cure plan fails to restore the capacity to a value equal to or greater than the lower limit of the then-effective applicable Contracted Capacity Range as set forth in Section 1.1.B (</w:t>
      </w:r>
      <w:r>
        <w:rPr>
          <w:i/>
          <w:iCs/>
        </w:rPr>
        <w:t>Contracted Capacity Range</w:t>
      </w:r>
      <w:r>
        <w:t>) and the applicable Contracted Capacity Range is reset (lowered) as set forth above in this Section 1.4.C, and following that Contracted Capacity Range reset, Seller restores the capacity to a value equal to or greater than the lower limit of the immediately previously effective applicable Contracted Capacity Range as set forth in Section 1.1.B: (I) GPC will not be required to refund to Seller any buydown liquidated damages Seller paid under this Section 1.4.C; and (II) Seller must offer to GPC the restored capacity increment at the Annual Capacity Price and in accordance with the capacity payment terms set forth in this Exhibit B. If GPC accepts Seller’s offer, the then-effective applicable Contracted Capacity Range will be reset (raised) by an amount equal to the portion of the restored capacity increment that GPC accepted. If GPC does not accept the offer, that Contracted Capacity Range will not be reset, but Seller will be free to sell the restored capacity increment to third parties, despite the provisions of PPA Sections 4.1.5 (</w:t>
      </w:r>
      <w:r>
        <w:rPr>
          <w:i/>
          <w:iCs/>
        </w:rPr>
        <w:t xml:space="preserve">Declared Capacity </w:t>
      </w:r>
      <w:r>
        <w:rPr>
          <w:i/>
        </w:rPr>
        <w:t xml:space="preserve">and </w:t>
      </w:r>
      <w:r>
        <w:rPr>
          <w:i/>
          <w:iCs/>
        </w:rPr>
        <w:t>GPC’s Scheduling Right for Facility Energy Output and Ancillary Services</w:t>
      </w:r>
      <w:r>
        <w:t>) and 12.2.3 (</w:t>
      </w:r>
      <w:r>
        <w:rPr>
          <w:i/>
          <w:iCs/>
        </w:rPr>
        <w:t>Records and Energy Scheduling</w:t>
      </w:r>
      <w:r>
        <w:t xml:space="preserve">) that require Seller to deliver the entire output to GPC. However, in such event, GPC will, at all times during the remainder of the Term, have the right to Schedule the entire energy output of the </w:t>
      </w:r>
      <w:r w:rsidR="006457DC">
        <w:t xml:space="preserve">Facility </w:t>
      </w:r>
      <w:r>
        <w:t>times a fraction the numerator of which is the upper limit of the reset (lowered) applicable Contracted Capacity Range and the denominator of which is the most recent applicable Tested Reliable Capacity</w:t>
      </w:r>
      <w:r>
        <w:rPr>
          <w:rStyle w:val="zGNormalChar"/>
        </w:rPr>
        <w:t>.</w:t>
      </w:r>
    </w:p>
    <w:p w:rsidRPr="00270AEB" w:rsidR="00D96326" w:rsidP="00D96326" w:rsidRDefault="00D96326" w14:paraId="0ECCB679" w14:textId="77777777">
      <w:pPr>
        <w:pStyle w:val="zG02"/>
        <w:rPr>
          <w:b/>
          <w:bCs/>
        </w:rPr>
      </w:pPr>
      <w:r>
        <w:rPr>
          <w:b/>
          <w:bCs/>
        </w:rPr>
        <w:t xml:space="preserve">Capacity Pricing. </w:t>
      </w:r>
    </w:p>
    <w:p w:rsidRPr="00F10071" w:rsidR="00D96326" w:rsidP="00D96326" w:rsidRDefault="00D96326" w14:paraId="5E80E904" w14:textId="54C5A922">
      <w:pPr>
        <w:pStyle w:val="zG03"/>
        <w:tabs>
          <w:tab w:val="num" w:pos="497"/>
        </w:tabs>
        <w:ind w:left="180"/>
      </w:pPr>
      <w:r>
        <w:rPr>
          <w:b/>
          <w:bCs/>
        </w:rPr>
        <w:t xml:space="preserve">Annual Capacity Price. </w:t>
      </w:r>
      <w:r>
        <w:t>Beginning on the Delivery Commencement Date, the Annual Capacity Price for the first Annual Period will be $</w:t>
      </w:r>
      <w:r>
        <w:rPr>
          <w:highlight w:val="yellow"/>
        </w:rPr>
        <w:t>#Price</w:t>
      </w:r>
      <w:r>
        <w:t>/kW-year and will increase per Table B-2 (</w:t>
      </w:r>
      <w:r>
        <w:rPr>
          <w:i/>
          <w:iCs/>
        </w:rPr>
        <w:t>Annual Capacity Price</w:t>
      </w:r>
      <w:r>
        <w:t>) on December 1 of each Annual Period after the first Annual Period.</w:t>
      </w:r>
    </w:p>
    <w:p w:rsidRPr="00F10071" w:rsidR="00D96326" w:rsidP="00D96326" w:rsidRDefault="00D96326" w14:paraId="12782CFA" w14:textId="77777777">
      <w:pPr>
        <w:adjustRightInd w:val="0"/>
        <w:spacing w:before="0" w:after="0"/>
        <w:jc w:val="center"/>
        <w:textAlignment w:val="baseline"/>
        <w:rPr>
          <w:rFonts w:eastAsia="Times New Roman" w:cs="Arial"/>
        </w:rPr>
      </w:pPr>
    </w:p>
    <w:p w:rsidRPr="00F10071" w:rsidR="00D96326" w:rsidP="00D96326" w:rsidRDefault="00D96326" w14:paraId="2762233A" w14:textId="77777777">
      <w:pPr>
        <w:adjustRightInd w:val="0"/>
        <w:spacing w:before="0" w:after="0"/>
        <w:textAlignment w:val="baseline"/>
        <w:rPr>
          <w:rFonts w:eastAsia="Times New Roman" w:cs="Arial"/>
        </w:rPr>
      </w:pP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369"/>
        <w:gridCol w:w="2850"/>
      </w:tblGrid>
      <w:tr w:rsidRPr="00F10071" w:rsidR="00D96326" w14:paraId="626E82C5" w14:textId="77777777">
        <w:trPr>
          <w:jc w:val="center"/>
        </w:trPr>
        <w:tc>
          <w:tcPr>
            <w:tcW w:w="6219" w:type="dxa"/>
            <w:gridSpan w:val="2"/>
            <w:shd w:val="clear" w:color="auto" w:fill="D9D9D9" w:themeFill="background1" w:themeFillShade="D9"/>
            <w:vAlign w:val="center"/>
          </w:tcPr>
          <w:p w:rsidRPr="002D38EF" w:rsidR="00D96326" w:rsidRDefault="00D96326" w14:paraId="7AEE2895" w14:textId="0530BB42">
            <w:pPr>
              <w:adjustRightInd w:val="0"/>
              <w:spacing w:before="0" w:after="0"/>
              <w:jc w:val="center"/>
              <w:textAlignment w:val="baseline"/>
              <w:rPr>
                <w:rFonts w:eastAsia="Times New Roman" w:cs="Arial"/>
                <w:b/>
                <w:bCs/>
              </w:rPr>
            </w:pPr>
            <w:r>
              <w:rPr>
                <w:rFonts w:eastAsia="Times New Roman" w:cs="Arial"/>
                <w:b/>
                <w:bCs/>
              </w:rPr>
              <w:t>Table B-2</w:t>
            </w:r>
          </w:p>
          <w:p w:rsidRPr="00F10071" w:rsidR="00D96326" w:rsidRDefault="00D96326" w14:paraId="1D97C508" w14:textId="77777777">
            <w:pPr>
              <w:adjustRightInd w:val="0"/>
              <w:spacing w:before="0" w:after="0"/>
              <w:jc w:val="center"/>
              <w:textAlignment w:val="baseline"/>
              <w:rPr>
                <w:rFonts w:eastAsia="Times New Roman" w:cs="Arial"/>
                <w:b/>
              </w:rPr>
            </w:pPr>
            <w:r>
              <w:rPr>
                <w:rFonts w:eastAsia="Times New Roman" w:cs="Arial"/>
                <w:b/>
                <w:bCs/>
              </w:rPr>
              <w:t xml:space="preserve">Annual Capacity Price </w:t>
            </w:r>
          </w:p>
        </w:tc>
      </w:tr>
      <w:tr w:rsidRPr="00F10071" w:rsidR="00D96326" w14:paraId="02AFBF57" w14:textId="77777777">
        <w:trPr>
          <w:jc w:val="center"/>
        </w:trPr>
        <w:tc>
          <w:tcPr>
            <w:tcW w:w="3369" w:type="dxa"/>
            <w:shd w:val="clear" w:color="auto" w:fill="F2F2F2" w:themeFill="background1" w:themeFillShade="F2"/>
            <w:vAlign w:val="center"/>
          </w:tcPr>
          <w:p w:rsidRPr="00FB0606" w:rsidR="00D96326" w:rsidRDefault="003E1275" w14:paraId="449BA89E" w14:textId="75164A14">
            <w:pPr>
              <w:adjustRightInd w:val="0"/>
              <w:spacing w:before="0" w:after="0"/>
              <w:ind w:left="450" w:hanging="450"/>
              <w:jc w:val="center"/>
              <w:textAlignment w:val="baseline"/>
              <w:rPr>
                <w:rFonts w:eastAsia="Times New Roman" w:cs="Arial"/>
                <w:b/>
              </w:rPr>
            </w:pPr>
            <w:r>
              <w:rPr>
                <w:rFonts w:eastAsia="Times New Roman" w:cs="Arial"/>
                <w:b/>
              </w:rPr>
              <w:t>Annual Period</w:t>
            </w:r>
          </w:p>
        </w:tc>
        <w:tc>
          <w:tcPr>
            <w:tcW w:w="2850" w:type="dxa"/>
            <w:shd w:val="clear" w:color="auto" w:fill="F2F2F2" w:themeFill="background1" w:themeFillShade="F2"/>
            <w:vAlign w:val="center"/>
          </w:tcPr>
          <w:p w:rsidRPr="00213B51" w:rsidR="00D96326" w:rsidRDefault="00D96326" w14:paraId="22A08234" w14:textId="77777777">
            <w:pPr>
              <w:adjustRightInd w:val="0"/>
              <w:spacing w:before="0" w:after="0"/>
              <w:jc w:val="center"/>
              <w:textAlignment w:val="baseline"/>
              <w:rPr>
                <w:rFonts w:eastAsia="Times New Roman" w:cs="Arial"/>
                <w:b/>
              </w:rPr>
            </w:pPr>
            <w:r>
              <w:rPr>
                <w:rFonts w:eastAsia="Times New Roman" w:cs="Arial"/>
                <w:b/>
              </w:rPr>
              <w:t>($/kW-year)</w:t>
            </w:r>
          </w:p>
        </w:tc>
      </w:tr>
      <w:tr w:rsidRPr="00F10071" w:rsidR="00D96326" w14:paraId="3BD87F4C" w14:textId="77777777">
        <w:trPr>
          <w:jc w:val="center"/>
        </w:trPr>
        <w:tc>
          <w:tcPr>
            <w:tcW w:w="3369" w:type="dxa"/>
          </w:tcPr>
          <w:p w:rsidRPr="00F10071" w:rsidR="00D96326" w:rsidRDefault="00D96326" w14:paraId="2B4C13CB" w14:textId="77777777">
            <w:pPr>
              <w:adjustRightInd w:val="0"/>
              <w:spacing w:before="0" w:after="0"/>
              <w:ind w:left="450" w:hanging="450"/>
              <w:jc w:val="center"/>
              <w:textAlignment w:val="baseline"/>
              <w:rPr>
                <w:rFonts w:eastAsia="Times New Roman" w:cs="Arial"/>
                <w:b/>
                <w:i/>
              </w:rPr>
            </w:pPr>
          </w:p>
        </w:tc>
        <w:tc>
          <w:tcPr>
            <w:tcW w:w="2850" w:type="dxa"/>
          </w:tcPr>
          <w:p w:rsidRPr="00F10071" w:rsidR="00D96326" w:rsidRDefault="00D96326" w14:paraId="20A02C84" w14:textId="77777777">
            <w:pPr>
              <w:adjustRightInd w:val="0"/>
              <w:spacing w:before="0" w:after="0"/>
              <w:ind w:left="450" w:hanging="450"/>
              <w:jc w:val="center"/>
              <w:textAlignment w:val="baseline"/>
              <w:rPr>
                <w:rFonts w:eastAsia="Times New Roman" w:cs="Arial"/>
              </w:rPr>
            </w:pPr>
          </w:p>
        </w:tc>
      </w:tr>
      <w:tr w:rsidRPr="00F10071" w:rsidR="00D96326" w14:paraId="10AC6631" w14:textId="77777777">
        <w:trPr>
          <w:jc w:val="center"/>
        </w:trPr>
        <w:tc>
          <w:tcPr>
            <w:tcW w:w="3369" w:type="dxa"/>
          </w:tcPr>
          <w:p w:rsidRPr="00F10071" w:rsidR="00D96326" w:rsidRDefault="00D96326" w14:paraId="7B985B0D" w14:textId="77777777">
            <w:pPr>
              <w:adjustRightInd w:val="0"/>
              <w:spacing w:before="0" w:after="0"/>
              <w:ind w:left="450" w:hanging="220"/>
              <w:jc w:val="center"/>
              <w:textAlignment w:val="baseline"/>
              <w:rPr>
                <w:rFonts w:eastAsia="Times New Roman" w:cs="Arial"/>
                <w:b/>
                <w:i/>
              </w:rPr>
            </w:pPr>
          </w:p>
        </w:tc>
        <w:tc>
          <w:tcPr>
            <w:tcW w:w="2850" w:type="dxa"/>
          </w:tcPr>
          <w:p w:rsidRPr="00F10071" w:rsidR="00D96326" w:rsidRDefault="00D96326" w14:paraId="1EE9F6C3" w14:textId="77777777">
            <w:pPr>
              <w:adjustRightInd w:val="0"/>
              <w:spacing w:before="0" w:after="0"/>
              <w:ind w:left="450" w:hanging="450"/>
              <w:jc w:val="center"/>
              <w:textAlignment w:val="baseline"/>
              <w:rPr>
                <w:rFonts w:eastAsia="Times New Roman" w:cs="Arial"/>
              </w:rPr>
            </w:pPr>
          </w:p>
        </w:tc>
      </w:tr>
      <w:tr w:rsidRPr="00F10071" w:rsidR="00D96326" w14:paraId="1B41829D" w14:textId="77777777">
        <w:trPr>
          <w:jc w:val="center"/>
        </w:trPr>
        <w:tc>
          <w:tcPr>
            <w:tcW w:w="3369" w:type="dxa"/>
          </w:tcPr>
          <w:p w:rsidRPr="00F10071" w:rsidR="00D96326" w:rsidRDefault="00D96326" w14:paraId="40D926FD" w14:textId="77777777">
            <w:pPr>
              <w:adjustRightInd w:val="0"/>
              <w:spacing w:before="0" w:after="0"/>
              <w:ind w:left="450" w:hanging="450"/>
              <w:jc w:val="center"/>
              <w:textAlignment w:val="baseline"/>
              <w:rPr>
                <w:rFonts w:eastAsia="Times New Roman" w:cs="Arial"/>
              </w:rPr>
            </w:pPr>
          </w:p>
        </w:tc>
        <w:tc>
          <w:tcPr>
            <w:tcW w:w="2850" w:type="dxa"/>
          </w:tcPr>
          <w:p w:rsidRPr="00F10071" w:rsidR="00D96326" w:rsidRDefault="00D96326" w14:paraId="65B992CC" w14:textId="77777777">
            <w:pPr>
              <w:adjustRightInd w:val="0"/>
              <w:spacing w:before="0" w:after="0"/>
              <w:ind w:left="450" w:hanging="450"/>
              <w:jc w:val="center"/>
              <w:textAlignment w:val="baseline"/>
              <w:rPr>
                <w:rFonts w:eastAsia="Times New Roman" w:cs="Arial"/>
              </w:rPr>
            </w:pPr>
          </w:p>
        </w:tc>
      </w:tr>
      <w:tr w:rsidRPr="00F10071" w:rsidR="00D96326" w14:paraId="4B44539D" w14:textId="77777777">
        <w:trPr>
          <w:jc w:val="center"/>
        </w:trPr>
        <w:tc>
          <w:tcPr>
            <w:tcW w:w="3369" w:type="dxa"/>
          </w:tcPr>
          <w:p w:rsidRPr="00F10071" w:rsidR="00D96326" w:rsidRDefault="00D96326" w14:paraId="3B3C8718" w14:textId="77777777">
            <w:pPr>
              <w:adjustRightInd w:val="0"/>
              <w:spacing w:before="0" w:after="0"/>
              <w:ind w:left="450" w:hanging="450"/>
              <w:jc w:val="center"/>
              <w:textAlignment w:val="baseline"/>
              <w:rPr>
                <w:rFonts w:eastAsia="Times New Roman" w:cs="Arial"/>
              </w:rPr>
            </w:pPr>
          </w:p>
        </w:tc>
        <w:tc>
          <w:tcPr>
            <w:tcW w:w="2850" w:type="dxa"/>
          </w:tcPr>
          <w:p w:rsidRPr="00F10071" w:rsidR="00D96326" w:rsidRDefault="00D96326" w14:paraId="1C177731" w14:textId="77777777">
            <w:pPr>
              <w:adjustRightInd w:val="0"/>
              <w:spacing w:before="0" w:after="0"/>
              <w:ind w:left="450" w:hanging="450"/>
              <w:jc w:val="center"/>
              <w:textAlignment w:val="baseline"/>
              <w:rPr>
                <w:rFonts w:eastAsia="Times New Roman" w:cs="Arial"/>
              </w:rPr>
            </w:pPr>
          </w:p>
        </w:tc>
      </w:tr>
      <w:tr w:rsidRPr="00F10071" w:rsidR="00D96326" w14:paraId="30FED715" w14:textId="77777777">
        <w:trPr>
          <w:jc w:val="center"/>
        </w:trPr>
        <w:tc>
          <w:tcPr>
            <w:tcW w:w="3369" w:type="dxa"/>
          </w:tcPr>
          <w:p w:rsidRPr="00F10071" w:rsidR="00D96326" w:rsidRDefault="00D96326" w14:paraId="17488C73" w14:textId="77777777">
            <w:pPr>
              <w:adjustRightInd w:val="0"/>
              <w:spacing w:before="0" w:after="0"/>
              <w:ind w:left="450" w:hanging="450"/>
              <w:jc w:val="center"/>
              <w:textAlignment w:val="baseline"/>
              <w:rPr>
                <w:rFonts w:eastAsia="Times New Roman" w:cs="Arial"/>
              </w:rPr>
            </w:pPr>
          </w:p>
        </w:tc>
        <w:tc>
          <w:tcPr>
            <w:tcW w:w="2850" w:type="dxa"/>
          </w:tcPr>
          <w:p w:rsidRPr="00F10071" w:rsidR="00D96326" w:rsidRDefault="00D96326" w14:paraId="5540C628" w14:textId="77777777">
            <w:pPr>
              <w:adjustRightInd w:val="0"/>
              <w:spacing w:before="0" w:after="0"/>
              <w:ind w:left="450" w:hanging="450"/>
              <w:jc w:val="center"/>
              <w:textAlignment w:val="baseline"/>
              <w:rPr>
                <w:rFonts w:eastAsia="Times New Roman" w:cs="Arial"/>
              </w:rPr>
            </w:pPr>
          </w:p>
        </w:tc>
      </w:tr>
      <w:tr w:rsidRPr="00F10071" w:rsidR="00D96326" w14:paraId="29E830AD" w14:textId="77777777">
        <w:trPr>
          <w:jc w:val="center"/>
        </w:trPr>
        <w:tc>
          <w:tcPr>
            <w:tcW w:w="3369" w:type="dxa"/>
          </w:tcPr>
          <w:p w:rsidRPr="00F10071" w:rsidR="00D96326" w:rsidRDefault="00D96326" w14:paraId="3B8DFF58" w14:textId="77777777">
            <w:pPr>
              <w:adjustRightInd w:val="0"/>
              <w:spacing w:before="0" w:after="0"/>
              <w:ind w:left="450" w:hanging="450"/>
              <w:jc w:val="center"/>
              <w:textAlignment w:val="baseline"/>
              <w:rPr>
                <w:rFonts w:eastAsia="Times New Roman" w:cs="Arial"/>
              </w:rPr>
            </w:pPr>
          </w:p>
        </w:tc>
        <w:tc>
          <w:tcPr>
            <w:tcW w:w="2850" w:type="dxa"/>
          </w:tcPr>
          <w:p w:rsidRPr="00F10071" w:rsidR="00D96326" w:rsidRDefault="00D96326" w14:paraId="5189AE15" w14:textId="77777777">
            <w:pPr>
              <w:adjustRightInd w:val="0"/>
              <w:spacing w:before="0" w:after="0"/>
              <w:ind w:left="450" w:hanging="450"/>
              <w:jc w:val="center"/>
              <w:textAlignment w:val="baseline"/>
              <w:rPr>
                <w:rFonts w:eastAsia="Times New Roman" w:cs="Arial"/>
              </w:rPr>
            </w:pPr>
          </w:p>
        </w:tc>
      </w:tr>
      <w:tr w:rsidRPr="00F10071" w:rsidR="00D96326" w14:paraId="704FF9F7" w14:textId="77777777">
        <w:trPr>
          <w:jc w:val="center"/>
        </w:trPr>
        <w:tc>
          <w:tcPr>
            <w:tcW w:w="3369" w:type="dxa"/>
          </w:tcPr>
          <w:p w:rsidRPr="00F10071" w:rsidR="00D96326" w:rsidRDefault="00D96326" w14:paraId="4BA0168B" w14:textId="77777777">
            <w:pPr>
              <w:adjustRightInd w:val="0"/>
              <w:spacing w:before="0" w:after="0"/>
              <w:ind w:left="450" w:hanging="450"/>
              <w:jc w:val="center"/>
              <w:textAlignment w:val="baseline"/>
              <w:rPr>
                <w:rFonts w:eastAsia="Times New Roman" w:cs="Arial"/>
              </w:rPr>
            </w:pPr>
          </w:p>
        </w:tc>
        <w:tc>
          <w:tcPr>
            <w:tcW w:w="2850" w:type="dxa"/>
          </w:tcPr>
          <w:p w:rsidRPr="00F10071" w:rsidR="00D96326" w:rsidRDefault="00D96326" w14:paraId="578DA717" w14:textId="77777777">
            <w:pPr>
              <w:adjustRightInd w:val="0"/>
              <w:spacing w:before="0" w:after="0"/>
              <w:ind w:left="450" w:hanging="450"/>
              <w:jc w:val="center"/>
              <w:textAlignment w:val="baseline"/>
              <w:rPr>
                <w:rFonts w:eastAsia="Times New Roman" w:cs="Arial"/>
              </w:rPr>
            </w:pPr>
          </w:p>
        </w:tc>
      </w:tr>
      <w:tr w:rsidRPr="00F10071" w:rsidR="00D96326" w14:paraId="111C96F4" w14:textId="77777777">
        <w:trPr>
          <w:jc w:val="center"/>
        </w:trPr>
        <w:tc>
          <w:tcPr>
            <w:tcW w:w="3369" w:type="dxa"/>
          </w:tcPr>
          <w:p w:rsidRPr="00F10071" w:rsidR="00D96326" w:rsidRDefault="00D96326" w14:paraId="4735660D" w14:textId="77777777">
            <w:pPr>
              <w:adjustRightInd w:val="0"/>
              <w:spacing w:before="0" w:after="0"/>
              <w:ind w:left="450" w:hanging="450"/>
              <w:jc w:val="center"/>
              <w:textAlignment w:val="baseline"/>
              <w:rPr>
                <w:rFonts w:eastAsia="Times New Roman" w:cs="Arial"/>
              </w:rPr>
            </w:pPr>
          </w:p>
        </w:tc>
        <w:tc>
          <w:tcPr>
            <w:tcW w:w="2850" w:type="dxa"/>
          </w:tcPr>
          <w:p w:rsidRPr="00F10071" w:rsidR="00D96326" w:rsidRDefault="00D96326" w14:paraId="6698DB29" w14:textId="77777777">
            <w:pPr>
              <w:adjustRightInd w:val="0"/>
              <w:spacing w:before="0" w:after="0"/>
              <w:ind w:left="450" w:hanging="450"/>
              <w:jc w:val="center"/>
              <w:textAlignment w:val="baseline"/>
              <w:rPr>
                <w:rFonts w:eastAsia="Times New Roman" w:cs="Arial"/>
              </w:rPr>
            </w:pPr>
          </w:p>
        </w:tc>
      </w:tr>
      <w:tr w:rsidRPr="00F10071" w:rsidR="00D96326" w14:paraId="32156937" w14:textId="77777777">
        <w:trPr>
          <w:jc w:val="center"/>
        </w:trPr>
        <w:tc>
          <w:tcPr>
            <w:tcW w:w="3369" w:type="dxa"/>
          </w:tcPr>
          <w:p w:rsidRPr="00F10071" w:rsidR="00D96326" w:rsidRDefault="00D96326" w14:paraId="10D7C711" w14:textId="77777777">
            <w:pPr>
              <w:adjustRightInd w:val="0"/>
              <w:spacing w:before="0" w:after="0"/>
              <w:ind w:left="450" w:hanging="450"/>
              <w:jc w:val="center"/>
              <w:textAlignment w:val="baseline"/>
              <w:rPr>
                <w:rFonts w:eastAsia="Times New Roman" w:cs="Arial"/>
              </w:rPr>
            </w:pPr>
          </w:p>
        </w:tc>
        <w:tc>
          <w:tcPr>
            <w:tcW w:w="2850" w:type="dxa"/>
          </w:tcPr>
          <w:p w:rsidRPr="00F10071" w:rsidR="00D96326" w:rsidRDefault="00D96326" w14:paraId="40FC8209" w14:textId="77777777">
            <w:pPr>
              <w:adjustRightInd w:val="0"/>
              <w:spacing w:before="0" w:after="0"/>
              <w:ind w:left="450" w:hanging="450"/>
              <w:jc w:val="center"/>
              <w:textAlignment w:val="baseline"/>
              <w:rPr>
                <w:rFonts w:eastAsia="Times New Roman" w:cs="Arial"/>
              </w:rPr>
            </w:pPr>
          </w:p>
        </w:tc>
      </w:tr>
      <w:tr w:rsidRPr="00F10071" w:rsidR="00D96326" w14:paraId="2069F2AE" w14:textId="77777777">
        <w:trPr>
          <w:jc w:val="center"/>
        </w:trPr>
        <w:tc>
          <w:tcPr>
            <w:tcW w:w="3369" w:type="dxa"/>
          </w:tcPr>
          <w:p w:rsidRPr="00F10071" w:rsidR="00D96326" w:rsidRDefault="00D96326" w14:paraId="7A722391" w14:textId="77777777">
            <w:pPr>
              <w:adjustRightInd w:val="0"/>
              <w:spacing w:before="0" w:after="0"/>
              <w:ind w:left="450" w:hanging="450"/>
              <w:jc w:val="center"/>
              <w:textAlignment w:val="baseline"/>
              <w:rPr>
                <w:rFonts w:eastAsia="Times New Roman" w:cs="Arial"/>
              </w:rPr>
            </w:pPr>
          </w:p>
        </w:tc>
        <w:tc>
          <w:tcPr>
            <w:tcW w:w="2850" w:type="dxa"/>
          </w:tcPr>
          <w:p w:rsidRPr="00F10071" w:rsidR="00D96326" w:rsidRDefault="00D96326" w14:paraId="07CB618C" w14:textId="77777777">
            <w:pPr>
              <w:adjustRightInd w:val="0"/>
              <w:spacing w:before="0" w:after="0"/>
              <w:ind w:left="450" w:hanging="450"/>
              <w:jc w:val="center"/>
              <w:textAlignment w:val="baseline"/>
              <w:rPr>
                <w:rFonts w:eastAsia="Times New Roman" w:cs="Arial"/>
              </w:rPr>
            </w:pPr>
          </w:p>
        </w:tc>
      </w:tr>
      <w:tr w:rsidRPr="00F10071" w:rsidR="00D96326" w14:paraId="7B32B826" w14:textId="77777777">
        <w:trPr>
          <w:jc w:val="center"/>
        </w:trPr>
        <w:tc>
          <w:tcPr>
            <w:tcW w:w="3369" w:type="dxa"/>
          </w:tcPr>
          <w:p w:rsidRPr="00F10071" w:rsidR="00D96326" w:rsidRDefault="00D96326" w14:paraId="1B8FC73E" w14:textId="77777777">
            <w:pPr>
              <w:adjustRightInd w:val="0"/>
              <w:spacing w:before="0" w:after="0"/>
              <w:ind w:left="450" w:hanging="450"/>
              <w:jc w:val="center"/>
              <w:textAlignment w:val="baseline"/>
              <w:rPr>
                <w:rFonts w:eastAsia="Times New Roman" w:cs="Arial"/>
              </w:rPr>
            </w:pPr>
          </w:p>
        </w:tc>
        <w:tc>
          <w:tcPr>
            <w:tcW w:w="2850" w:type="dxa"/>
          </w:tcPr>
          <w:p w:rsidRPr="00F10071" w:rsidR="00D96326" w:rsidRDefault="00D96326" w14:paraId="75DB5AAE" w14:textId="77777777">
            <w:pPr>
              <w:adjustRightInd w:val="0"/>
              <w:spacing w:before="0" w:after="0"/>
              <w:ind w:left="450" w:hanging="450"/>
              <w:jc w:val="center"/>
              <w:textAlignment w:val="baseline"/>
              <w:rPr>
                <w:rFonts w:eastAsia="Times New Roman" w:cs="Arial"/>
              </w:rPr>
            </w:pPr>
          </w:p>
        </w:tc>
      </w:tr>
      <w:tr w:rsidRPr="00F10071" w:rsidR="00D96326" w14:paraId="2B90266F" w14:textId="77777777">
        <w:trPr>
          <w:jc w:val="center"/>
        </w:trPr>
        <w:tc>
          <w:tcPr>
            <w:tcW w:w="3369" w:type="dxa"/>
          </w:tcPr>
          <w:p w:rsidRPr="00F10071" w:rsidR="00D96326" w:rsidRDefault="00D96326" w14:paraId="63CF7C38" w14:textId="77777777">
            <w:pPr>
              <w:adjustRightInd w:val="0"/>
              <w:spacing w:before="0" w:after="0"/>
              <w:ind w:left="450" w:hanging="450"/>
              <w:jc w:val="center"/>
              <w:textAlignment w:val="baseline"/>
              <w:rPr>
                <w:rFonts w:eastAsia="Times New Roman" w:cs="Arial"/>
                <w:b/>
                <w:i/>
              </w:rPr>
            </w:pPr>
          </w:p>
        </w:tc>
        <w:tc>
          <w:tcPr>
            <w:tcW w:w="2850" w:type="dxa"/>
          </w:tcPr>
          <w:p w:rsidRPr="00F10071" w:rsidR="00D96326" w:rsidRDefault="00D96326" w14:paraId="29DD5845" w14:textId="77777777">
            <w:pPr>
              <w:adjustRightInd w:val="0"/>
              <w:spacing w:before="0" w:after="0"/>
              <w:ind w:left="450" w:hanging="450"/>
              <w:jc w:val="center"/>
              <w:textAlignment w:val="baseline"/>
              <w:rPr>
                <w:rFonts w:eastAsia="Times New Roman" w:cs="Arial"/>
              </w:rPr>
            </w:pPr>
          </w:p>
        </w:tc>
      </w:tr>
      <w:tr w:rsidRPr="00F10071" w:rsidR="00D96326" w14:paraId="7A54F170" w14:textId="77777777">
        <w:trPr>
          <w:jc w:val="center"/>
        </w:trPr>
        <w:tc>
          <w:tcPr>
            <w:tcW w:w="3369" w:type="dxa"/>
          </w:tcPr>
          <w:p w:rsidRPr="00F10071" w:rsidR="00D96326" w:rsidRDefault="00D96326" w14:paraId="541F4238" w14:textId="77777777">
            <w:pPr>
              <w:adjustRightInd w:val="0"/>
              <w:spacing w:before="0" w:after="0"/>
              <w:ind w:left="450" w:hanging="450"/>
              <w:jc w:val="center"/>
              <w:textAlignment w:val="baseline"/>
              <w:rPr>
                <w:rFonts w:eastAsia="Times New Roman" w:cs="Arial"/>
                <w:b/>
                <w:i/>
              </w:rPr>
            </w:pPr>
          </w:p>
        </w:tc>
        <w:tc>
          <w:tcPr>
            <w:tcW w:w="2850" w:type="dxa"/>
          </w:tcPr>
          <w:p w:rsidRPr="00F10071" w:rsidR="00D96326" w:rsidRDefault="00D96326" w14:paraId="4E3C4CA3" w14:textId="77777777">
            <w:pPr>
              <w:adjustRightInd w:val="0"/>
              <w:spacing w:before="0" w:after="0"/>
              <w:ind w:left="450" w:hanging="450"/>
              <w:jc w:val="center"/>
              <w:textAlignment w:val="baseline"/>
              <w:rPr>
                <w:rFonts w:eastAsia="Times New Roman" w:cs="Arial"/>
              </w:rPr>
            </w:pPr>
          </w:p>
        </w:tc>
      </w:tr>
      <w:tr w:rsidRPr="00F10071" w:rsidR="00D96326" w14:paraId="5104818C" w14:textId="77777777">
        <w:trPr>
          <w:jc w:val="center"/>
        </w:trPr>
        <w:tc>
          <w:tcPr>
            <w:tcW w:w="3369" w:type="dxa"/>
          </w:tcPr>
          <w:p w:rsidRPr="00F10071" w:rsidR="00D96326" w:rsidRDefault="00D96326" w14:paraId="27BF48EE" w14:textId="77777777">
            <w:pPr>
              <w:adjustRightInd w:val="0"/>
              <w:spacing w:before="0" w:after="0"/>
              <w:ind w:left="450" w:hanging="450"/>
              <w:jc w:val="center"/>
              <w:textAlignment w:val="baseline"/>
              <w:rPr>
                <w:rFonts w:eastAsia="Times New Roman" w:cs="Arial"/>
                <w:b/>
                <w:i/>
              </w:rPr>
            </w:pPr>
          </w:p>
        </w:tc>
        <w:tc>
          <w:tcPr>
            <w:tcW w:w="2850" w:type="dxa"/>
          </w:tcPr>
          <w:p w:rsidRPr="00F10071" w:rsidR="00D96326" w:rsidRDefault="00D96326" w14:paraId="705D9405" w14:textId="77777777">
            <w:pPr>
              <w:adjustRightInd w:val="0"/>
              <w:spacing w:before="0" w:after="0"/>
              <w:ind w:left="450" w:hanging="450"/>
              <w:jc w:val="center"/>
              <w:textAlignment w:val="baseline"/>
              <w:rPr>
                <w:rFonts w:eastAsia="Times New Roman" w:cs="Arial"/>
              </w:rPr>
            </w:pPr>
          </w:p>
        </w:tc>
      </w:tr>
      <w:tr w:rsidRPr="00F10071" w:rsidR="00D96326" w14:paraId="6E3D34C9" w14:textId="77777777">
        <w:trPr>
          <w:jc w:val="center"/>
        </w:trPr>
        <w:tc>
          <w:tcPr>
            <w:tcW w:w="3369" w:type="dxa"/>
          </w:tcPr>
          <w:p w:rsidRPr="00F10071" w:rsidR="00D96326" w:rsidRDefault="00D96326" w14:paraId="34EAA9E8" w14:textId="77777777">
            <w:pPr>
              <w:adjustRightInd w:val="0"/>
              <w:spacing w:before="0" w:after="0"/>
              <w:ind w:left="450" w:hanging="450"/>
              <w:jc w:val="center"/>
              <w:textAlignment w:val="baseline"/>
              <w:rPr>
                <w:rFonts w:eastAsia="Times New Roman" w:cs="Arial"/>
                <w:b/>
                <w:i/>
              </w:rPr>
            </w:pPr>
          </w:p>
        </w:tc>
        <w:tc>
          <w:tcPr>
            <w:tcW w:w="2850" w:type="dxa"/>
          </w:tcPr>
          <w:p w:rsidRPr="00F10071" w:rsidR="00D96326" w:rsidRDefault="00D96326" w14:paraId="2984FF27" w14:textId="77777777">
            <w:pPr>
              <w:adjustRightInd w:val="0"/>
              <w:spacing w:before="0" w:after="0"/>
              <w:ind w:left="450" w:hanging="450"/>
              <w:jc w:val="center"/>
              <w:textAlignment w:val="baseline"/>
              <w:rPr>
                <w:rFonts w:eastAsia="Times New Roman" w:cs="Arial"/>
              </w:rPr>
            </w:pPr>
          </w:p>
        </w:tc>
      </w:tr>
      <w:tr w:rsidRPr="00F10071" w:rsidR="00D96326" w14:paraId="0640BD74" w14:textId="77777777">
        <w:trPr>
          <w:jc w:val="center"/>
        </w:trPr>
        <w:tc>
          <w:tcPr>
            <w:tcW w:w="3369" w:type="dxa"/>
          </w:tcPr>
          <w:p w:rsidRPr="00F10071" w:rsidR="00D96326" w:rsidRDefault="00D96326" w14:paraId="3D1EF702" w14:textId="77777777">
            <w:pPr>
              <w:adjustRightInd w:val="0"/>
              <w:spacing w:before="0" w:after="0"/>
              <w:ind w:left="450" w:hanging="450"/>
              <w:jc w:val="center"/>
              <w:textAlignment w:val="baseline"/>
              <w:rPr>
                <w:rFonts w:eastAsia="Times New Roman" w:cs="Arial"/>
                <w:b/>
                <w:i/>
              </w:rPr>
            </w:pPr>
          </w:p>
        </w:tc>
        <w:tc>
          <w:tcPr>
            <w:tcW w:w="2850" w:type="dxa"/>
          </w:tcPr>
          <w:p w:rsidRPr="00F10071" w:rsidR="00D96326" w:rsidRDefault="00D96326" w14:paraId="67F6E875" w14:textId="77777777">
            <w:pPr>
              <w:adjustRightInd w:val="0"/>
              <w:spacing w:before="0" w:after="0"/>
              <w:ind w:left="450" w:hanging="450"/>
              <w:jc w:val="center"/>
              <w:textAlignment w:val="baseline"/>
              <w:rPr>
                <w:rFonts w:eastAsia="Times New Roman" w:cs="Arial"/>
              </w:rPr>
            </w:pPr>
          </w:p>
        </w:tc>
      </w:tr>
    </w:tbl>
    <w:p w:rsidRPr="00F10071" w:rsidR="00D96326" w:rsidP="00D96326" w:rsidRDefault="00D96326" w14:paraId="7CB0C2A9" w14:textId="77777777">
      <w:pPr>
        <w:adjustRightInd w:val="0"/>
        <w:spacing w:before="0" w:after="0"/>
        <w:textAlignment w:val="baseline"/>
        <w:rPr>
          <w:rFonts w:eastAsia="Times New Roman" w:cs="Arial"/>
        </w:rPr>
      </w:pPr>
    </w:p>
    <w:p w:rsidR="00D96326" w:rsidP="00D96326" w:rsidRDefault="00D96326" w14:paraId="2428BE17" w14:textId="77777777">
      <w:pPr>
        <w:pStyle w:val="zG03"/>
        <w:numPr>
          <w:ilvl w:val="0"/>
          <w:numId w:val="0"/>
        </w:numPr>
        <w:ind w:left="259"/>
      </w:pPr>
      <w:r>
        <w:t xml:space="preserve">The Annual Capacity Price will include all fixed costs, including fixed operation and maintenance charges. </w:t>
      </w:r>
    </w:p>
    <w:p w:rsidRPr="00396F9B" w:rsidR="00D96326" w:rsidP="00D96326" w:rsidRDefault="00D96326" w14:paraId="52050D9F" w14:textId="08DB0F52">
      <w:pPr>
        <w:pStyle w:val="zG01"/>
      </w:pPr>
      <w:r>
        <w:t xml:space="preserve">Monthly Capacity Payment </w:t>
      </w:r>
    </w:p>
    <w:p w:rsidRPr="00F10071" w:rsidR="00D96326" w:rsidP="00D96326" w:rsidRDefault="00D96326" w14:paraId="26E8682D" w14:textId="6140AE0C">
      <w:pPr>
        <w:pStyle w:val="zG02"/>
      </w:pPr>
      <w:r>
        <w:rPr>
          <w:b/>
          <w:bCs/>
        </w:rPr>
        <w:t>Calculation of Monthly Capacity Payment.</w:t>
      </w:r>
      <w:r>
        <w:t xml:space="preserve"> For each Month of each Annual Period, subject to the provisions of this PPA, the “</w:t>
      </w:r>
      <w:r>
        <w:rPr>
          <w:b/>
          <w:bCs/>
        </w:rPr>
        <w:t>Monthly Capacity Payment (MCP)</w:t>
      </w:r>
      <w:r>
        <w:t xml:space="preserve">” will be determined as follows: </w:t>
      </w:r>
    </w:p>
    <w:p w:rsidRPr="00F10071" w:rsidR="00D96326" w:rsidP="00D96326" w:rsidRDefault="00D96326" w14:paraId="3CF150E7" w14:textId="77777777">
      <w:pPr>
        <w:pStyle w:val="zGBody3"/>
        <w:numPr>
          <w:ilvl w:val="0"/>
          <w:numId w:val="0"/>
        </w:numPr>
        <w:ind w:left="1152"/>
      </w:pPr>
      <w:r>
        <w:rPr>
          <w:b/>
          <w:bCs/>
        </w:rPr>
        <w:t>MCP</w:t>
      </w:r>
      <w:r>
        <w:t xml:space="preserve"> = MCF – MAA</w:t>
      </w:r>
    </w:p>
    <w:p w:rsidRPr="00F10071" w:rsidR="00D96326" w:rsidP="00D96326" w:rsidRDefault="00D96326" w14:paraId="10B97D7F" w14:textId="77777777">
      <w:pPr>
        <w:pStyle w:val="zGBody3"/>
        <w:numPr>
          <w:ilvl w:val="0"/>
          <w:numId w:val="0"/>
        </w:numPr>
        <w:ind w:left="1152"/>
      </w:pPr>
      <w:r>
        <w:t>Where:</w:t>
      </w:r>
    </w:p>
    <w:p w:rsidR="00D96326" w:rsidP="00D96326" w:rsidRDefault="00D96326" w14:paraId="371020DE" w14:textId="4E0DF856">
      <w:pPr>
        <w:pStyle w:val="zGBody3"/>
        <w:numPr>
          <w:ilvl w:val="0"/>
          <w:numId w:val="0"/>
        </w:numPr>
        <w:ind w:left="1872"/>
      </w:pPr>
      <w:r>
        <w:rPr>
          <w:b/>
          <w:bCs/>
        </w:rPr>
        <w:lastRenderedPageBreak/>
        <w:t>MCF</w:t>
      </w:r>
      <w:r>
        <w:t xml:space="preserve"> = The Monthly Capacity Fee for the Month calculated by taking the </w:t>
      </w:r>
      <w:r>
        <w:rPr>
          <w:b/>
          <w:bCs/>
          <w:i/>
          <w:iCs/>
          <w:u w:val="single"/>
        </w:rPr>
        <w:t>product of</w:t>
      </w:r>
      <w:r>
        <w:t>: (</w:t>
      </w:r>
      <w:proofErr w:type="spellStart"/>
      <w:r>
        <w:t>i</w:t>
      </w:r>
      <w:proofErr w:type="spellEnd"/>
      <w:r>
        <w:t xml:space="preserve">) the Declared Standard Capacity; </w:t>
      </w:r>
      <w:r>
        <w:rPr>
          <w:b/>
          <w:bCs/>
          <w:i/>
          <w:iCs/>
          <w:u w:val="single"/>
        </w:rPr>
        <w:t>times</w:t>
      </w:r>
      <w:r>
        <w:t xml:space="preserve"> (ii) the Annual Capacity Price; </w:t>
      </w:r>
      <w:r>
        <w:rPr>
          <w:b/>
          <w:bCs/>
          <w:i/>
          <w:iCs/>
          <w:u w:val="single"/>
        </w:rPr>
        <w:t>times</w:t>
      </w:r>
      <w:r>
        <w:t xml:space="preserve"> (iii) the Monthly Value Factor, as shown in the following equation: </w:t>
      </w:r>
    </w:p>
    <w:p w:rsidRPr="006E0A0D" w:rsidR="00D96326" w:rsidP="00D96326" w:rsidRDefault="00D96326" w14:paraId="00C9B32D" w14:textId="77777777">
      <w:pPr>
        <w:pStyle w:val="zGBody3"/>
        <w:numPr>
          <w:ilvl w:val="0"/>
          <w:numId w:val="0"/>
        </w:numPr>
        <w:ind w:left="2304"/>
      </w:pPr>
      <w:r>
        <w:t>DC * ACP * MVF</w:t>
      </w:r>
      <w:r>
        <w:rPr>
          <w:color w:val="FF0000"/>
        </w:rPr>
        <w:t xml:space="preserve"> </w:t>
      </w:r>
      <w:r>
        <w:t>* 1000</w:t>
      </w:r>
      <w:r>
        <w:rPr>
          <w:color w:val="FF0000"/>
        </w:rPr>
        <w:t xml:space="preserve"> </w:t>
      </w:r>
    </w:p>
    <w:p w:rsidRPr="006E0A0D" w:rsidR="00D96326" w:rsidP="00D96326" w:rsidRDefault="00D96326" w14:paraId="54EB869C" w14:textId="77777777">
      <w:pPr>
        <w:pStyle w:val="zGBody3"/>
        <w:numPr>
          <w:ilvl w:val="0"/>
          <w:numId w:val="0"/>
        </w:numPr>
        <w:ind w:left="2304"/>
      </w:pPr>
      <w:r>
        <w:t xml:space="preserve">Where: </w:t>
      </w:r>
    </w:p>
    <w:p w:rsidRPr="006E0A0D" w:rsidR="00D96326" w:rsidP="00D96326" w:rsidRDefault="00D96326" w14:paraId="6A97F087" w14:textId="16723AD8">
      <w:pPr>
        <w:pStyle w:val="zGBody3"/>
        <w:numPr>
          <w:ilvl w:val="0"/>
          <w:numId w:val="0"/>
        </w:numPr>
        <w:ind w:left="3456"/>
        <w:rPr>
          <w:rFonts w:eastAsia="Times New Roman"/>
        </w:rPr>
      </w:pPr>
      <w:r>
        <w:rPr>
          <w:rFonts w:eastAsia="Times New Roman"/>
        </w:rPr>
        <w:t>DC = The Declared Standard Capacity for the Month, as determined in accordance with Section 1.3 (</w:t>
      </w:r>
      <w:r>
        <w:rPr>
          <w:rFonts w:eastAsia="Times New Roman"/>
          <w:i/>
          <w:iCs/>
        </w:rPr>
        <w:t>Declared Capacity</w:t>
      </w:r>
      <w:r>
        <w:rPr>
          <w:rFonts w:eastAsia="Times New Roman"/>
        </w:rPr>
        <w:t>).</w:t>
      </w:r>
    </w:p>
    <w:p w:rsidRPr="006E0A0D" w:rsidR="00D96326" w:rsidP="00D96326" w:rsidRDefault="00D96326" w14:paraId="61F358E3" w14:textId="0961F8D3">
      <w:pPr>
        <w:pStyle w:val="zGBody3"/>
        <w:numPr>
          <w:ilvl w:val="0"/>
          <w:numId w:val="0"/>
        </w:numPr>
        <w:ind w:left="3456"/>
        <w:rPr>
          <w:rFonts w:eastAsia="Times New Roman"/>
        </w:rPr>
      </w:pPr>
      <w:r>
        <w:rPr>
          <w:rFonts w:eastAsia="Times New Roman"/>
        </w:rPr>
        <w:t>ACP = The applicable Annual Capacity Price from Table B-2 (</w:t>
      </w:r>
      <w:r>
        <w:rPr>
          <w:rFonts w:eastAsia="Times New Roman"/>
          <w:i/>
          <w:iCs/>
        </w:rPr>
        <w:t>Annual Capacity Price</w:t>
      </w:r>
      <w:r>
        <w:rPr>
          <w:rFonts w:eastAsia="Times New Roman"/>
        </w:rPr>
        <w:t>).</w:t>
      </w:r>
    </w:p>
    <w:p w:rsidRPr="006E0A0D" w:rsidR="00D96326" w:rsidP="00D96326" w:rsidRDefault="00D96326" w14:paraId="4FA5E13E" w14:textId="0E9370CD">
      <w:pPr>
        <w:pStyle w:val="zGBody3"/>
        <w:numPr>
          <w:ilvl w:val="0"/>
          <w:numId w:val="0"/>
        </w:numPr>
        <w:ind w:left="3456"/>
      </w:pPr>
      <w:r>
        <w:rPr>
          <w:rFonts w:eastAsia="Times New Roman"/>
        </w:rPr>
        <w:t>MVF = The applicable Monthly Value Factor from Table B-3 (</w:t>
      </w:r>
      <w:r>
        <w:rPr>
          <w:rFonts w:eastAsia="Times New Roman"/>
          <w:i/>
          <w:iCs/>
        </w:rPr>
        <w:t>Monthly Value Factor</w:t>
      </w:r>
      <w:r>
        <w:rPr>
          <w:rFonts w:eastAsia="Times New Roman"/>
        </w:rPr>
        <w:t>).</w:t>
      </w:r>
    </w:p>
    <w:p w:rsidR="00D96326" w:rsidP="00D96326" w:rsidRDefault="00D96326" w14:paraId="29BEED21" w14:textId="77777777">
      <w:pPr>
        <w:pStyle w:val="zGBody3"/>
        <w:numPr>
          <w:ilvl w:val="0"/>
          <w:numId w:val="0"/>
        </w:numPr>
        <w:ind w:left="1872"/>
      </w:pPr>
      <w:r>
        <w:rPr>
          <w:b/>
          <w:bCs/>
        </w:rPr>
        <w:t>MAA</w:t>
      </w:r>
      <w:r>
        <w:t xml:space="preserve"> = The Monthly Availability Adjustment for the Month determined in accordance with Part 3 (</w:t>
      </w:r>
      <w:r>
        <w:rPr>
          <w:i/>
          <w:iCs/>
        </w:rPr>
        <w:t>Monthly Availability Adjustment</w:t>
      </w:r>
      <w:r>
        <w:t>).</w:t>
      </w:r>
    </w:p>
    <w:p w:rsidRPr="006E0A0D" w:rsidR="001940E1" w:rsidP="00D96326" w:rsidRDefault="001940E1" w14:paraId="4F6D6D56" w14:textId="207615B5">
      <w:pPr>
        <w:pStyle w:val="zGBody3"/>
        <w:numPr>
          <w:ilvl w:val="0"/>
          <w:numId w:val="0"/>
        </w:numPr>
        <w:ind w:left="1872"/>
      </w:pPr>
      <w:r>
        <w:rPr>
          <w:b/>
          <w:bCs/>
        </w:rPr>
        <w:t>For the avoidance of doubt, MCF is calculated using the Declared Standard Capacity, which is based on Reference Conditions for the Standard Seasonal Performance Period,</w:t>
      </w:r>
      <w:r w:rsidR="0079716F">
        <w:rPr>
          <w:b/>
          <w:bCs/>
        </w:rPr>
        <w:t xml:space="preserve"> regardless of the Seasonal Performance Period in which the Month occurs.</w:t>
      </w:r>
    </w:p>
    <w:p w:rsidR="03AE0131" w:rsidP="54C72364" w:rsidRDefault="03AE0131" w14:paraId="06EC15BA" w14:textId="63D64BC7">
      <w:pPr>
        <w:pStyle w:val="zG02"/>
        <w:numPr>
          <w:ilvl w:val="0"/>
          <w:numId w:val="0"/>
        </w:numPr>
      </w:pPr>
      <w:r>
        <w:rPr>
          <w:b/>
          <w:bCs/>
        </w:rPr>
        <w:t>2.2</w:t>
      </w:r>
      <w:r>
        <w:tab/>
      </w:r>
      <w:r>
        <w:rPr>
          <w:b/>
          <w:bCs/>
        </w:rPr>
        <w:t>Negative MCP.</w:t>
      </w:r>
      <w:r>
        <w:t xml:space="preserve"> If the amount of the MCP for a Month is negative (i.e., the amount of the Monthly Availability Adjustment exceeds the amount of the Monthly Capacity Fee for the Month), then the Monthly Capacity Payment for the Month will be deemed to be zero dollars ($0) and GPC will not be required to pay Seller a Monthly Capacity Payment for the Month.</w:t>
      </w:r>
    </w:p>
    <w:p w:rsidRPr="00F10071" w:rsidR="00D96326" w:rsidP="00D96326" w:rsidRDefault="27E31F0D" w14:paraId="686C7A40" w14:textId="2EE3050F">
      <w:pPr>
        <w:pStyle w:val="zG02"/>
        <w:numPr>
          <w:ilvl w:val="0"/>
          <w:numId w:val="0"/>
        </w:numPr>
      </w:pPr>
      <w:r>
        <w:rPr>
          <w:b/>
          <w:bCs/>
        </w:rPr>
        <w:t>2.3     Pro Rata MCP Calculation.</w:t>
      </w:r>
      <w:r>
        <w:t xml:space="preserve"> If the Delivery Commencement Date occurs on a Day other than the first Day of a Month, or if the last Day of the Term occurs on a Day other than the last Day of a Month, the calculation of the Monthly Capacity Payment and Monthly Availability Adjustment will be determined on a pro rata basis. </w:t>
      </w:r>
    </w:p>
    <w:p w:rsidRPr="00F10071" w:rsidR="00D96326" w:rsidP="00D96326" w:rsidRDefault="382A2218" w14:paraId="249ACB8F" w14:textId="2C946B15">
      <w:pPr>
        <w:adjustRightInd w:val="0"/>
        <w:spacing w:before="0" w:after="0"/>
        <w:ind w:left="450" w:hanging="450"/>
        <w:textAlignment w:val="baseline"/>
        <w:rPr>
          <w:rFonts w:eastAsia="Times New Roman" w:cs="Arial"/>
        </w:rPr>
      </w:pPr>
      <w:r>
        <w:rPr>
          <w:b/>
          <w:bCs/>
        </w:rPr>
        <w:t>2.4</w:t>
      </w:r>
      <w:r>
        <w:tab/>
      </w:r>
      <w:r>
        <w:rPr>
          <w:b/>
          <w:bCs/>
        </w:rPr>
        <w:t>MVF; GPC Right to Modify.</w:t>
      </w:r>
      <w:r>
        <w:t xml:space="preserve"> The Monthly Value Factor for each Month is stated in Table B-3 (</w:t>
      </w:r>
      <w:r>
        <w:rPr>
          <w:i/>
          <w:iCs/>
        </w:rPr>
        <w:t>Monthly Value Factor (</w:t>
      </w:r>
      <w:proofErr w:type="gramStart"/>
      <w:r>
        <w:rPr>
          <w:i/>
          <w:iCs/>
        </w:rPr>
        <w:t>MVF)</w:t>
      </w:r>
      <w:r>
        <w:t>)</w:t>
      </w:r>
      <w:proofErr w:type="gramEnd"/>
      <w:r>
        <w:t>. Despite the Monthly Value Factors in Table B-3, GPC has the right, in GPC’s sole discretion, to modify Table B-3, in whole or in part, once every three Annual Periods by providing notice to Seller, so long as: (</w:t>
      </w:r>
      <w:proofErr w:type="spellStart"/>
      <w:r>
        <w:t>i</w:t>
      </w:r>
      <w:proofErr w:type="spellEnd"/>
      <w:r>
        <w:t>) GPC provides Seller the notice no later than 180 Days before the commencement of the Annual Period; (ii) each MVF is at least equal to 0.05 and is not greater than 0.25; (iii) only a single month has a MVF of 0.25; (iv) the sum of MVFs for any two immediately adjacent calendar months is not greater than 0.40; and (v) the sum of all MVFs for each Annual Period equals 1.0.</w:t>
      </w:r>
    </w:p>
    <w:tbl>
      <w:tblPr>
        <w:tblW w:w="0" w:type="auto"/>
        <w:tblInd w:w="199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000" w:firstRow="0" w:lastRow="0" w:firstColumn="0" w:lastColumn="0" w:noHBand="0" w:noVBand="0"/>
      </w:tblPr>
      <w:tblGrid>
        <w:gridCol w:w="1440"/>
        <w:gridCol w:w="3960"/>
      </w:tblGrid>
      <w:tr w:rsidRPr="00F10071" w:rsidR="00041293" w:rsidTr="00041293" w14:paraId="7505D346" w14:textId="77777777">
        <w:tc>
          <w:tcPr>
            <w:tcW w:w="5400" w:type="dxa"/>
            <w:gridSpan w:val="2"/>
            <w:shd w:val="clear" w:color="auto" w:fill="D9D9D9" w:themeFill="background1" w:themeFillShade="D9"/>
          </w:tcPr>
          <w:p w:rsidRPr="0091398F" w:rsidR="00041293" w:rsidP="00145F36" w:rsidRDefault="00041293" w14:paraId="4634B0EB" w14:textId="77777777">
            <w:pPr>
              <w:adjustRightInd w:val="0"/>
              <w:spacing w:before="0" w:after="0"/>
              <w:ind w:left="450" w:hanging="450"/>
              <w:jc w:val="center"/>
              <w:textAlignment w:val="baseline"/>
              <w:rPr>
                <w:rFonts w:eastAsia="Times New Roman" w:cs="Arial"/>
                <w:b/>
                <w:bCs/>
              </w:rPr>
            </w:pPr>
            <w:r>
              <w:rPr>
                <w:rFonts w:eastAsia="Times New Roman" w:cs="Arial"/>
                <w:b/>
                <w:bCs/>
              </w:rPr>
              <w:t>Table B-3</w:t>
            </w:r>
          </w:p>
          <w:p w:rsidRPr="0091398F" w:rsidR="00041293" w:rsidP="00145F36" w:rsidRDefault="00041293" w14:paraId="6E740C39" w14:textId="77777777">
            <w:pPr>
              <w:adjustRightInd w:val="0"/>
              <w:spacing w:before="0" w:after="0"/>
              <w:ind w:left="450" w:hanging="450"/>
              <w:jc w:val="center"/>
              <w:textAlignment w:val="baseline"/>
              <w:rPr>
                <w:rFonts w:eastAsia="Times New Roman" w:cs="Arial"/>
                <w:b/>
                <w:bCs/>
              </w:rPr>
            </w:pPr>
            <w:r>
              <w:rPr>
                <w:rFonts w:eastAsia="Times New Roman" w:cs="Arial"/>
                <w:b/>
                <w:bCs/>
              </w:rPr>
              <w:t>Monthly Value Factor (MVF)</w:t>
            </w:r>
          </w:p>
        </w:tc>
      </w:tr>
      <w:tr w:rsidRPr="00F10071" w:rsidR="00041293" w:rsidTr="00041293" w14:paraId="07EAFADE" w14:textId="77777777">
        <w:tc>
          <w:tcPr>
            <w:tcW w:w="1440" w:type="dxa"/>
            <w:shd w:val="clear" w:color="auto" w:fill="F2F2F2" w:themeFill="background1" w:themeFillShade="F2"/>
          </w:tcPr>
          <w:p w:rsidRPr="004D0F6F" w:rsidR="00041293" w:rsidP="00145F36" w:rsidRDefault="00041293" w14:paraId="7B872C45" w14:textId="77777777">
            <w:pPr>
              <w:pStyle w:val="Title2"/>
              <w:adjustRightInd w:val="0"/>
              <w:spacing w:before="0" w:after="0"/>
              <w:textAlignment w:val="baseline"/>
              <w:rPr>
                <w:rFonts w:eastAsia="Times New Roman" w:cs="Arial"/>
                <w:caps w:val="0"/>
              </w:rPr>
            </w:pPr>
            <w:r>
              <w:rPr>
                <w:rFonts w:eastAsia="Times New Roman" w:cs="Arial"/>
                <w:caps w:val="0"/>
              </w:rPr>
              <w:t>Month</w:t>
            </w:r>
          </w:p>
        </w:tc>
        <w:tc>
          <w:tcPr>
            <w:tcW w:w="3960" w:type="dxa"/>
            <w:shd w:val="clear" w:color="auto" w:fill="F2F2F2" w:themeFill="background1" w:themeFillShade="F2"/>
          </w:tcPr>
          <w:p w:rsidRPr="004D0F6F" w:rsidR="00041293" w:rsidP="00145F36" w:rsidRDefault="00041293" w14:paraId="0BBA5F69" w14:textId="77777777">
            <w:pPr>
              <w:pStyle w:val="Title2"/>
              <w:adjustRightInd w:val="0"/>
              <w:spacing w:before="0" w:after="0"/>
              <w:textAlignment w:val="baseline"/>
              <w:rPr>
                <w:rFonts w:eastAsia="Times New Roman" w:cs="Arial"/>
                <w:caps w:val="0"/>
              </w:rPr>
            </w:pPr>
            <w:r>
              <w:rPr>
                <w:rFonts w:eastAsia="Times New Roman" w:cs="Arial"/>
                <w:caps w:val="0"/>
              </w:rPr>
              <w:t>MVF</w:t>
            </w:r>
          </w:p>
        </w:tc>
      </w:tr>
      <w:tr w:rsidRPr="00F10071" w:rsidR="00041293" w:rsidTr="00041293" w14:paraId="6327A702" w14:textId="77777777">
        <w:tc>
          <w:tcPr>
            <w:tcW w:w="1440" w:type="dxa"/>
          </w:tcPr>
          <w:p w:rsidRPr="0091398F" w:rsidR="00041293" w:rsidP="00145F36" w:rsidRDefault="00041293" w14:paraId="5CA6C135" w14:textId="77777777">
            <w:pPr>
              <w:adjustRightInd w:val="0"/>
              <w:spacing w:before="0" w:after="0"/>
              <w:jc w:val="center"/>
              <w:textAlignment w:val="baseline"/>
              <w:rPr>
                <w:rFonts w:eastAsia="Times New Roman" w:cs="Arial"/>
                <w:b/>
                <w:bCs/>
              </w:rPr>
            </w:pPr>
            <w:r>
              <w:rPr>
                <w:rFonts w:eastAsia="Times New Roman" w:cs="Arial"/>
                <w:b/>
                <w:bCs/>
              </w:rPr>
              <w:t>December</w:t>
            </w:r>
          </w:p>
        </w:tc>
        <w:tc>
          <w:tcPr>
            <w:tcW w:w="3960" w:type="dxa"/>
          </w:tcPr>
          <w:p w:rsidR="00041293" w:rsidP="00145F36" w:rsidRDefault="00041293" w14:paraId="044EEEB1" w14:textId="77777777">
            <w:pPr>
              <w:adjustRightInd w:val="0"/>
              <w:spacing w:before="0" w:after="0"/>
              <w:jc w:val="center"/>
              <w:textAlignment w:val="baseline"/>
              <w:rPr>
                <w:rFonts w:eastAsia="Times New Roman" w:cs="Arial"/>
              </w:rPr>
            </w:pPr>
            <w:r>
              <w:rPr>
                <w:rFonts w:eastAsia="Times New Roman" w:cs="Arial"/>
              </w:rPr>
              <w:t>0.10</w:t>
            </w:r>
          </w:p>
        </w:tc>
      </w:tr>
      <w:tr w:rsidRPr="00F10071" w:rsidR="00041293" w:rsidTr="00041293" w14:paraId="7A6B7AC3" w14:textId="77777777">
        <w:tc>
          <w:tcPr>
            <w:tcW w:w="1440" w:type="dxa"/>
          </w:tcPr>
          <w:p w:rsidRPr="0091398F" w:rsidR="00041293" w:rsidP="00145F36" w:rsidRDefault="00041293" w14:paraId="033EE61A" w14:textId="77777777">
            <w:pPr>
              <w:adjustRightInd w:val="0"/>
              <w:spacing w:before="0" w:after="0"/>
              <w:jc w:val="center"/>
              <w:textAlignment w:val="baseline"/>
              <w:rPr>
                <w:rFonts w:eastAsia="Times New Roman" w:cs="Arial"/>
                <w:b/>
                <w:bCs/>
              </w:rPr>
            </w:pPr>
            <w:r>
              <w:rPr>
                <w:rFonts w:eastAsia="Times New Roman" w:cs="Arial"/>
                <w:b/>
                <w:bCs/>
              </w:rPr>
              <w:t>January</w:t>
            </w:r>
          </w:p>
        </w:tc>
        <w:tc>
          <w:tcPr>
            <w:tcW w:w="3960" w:type="dxa"/>
          </w:tcPr>
          <w:p w:rsidRPr="00F10071" w:rsidR="00041293" w:rsidP="00145F36" w:rsidRDefault="00D679D2" w14:paraId="1F0E15EA" w14:textId="35DD2FFC">
            <w:pPr>
              <w:adjustRightInd w:val="0"/>
              <w:spacing w:before="0" w:after="0"/>
              <w:jc w:val="center"/>
              <w:textAlignment w:val="baseline"/>
              <w:rPr>
                <w:rFonts w:eastAsia="Times New Roman" w:cs="Arial"/>
              </w:rPr>
            </w:pPr>
            <w:r>
              <w:rPr>
                <w:rFonts w:eastAsia="Times New Roman" w:cs="Arial"/>
              </w:rPr>
              <w:t>0.25</w:t>
            </w:r>
          </w:p>
        </w:tc>
      </w:tr>
      <w:tr w:rsidRPr="00F10071" w:rsidR="00041293" w:rsidTr="00041293" w14:paraId="7DDFECE9" w14:textId="77777777">
        <w:tc>
          <w:tcPr>
            <w:tcW w:w="1440" w:type="dxa"/>
          </w:tcPr>
          <w:p w:rsidRPr="0091398F" w:rsidR="00041293" w:rsidP="00145F36" w:rsidRDefault="00041293" w14:paraId="085189FF" w14:textId="77777777">
            <w:pPr>
              <w:adjustRightInd w:val="0"/>
              <w:spacing w:before="0" w:after="0"/>
              <w:jc w:val="center"/>
              <w:textAlignment w:val="baseline"/>
              <w:rPr>
                <w:rFonts w:eastAsia="Times New Roman" w:cs="Arial"/>
                <w:b/>
                <w:bCs/>
              </w:rPr>
            </w:pPr>
            <w:r>
              <w:rPr>
                <w:rFonts w:eastAsia="Times New Roman" w:cs="Arial"/>
                <w:b/>
                <w:bCs/>
              </w:rPr>
              <w:t>February</w:t>
            </w:r>
          </w:p>
        </w:tc>
        <w:tc>
          <w:tcPr>
            <w:tcW w:w="3960" w:type="dxa"/>
          </w:tcPr>
          <w:p w:rsidRPr="00F10071" w:rsidR="00041293" w:rsidP="00145F36" w:rsidRDefault="00F83A5E" w14:paraId="3B27B88E" w14:textId="2837CB7B">
            <w:pPr>
              <w:adjustRightInd w:val="0"/>
              <w:spacing w:before="0" w:after="0"/>
              <w:jc w:val="center"/>
              <w:textAlignment w:val="baseline"/>
              <w:rPr>
                <w:rFonts w:eastAsia="Times New Roman" w:cs="Arial"/>
              </w:rPr>
            </w:pPr>
            <w:r>
              <w:rPr>
                <w:rFonts w:eastAsia="Times New Roman" w:cs="Arial"/>
              </w:rPr>
              <w:t>0.10</w:t>
            </w:r>
          </w:p>
        </w:tc>
      </w:tr>
      <w:tr w:rsidRPr="00F10071" w:rsidR="00041293" w:rsidTr="00041293" w14:paraId="507BD0BD" w14:textId="77777777">
        <w:tc>
          <w:tcPr>
            <w:tcW w:w="1440" w:type="dxa"/>
          </w:tcPr>
          <w:p w:rsidRPr="0091398F" w:rsidR="00041293" w:rsidP="00145F36" w:rsidRDefault="00041293" w14:paraId="129091DF" w14:textId="77777777">
            <w:pPr>
              <w:adjustRightInd w:val="0"/>
              <w:spacing w:before="0" w:after="0"/>
              <w:jc w:val="center"/>
              <w:textAlignment w:val="baseline"/>
              <w:rPr>
                <w:rFonts w:eastAsia="Times New Roman" w:cs="Arial"/>
                <w:b/>
                <w:bCs/>
              </w:rPr>
            </w:pPr>
            <w:r>
              <w:rPr>
                <w:rFonts w:eastAsia="Times New Roman" w:cs="Arial"/>
                <w:b/>
                <w:bCs/>
              </w:rPr>
              <w:t>March</w:t>
            </w:r>
          </w:p>
        </w:tc>
        <w:tc>
          <w:tcPr>
            <w:tcW w:w="3960" w:type="dxa"/>
          </w:tcPr>
          <w:p w:rsidRPr="00F10071" w:rsidR="00041293" w:rsidP="00145F36" w:rsidRDefault="00F83A5E" w14:paraId="4F38C8CA" w14:textId="533A8418">
            <w:pPr>
              <w:adjustRightInd w:val="0"/>
              <w:spacing w:before="0" w:after="0"/>
              <w:jc w:val="center"/>
              <w:textAlignment w:val="baseline"/>
              <w:rPr>
                <w:rFonts w:eastAsia="Times New Roman" w:cs="Arial"/>
              </w:rPr>
            </w:pPr>
            <w:r>
              <w:rPr>
                <w:rFonts w:eastAsia="Times New Roman" w:cs="Arial"/>
              </w:rPr>
              <w:t>0.05</w:t>
            </w:r>
          </w:p>
        </w:tc>
      </w:tr>
      <w:tr w:rsidRPr="00F10071" w:rsidR="00041293" w:rsidTr="00041293" w14:paraId="1F137178" w14:textId="77777777">
        <w:tc>
          <w:tcPr>
            <w:tcW w:w="1440" w:type="dxa"/>
          </w:tcPr>
          <w:p w:rsidRPr="0091398F" w:rsidR="00041293" w:rsidP="00145F36" w:rsidRDefault="00041293" w14:paraId="3903B6F5" w14:textId="77777777">
            <w:pPr>
              <w:adjustRightInd w:val="0"/>
              <w:spacing w:before="0" w:after="0"/>
              <w:jc w:val="center"/>
              <w:textAlignment w:val="baseline"/>
              <w:rPr>
                <w:rFonts w:eastAsia="Times New Roman" w:cs="Arial"/>
                <w:b/>
                <w:bCs/>
              </w:rPr>
            </w:pPr>
            <w:r>
              <w:rPr>
                <w:rFonts w:eastAsia="Times New Roman" w:cs="Arial"/>
                <w:b/>
                <w:bCs/>
              </w:rPr>
              <w:t>April</w:t>
            </w:r>
          </w:p>
        </w:tc>
        <w:tc>
          <w:tcPr>
            <w:tcW w:w="3960" w:type="dxa"/>
          </w:tcPr>
          <w:p w:rsidRPr="00F10071" w:rsidR="00041293" w:rsidP="00145F36" w:rsidRDefault="00F83A5E" w14:paraId="5E8E95BE" w14:textId="6BA67403">
            <w:pPr>
              <w:adjustRightInd w:val="0"/>
              <w:spacing w:before="0" w:after="0"/>
              <w:jc w:val="center"/>
              <w:textAlignment w:val="baseline"/>
              <w:rPr>
                <w:rFonts w:eastAsia="Times New Roman" w:cs="Arial"/>
              </w:rPr>
            </w:pPr>
            <w:r>
              <w:rPr>
                <w:rFonts w:eastAsia="Times New Roman" w:cs="Arial"/>
              </w:rPr>
              <w:t>0.05</w:t>
            </w:r>
          </w:p>
        </w:tc>
      </w:tr>
      <w:tr w:rsidRPr="00F10071" w:rsidR="00041293" w:rsidTr="00041293" w14:paraId="15B0206E" w14:textId="77777777">
        <w:tc>
          <w:tcPr>
            <w:tcW w:w="1440" w:type="dxa"/>
          </w:tcPr>
          <w:p w:rsidRPr="0091398F" w:rsidR="00041293" w:rsidP="00145F36" w:rsidRDefault="00041293" w14:paraId="47F4BB18" w14:textId="77777777">
            <w:pPr>
              <w:adjustRightInd w:val="0"/>
              <w:spacing w:before="0" w:after="0"/>
              <w:jc w:val="center"/>
              <w:textAlignment w:val="baseline"/>
              <w:rPr>
                <w:rFonts w:eastAsia="Times New Roman" w:cs="Arial"/>
                <w:b/>
                <w:bCs/>
              </w:rPr>
            </w:pPr>
            <w:r>
              <w:rPr>
                <w:rFonts w:eastAsia="Times New Roman" w:cs="Arial"/>
                <w:b/>
                <w:bCs/>
              </w:rPr>
              <w:t>May</w:t>
            </w:r>
          </w:p>
        </w:tc>
        <w:tc>
          <w:tcPr>
            <w:tcW w:w="3960" w:type="dxa"/>
          </w:tcPr>
          <w:p w:rsidRPr="00F10071" w:rsidR="00041293" w:rsidP="00145F36" w:rsidRDefault="00AA3CF0" w14:paraId="12BA71E5" w14:textId="61C3FC9D">
            <w:pPr>
              <w:adjustRightInd w:val="0"/>
              <w:spacing w:before="0" w:after="0"/>
              <w:jc w:val="center"/>
              <w:textAlignment w:val="baseline"/>
              <w:rPr>
                <w:rFonts w:eastAsia="Times New Roman" w:cs="Arial"/>
              </w:rPr>
            </w:pPr>
            <w:r>
              <w:rPr>
                <w:rFonts w:eastAsia="Times New Roman" w:cs="Arial"/>
              </w:rPr>
              <w:t>0.05</w:t>
            </w:r>
          </w:p>
        </w:tc>
      </w:tr>
      <w:tr w:rsidRPr="00F10071" w:rsidR="00041293" w:rsidTr="00041293" w14:paraId="6E15E3E2" w14:textId="77777777">
        <w:tc>
          <w:tcPr>
            <w:tcW w:w="1440" w:type="dxa"/>
          </w:tcPr>
          <w:p w:rsidRPr="0091398F" w:rsidR="00041293" w:rsidP="00145F36" w:rsidRDefault="00041293" w14:paraId="20D8E551" w14:textId="77777777">
            <w:pPr>
              <w:adjustRightInd w:val="0"/>
              <w:spacing w:before="0" w:after="0"/>
              <w:jc w:val="center"/>
              <w:textAlignment w:val="baseline"/>
              <w:rPr>
                <w:rFonts w:eastAsia="Times New Roman" w:cs="Arial"/>
                <w:b/>
                <w:bCs/>
              </w:rPr>
            </w:pPr>
            <w:r>
              <w:rPr>
                <w:rFonts w:eastAsia="Times New Roman" w:cs="Arial"/>
                <w:b/>
                <w:bCs/>
              </w:rPr>
              <w:t>June</w:t>
            </w:r>
          </w:p>
        </w:tc>
        <w:tc>
          <w:tcPr>
            <w:tcW w:w="3960" w:type="dxa"/>
          </w:tcPr>
          <w:p w:rsidRPr="00F10071" w:rsidR="00041293" w:rsidP="00145F36" w:rsidRDefault="00AA3CF0" w14:paraId="3BE22799" w14:textId="5940F4A0">
            <w:pPr>
              <w:adjustRightInd w:val="0"/>
              <w:spacing w:before="0" w:after="0"/>
              <w:jc w:val="center"/>
              <w:textAlignment w:val="baseline"/>
              <w:rPr>
                <w:rFonts w:eastAsia="Times New Roman" w:cs="Arial"/>
              </w:rPr>
            </w:pPr>
            <w:r>
              <w:rPr>
                <w:rFonts w:eastAsia="Times New Roman" w:cs="Arial"/>
              </w:rPr>
              <w:t>0.05</w:t>
            </w:r>
          </w:p>
        </w:tc>
      </w:tr>
      <w:tr w:rsidRPr="00F10071" w:rsidR="00041293" w:rsidTr="00041293" w14:paraId="012E9061" w14:textId="77777777">
        <w:tc>
          <w:tcPr>
            <w:tcW w:w="1440" w:type="dxa"/>
          </w:tcPr>
          <w:p w:rsidRPr="0091398F" w:rsidR="00041293" w:rsidP="00145F36" w:rsidRDefault="00041293" w14:paraId="58D443FF" w14:textId="77777777">
            <w:pPr>
              <w:adjustRightInd w:val="0"/>
              <w:spacing w:before="0" w:after="0"/>
              <w:jc w:val="center"/>
              <w:textAlignment w:val="baseline"/>
              <w:rPr>
                <w:rFonts w:eastAsia="Times New Roman" w:cs="Arial"/>
                <w:b/>
                <w:bCs/>
              </w:rPr>
            </w:pPr>
            <w:r>
              <w:rPr>
                <w:rFonts w:eastAsia="Times New Roman" w:cs="Arial"/>
                <w:b/>
                <w:bCs/>
              </w:rPr>
              <w:t>July</w:t>
            </w:r>
          </w:p>
        </w:tc>
        <w:tc>
          <w:tcPr>
            <w:tcW w:w="3960" w:type="dxa"/>
          </w:tcPr>
          <w:p w:rsidRPr="00F10071" w:rsidR="00041293" w:rsidP="00145F36" w:rsidRDefault="00AA3CF0" w14:paraId="624160E1" w14:textId="075D9E7C">
            <w:pPr>
              <w:adjustRightInd w:val="0"/>
              <w:spacing w:before="0" w:after="0"/>
              <w:jc w:val="center"/>
              <w:textAlignment w:val="baseline"/>
              <w:rPr>
                <w:rFonts w:eastAsia="Times New Roman" w:cs="Arial"/>
              </w:rPr>
            </w:pPr>
            <w:r>
              <w:rPr>
                <w:rFonts w:eastAsia="Times New Roman" w:cs="Arial"/>
              </w:rPr>
              <w:t>0.10</w:t>
            </w:r>
          </w:p>
        </w:tc>
      </w:tr>
      <w:tr w:rsidRPr="00F10071" w:rsidR="00041293" w:rsidTr="00041293" w14:paraId="7D51E25D" w14:textId="77777777">
        <w:tc>
          <w:tcPr>
            <w:tcW w:w="1440" w:type="dxa"/>
          </w:tcPr>
          <w:p w:rsidRPr="0091398F" w:rsidR="00041293" w:rsidP="00145F36" w:rsidRDefault="00041293" w14:paraId="72657748" w14:textId="77777777">
            <w:pPr>
              <w:adjustRightInd w:val="0"/>
              <w:spacing w:before="0" w:after="0"/>
              <w:jc w:val="center"/>
              <w:textAlignment w:val="baseline"/>
              <w:rPr>
                <w:rFonts w:eastAsia="Times New Roman" w:cs="Arial"/>
                <w:b/>
                <w:bCs/>
              </w:rPr>
            </w:pPr>
            <w:r>
              <w:rPr>
                <w:rFonts w:eastAsia="Times New Roman" w:cs="Arial"/>
                <w:b/>
                <w:bCs/>
              </w:rPr>
              <w:t>August</w:t>
            </w:r>
          </w:p>
        </w:tc>
        <w:tc>
          <w:tcPr>
            <w:tcW w:w="3960" w:type="dxa"/>
          </w:tcPr>
          <w:p w:rsidRPr="00F10071" w:rsidR="00041293" w:rsidP="00145F36" w:rsidRDefault="00AA3CF0" w14:paraId="399DFF24" w14:textId="655779B1">
            <w:pPr>
              <w:adjustRightInd w:val="0"/>
              <w:spacing w:before="0" w:after="0"/>
              <w:jc w:val="center"/>
              <w:textAlignment w:val="baseline"/>
              <w:rPr>
                <w:rFonts w:eastAsia="Times New Roman" w:cs="Arial"/>
              </w:rPr>
            </w:pPr>
            <w:r>
              <w:rPr>
                <w:rFonts w:eastAsia="Times New Roman" w:cs="Arial"/>
              </w:rPr>
              <w:t>0.10</w:t>
            </w:r>
          </w:p>
        </w:tc>
      </w:tr>
      <w:tr w:rsidRPr="00F10071" w:rsidR="00041293" w:rsidTr="00041293" w14:paraId="0DC11E69" w14:textId="77777777">
        <w:tc>
          <w:tcPr>
            <w:tcW w:w="1440" w:type="dxa"/>
          </w:tcPr>
          <w:p w:rsidRPr="0091398F" w:rsidR="00041293" w:rsidP="00145F36" w:rsidRDefault="00041293" w14:paraId="49660544" w14:textId="77777777">
            <w:pPr>
              <w:adjustRightInd w:val="0"/>
              <w:spacing w:before="0" w:after="0"/>
              <w:jc w:val="center"/>
              <w:textAlignment w:val="baseline"/>
              <w:rPr>
                <w:rFonts w:eastAsia="Times New Roman" w:cs="Arial"/>
                <w:b/>
                <w:bCs/>
              </w:rPr>
            </w:pPr>
            <w:r>
              <w:rPr>
                <w:rFonts w:eastAsia="Times New Roman" w:cs="Arial"/>
                <w:b/>
                <w:bCs/>
              </w:rPr>
              <w:t>September</w:t>
            </w:r>
          </w:p>
        </w:tc>
        <w:tc>
          <w:tcPr>
            <w:tcW w:w="3960" w:type="dxa"/>
          </w:tcPr>
          <w:p w:rsidRPr="00F10071" w:rsidR="00041293" w:rsidP="00145F36" w:rsidRDefault="00AA3CF0" w14:paraId="69E4E8BA" w14:textId="3EC84A8F">
            <w:pPr>
              <w:adjustRightInd w:val="0"/>
              <w:spacing w:before="0" w:after="0"/>
              <w:jc w:val="center"/>
              <w:textAlignment w:val="baseline"/>
              <w:rPr>
                <w:rFonts w:eastAsia="Times New Roman" w:cs="Arial"/>
              </w:rPr>
            </w:pPr>
            <w:r>
              <w:rPr>
                <w:rFonts w:eastAsia="Times New Roman" w:cs="Arial"/>
              </w:rPr>
              <w:t>0.05</w:t>
            </w:r>
          </w:p>
        </w:tc>
      </w:tr>
      <w:tr w:rsidRPr="00F10071" w:rsidR="00041293" w:rsidTr="00041293" w14:paraId="75F4891E" w14:textId="77777777">
        <w:tc>
          <w:tcPr>
            <w:tcW w:w="1440" w:type="dxa"/>
          </w:tcPr>
          <w:p w:rsidRPr="0091398F" w:rsidR="00041293" w:rsidP="00145F36" w:rsidRDefault="00041293" w14:paraId="44B858C4" w14:textId="77777777">
            <w:pPr>
              <w:adjustRightInd w:val="0"/>
              <w:spacing w:before="0" w:after="0"/>
              <w:jc w:val="center"/>
              <w:textAlignment w:val="baseline"/>
              <w:rPr>
                <w:rFonts w:eastAsia="Times New Roman" w:cs="Arial"/>
                <w:b/>
                <w:bCs/>
              </w:rPr>
            </w:pPr>
            <w:r>
              <w:rPr>
                <w:rFonts w:eastAsia="Times New Roman" w:cs="Arial"/>
                <w:b/>
                <w:bCs/>
              </w:rPr>
              <w:lastRenderedPageBreak/>
              <w:t>October</w:t>
            </w:r>
          </w:p>
        </w:tc>
        <w:tc>
          <w:tcPr>
            <w:tcW w:w="3960" w:type="dxa"/>
          </w:tcPr>
          <w:p w:rsidRPr="00F10071" w:rsidR="00041293" w:rsidP="00145F36" w:rsidRDefault="00AA3CF0" w14:paraId="6F324100" w14:textId="6D3AF9FC">
            <w:pPr>
              <w:adjustRightInd w:val="0"/>
              <w:spacing w:before="0" w:after="0"/>
              <w:jc w:val="center"/>
              <w:textAlignment w:val="baseline"/>
              <w:rPr>
                <w:rFonts w:eastAsia="Times New Roman" w:cs="Arial"/>
              </w:rPr>
            </w:pPr>
            <w:r>
              <w:rPr>
                <w:rFonts w:eastAsia="Times New Roman" w:cs="Arial"/>
              </w:rPr>
              <w:t>0.05</w:t>
            </w:r>
          </w:p>
        </w:tc>
      </w:tr>
      <w:tr w:rsidRPr="00F10071" w:rsidR="00041293" w:rsidTr="00041293" w14:paraId="3B064109" w14:textId="77777777">
        <w:tc>
          <w:tcPr>
            <w:tcW w:w="1440" w:type="dxa"/>
          </w:tcPr>
          <w:p w:rsidRPr="0091398F" w:rsidR="00041293" w:rsidP="00145F36" w:rsidRDefault="00041293" w14:paraId="413D484C" w14:textId="77777777">
            <w:pPr>
              <w:adjustRightInd w:val="0"/>
              <w:spacing w:before="0" w:after="0"/>
              <w:jc w:val="center"/>
              <w:textAlignment w:val="baseline"/>
              <w:rPr>
                <w:rFonts w:eastAsia="Times New Roman" w:cs="Arial"/>
                <w:b/>
                <w:bCs/>
              </w:rPr>
            </w:pPr>
            <w:r>
              <w:rPr>
                <w:rFonts w:eastAsia="Times New Roman" w:cs="Arial"/>
                <w:b/>
                <w:bCs/>
              </w:rPr>
              <w:t>November</w:t>
            </w:r>
          </w:p>
        </w:tc>
        <w:tc>
          <w:tcPr>
            <w:tcW w:w="3960" w:type="dxa"/>
          </w:tcPr>
          <w:p w:rsidRPr="00F10071" w:rsidR="00041293" w:rsidP="00145F36" w:rsidRDefault="00061394" w14:paraId="670B63F3" w14:textId="157BDFDE">
            <w:pPr>
              <w:adjustRightInd w:val="0"/>
              <w:spacing w:before="0" w:after="0"/>
              <w:jc w:val="center"/>
              <w:textAlignment w:val="baseline"/>
              <w:rPr>
                <w:rFonts w:eastAsia="Times New Roman" w:cs="Arial"/>
              </w:rPr>
            </w:pPr>
            <w:r>
              <w:rPr>
                <w:rFonts w:eastAsia="Times New Roman" w:cs="Arial"/>
              </w:rPr>
              <w:t>0.05</w:t>
            </w:r>
          </w:p>
        </w:tc>
      </w:tr>
    </w:tbl>
    <w:p w:rsidR="02049F17" w:rsidP="54C72364" w:rsidRDefault="02049F17" w14:paraId="7C468B13" w14:textId="5876AC99">
      <w:pPr>
        <w:pStyle w:val="zGNormal"/>
      </w:pPr>
      <w:r>
        <w:rPr>
          <w:b/>
          <w:bCs/>
        </w:rPr>
        <w:t xml:space="preserve">2.5 No GPC Payment Obligation Before </w:t>
      </w:r>
      <w:r w:rsidR="001A3505">
        <w:rPr>
          <w:b/>
          <w:bCs/>
        </w:rPr>
        <w:t>the Delivery Commencement Date</w:t>
      </w:r>
      <w:r>
        <w:rPr>
          <w:b/>
          <w:bCs/>
        </w:rPr>
        <w:t xml:space="preserve">. </w:t>
      </w:r>
      <w:r>
        <w:t xml:space="preserve">GPC will not owe Seller any payment or other compensation for the capacity of the Facility for any Month before the Month of the Delivery Commencement Date, even if Seller achieves Commercial Operation of the Facility </w:t>
      </w:r>
      <w:r w:rsidR="00E81E57">
        <w:t xml:space="preserve">more than nine Months </w:t>
      </w:r>
      <w:r>
        <w:t>before the RCOD.</w:t>
      </w:r>
    </w:p>
    <w:p w:rsidRPr="006E0A0D" w:rsidR="00D96326" w:rsidP="00D96326" w:rsidRDefault="00D96326" w14:paraId="33C237E5" w14:textId="56E781CC">
      <w:pPr>
        <w:pStyle w:val="zG01"/>
      </w:pPr>
      <w:r>
        <w:t>Monthly Availability Adjustment</w:t>
      </w:r>
    </w:p>
    <w:p w:rsidRPr="006E0A0D" w:rsidR="00D96326" w:rsidP="00D96326" w:rsidRDefault="00D96326" w14:paraId="3CE70F67" w14:textId="77526844">
      <w:pPr>
        <w:pStyle w:val="zG02"/>
      </w:pPr>
      <w:r>
        <w:rPr>
          <w:b/>
          <w:bCs/>
        </w:rPr>
        <w:t>Calculation of Monthly Availability Adjustment.</w:t>
      </w:r>
      <w:r>
        <w:t xml:space="preserve"> For each Month of each Annual Period, GPC will determine the “Monthly Availability Adjustment (MAA)” by taking the </w:t>
      </w:r>
      <w:r>
        <w:rPr>
          <w:i/>
          <w:iCs/>
        </w:rPr>
        <w:t>sum</w:t>
      </w:r>
      <w:r>
        <w:t xml:space="preserve"> of: (</w:t>
      </w:r>
      <w:proofErr w:type="spellStart"/>
      <w:r>
        <w:t>i</w:t>
      </w:r>
      <w:proofErr w:type="spellEnd"/>
      <w:r>
        <w:t xml:space="preserve">) the product of: (a) the Monthly Capacity Fee; times (b) the Monthly Availability Factor; </w:t>
      </w:r>
      <w:r>
        <w:rPr>
          <w:i/>
          <w:iCs/>
        </w:rPr>
        <w:t xml:space="preserve">plus </w:t>
      </w:r>
      <w:r>
        <w:t xml:space="preserve">(ii) Replacement Costs, as shown in the following equation:  </w:t>
      </w:r>
    </w:p>
    <w:p w:rsidRPr="006E0A0D" w:rsidR="00D96326" w:rsidP="00D96326" w:rsidRDefault="00D96326" w14:paraId="0746B9A3" w14:textId="2F76E14E">
      <w:pPr>
        <w:pStyle w:val="zG02"/>
        <w:numPr>
          <w:ilvl w:val="0"/>
          <w:numId w:val="0"/>
        </w:numPr>
      </w:pPr>
      <w:r>
        <w:rPr>
          <w:b/>
        </w:rPr>
        <w:t xml:space="preserve">MAA </w:t>
      </w:r>
      <w:r>
        <w:t>= (MCF * MAF) + (Replacement Costs)</w:t>
      </w:r>
    </w:p>
    <w:p w:rsidRPr="006E0A0D" w:rsidR="00D96326" w:rsidP="00D96326" w:rsidRDefault="00D96326" w14:paraId="3F4C662D" w14:textId="77777777">
      <w:pPr>
        <w:pStyle w:val="zG02"/>
        <w:numPr>
          <w:ilvl w:val="0"/>
          <w:numId w:val="0"/>
        </w:numPr>
      </w:pPr>
      <w:r>
        <w:t>Where:</w:t>
      </w:r>
    </w:p>
    <w:p w:rsidRPr="006E0A0D" w:rsidR="00D96326" w:rsidP="00D96326" w:rsidRDefault="00D96326" w14:paraId="70F89C85" w14:textId="7EAE36B0">
      <w:pPr>
        <w:pStyle w:val="zG02"/>
        <w:numPr>
          <w:ilvl w:val="0"/>
          <w:numId w:val="0"/>
        </w:numPr>
        <w:ind w:left="576"/>
      </w:pPr>
      <w:r>
        <w:rPr>
          <w:b/>
        </w:rPr>
        <w:t>MCF</w:t>
      </w:r>
      <w:r>
        <w:t xml:space="preserve"> = The Monthly Capacity Fee for the Month determined in accordance with Section 2.1 (</w:t>
      </w:r>
      <w:r>
        <w:rPr>
          <w:i/>
          <w:iCs/>
        </w:rPr>
        <w:t>Calculation of Monthly Capacity Payment</w:t>
      </w:r>
      <w:r>
        <w:t>).</w:t>
      </w:r>
    </w:p>
    <w:p w:rsidRPr="006E0A0D" w:rsidR="00D96326" w:rsidP="00D96326" w:rsidRDefault="00D96326" w14:paraId="0C9981CC" w14:textId="28B80470">
      <w:pPr>
        <w:pStyle w:val="zG02"/>
        <w:numPr>
          <w:ilvl w:val="0"/>
          <w:numId w:val="0"/>
        </w:numPr>
        <w:ind w:left="576"/>
      </w:pPr>
      <w:r>
        <w:rPr>
          <w:b/>
        </w:rPr>
        <w:t>MAF</w:t>
      </w:r>
      <w:r>
        <w:t xml:space="preserve"> = The Monthly Availability Factor for the Month from Table B-4 (</w:t>
      </w:r>
      <w:r>
        <w:rPr>
          <w:i/>
          <w:iCs/>
        </w:rPr>
        <w:t>Monthly Availability Factor</w:t>
      </w:r>
      <w:r>
        <w:t>) based on the MAP for the Month, as determined in accordance with this Part 3 (</w:t>
      </w:r>
      <w:r>
        <w:rPr>
          <w:i/>
          <w:iCs/>
        </w:rPr>
        <w:t>Monthly Availability Adjustment</w:t>
      </w:r>
      <w:r>
        <w:t>).</w:t>
      </w:r>
    </w:p>
    <w:p w:rsidRPr="006E0A0D" w:rsidR="00D96326" w:rsidP="00D96326" w:rsidRDefault="00D96326" w14:paraId="78151CBD" w14:textId="77777777">
      <w:pPr>
        <w:pStyle w:val="zG02"/>
        <w:numPr>
          <w:ilvl w:val="0"/>
          <w:numId w:val="0"/>
        </w:numPr>
        <w:ind w:left="576"/>
      </w:pPr>
      <w:r>
        <w:rPr>
          <w:b/>
        </w:rPr>
        <w:t>MAP</w:t>
      </w:r>
      <w:r>
        <w:t xml:space="preserve"> = The Monthly Availability Percentage for the Month as determined in accordance with this Part 3 (</w:t>
      </w:r>
      <w:r>
        <w:rPr>
          <w:i/>
          <w:iCs/>
        </w:rPr>
        <w:t>Monthly Availability Adjustment</w:t>
      </w:r>
      <w:r>
        <w:t>).</w:t>
      </w:r>
    </w:p>
    <w:p w:rsidRPr="006E0A0D" w:rsidR="00D96326" w:rsidP="00AD565F" w:rsidRDefault="00D96326" w14:paraId="5B6B2F2D" w14:textId="23D32BBD">
      <w:pPr>
        <w:pStyle w:val="zG02"/>
        <w:numPr>
          <w:ilvl w:val="0"/>
          <w:numId w:val="0"/>
        </w:numPr>
        <w:ind w:left="576"/>
      </w:pPr>
      <w:r>
        <w:rPr>
          <w:b/>
        </w:rPr>
        <w:t>Replacement Costs</w:t>
      </w:r>
      <w:r>
        <w:t xml:space="preserve"> = The total Replacement Costs determined in accordance with Part 4 (</w:t>
      </w:r>
      <w:r>
        <w:rPr>
          <w:i/>
          <w:iCs/>
        </w:rPr>
        <w:t>Calculation</w:t>
      </w:r>
      <w:r>
        <w:rPr>
          <w:i/>
        </w:rPr>
        <w:t xml:space="preserve"> of </w:t>
      </w:r>
      <w:r>
        <w:rPr>
          <w:i/>
          <w:iCs/>
        </w:rPr>
        <w:t>Replacement Costs)</w:t>
      </w:r>
      <w:r w:rsidR="00657DD8">
        <w:rPr>
          <w:i/>
          <w:iCs/>
        </w:rPr>
        <w:t xml:space="preserve"> </w:t>
      </w:r>
      <w:r w:rsidRPr="00657DD8" w:rsidR="00657DD8">
        <w:t>for the Month</w:t>
      </w:r>
      <w:r w:rsidR="00657DD8">
        <w:t xml:space="preserve"> if the MAP </w:t>
      </w:r>
      <w:r w:rsidR="00ED4F7D">
        <w:t xml:space="preserve">for such Month </w:t>
      </w:r>
      <w:r w:rsidR="00657DD8">
        <w:t>is</w:t>
      </w:r>
      <w:r w:rsidR="00ED4F7D">
        <w:t xml:space="preserve"> below 96%.</w:t>
      </w:r>
      <w:r w:rsidR="00657DD8">
        <w:t xml:space="preserve"> </w:t>
      </w:r>
      <w:r w:rsidR="00094F4F">
        <w:t xml:space="preserve">For any Month in which the MAP is greater than or equal to 96%, the Replacement Costs will be deemed $0 for purposes of the MAA calculation. </w:t>
      </w:r>
    </w:p>
    <w:p w:rsidRPr="006E0A0D" w:rsidR="00D96326" w:rsidP="00D96326" w:rsidRDefault="00D96326" w14:paraId="39FDA8B7" w14:textId="17CF0338">
      <w:pPr>
        <w:pStyle w:val="zG02"/>
      </w:pPr>
      <w:r>
        <w:rPr>
          <w:b/>
          <w:bCs/>
        </w:rPr>
        <w:t>Calculation of Monthly Availability Percentage.</w:t>
      </w:r>
      <w:r>
        <w:t xml:space="preserve"> For each Month of each Annual Period, the Monthly Availability Percentage (MAP) for a Month will be determined as follows:</w:t>
      </w:r>
    </w:p>
    <w:p w:rsidRPr="006E0A0D" w:rsidR="00D96326" w:rsidP="00D96326" w:rsidRDefault="00D96326" w14:paraId="533E4660" w14:textId="77777777">
      <w:pPr>
        <w:adjustRightInd w:val="0"/>
        <w:spacing w:before="0" w:after="0"/>
        <w:ind w:left="450" w:hanging="450"/>
        <w:textAlignment w:val="baseline"/>
        <w:rPr>
          <w:rFonts w:eastAsia="Times New Roman" w:cs="Arial"/>
        </w:rPr>
      </w:pPr>
    </w:p>
    <w:p w:rsidRPr="006E0A0D" w:rsidR="00D96326" w:rsidP="00D96326" w:rsidRDefault="00D96326" w14:paraId="171EBF2C" w14:textId="542E5C26">
      <w:pPr>
        <w:adjustRightInd w:val="0"/>
        <w:spacing w:before="0" w:after="0"/>
        <w:ind w:left="446" w:firstLine="274"/>
        <w:jc w:val="center"/>
        <w:textAlignment w:val="baseline"/>
        <w:rPr>
          <w:rFonts w:eastAsia="Times New Roman" w:cs="Arial"/>
        </w:rPr>
      </w:pPr>
      <w:r>
        <w:rPr>
          <w:rFonts w:eastAsia="Times New Roman" w:cs="Arial"/>
          <w:b/>
        </w:rPr>
        <w:t xml:space="preserve">MAP  </w:t>
      </w:r>
      <w:r>
        <w:rPr>
          <w:rFonts w:eastAsia="Times New Roman" w:cs="Arial"/>
        </w:rPr>
        <w:t xml:space="preserve">=  100% * (1.0 - </w:t>
      </w:r>
      <w:r>
        <w:rPr>
          <w:rFonts w:eastAsia="Times New Roman" w:cs="Arial"/>
          <w:u w:val="single"/>
        </w:rPr>
        <w:t>(FOH + EFDH – ARDH) )</w:t>
      </w:r>
    </w:p>
    <w:p w:rsidRPr="006E0A0D" w:rsidR="00D96326" w:rsidP="00D96326" w:rsidRDefault="00D96326" w14:paraId="1198BCD9" w14:textId="04097B3E">
      <w:pPr>
        <w:adjustRightInd w:val="0"/>
        <w:spacing w:before="0" w:after="240"/>
        <w:ind w:left="3330" w:firstLine="1278"/>
        <w:textAlignment w:val="baseline"/>
        <w:rPr>
          <w:rFonts w:eastAsia="Times New Roman" w:cs="Arial"/>
        </w:rPr>
      </w:pPr>
      <w:r>
        <w:rPr>
          <w:rFonts w:eastAsia="Times New Roman" w:cs="Arial"/>
        </w:rPr>
        <w:t xml:space="preserve">                  </w:t>
      </w:r>
      <w:r>
        <w:rPr>
          <w:rFonts w:cs="Arial"/>
        </w:rPr>
        <w:t>MH</w:t>
      </w:r>
    </w:p>
    <w:p w:rsidRPr="006E0A0D" w:rsidR="00D96326" w:rsidP="00D96326" w:rsidRDefault="00D96326" w14:paraId="2B919DB6" w14:textId="77777777">
      <w:pPr>
        <w:pStyle w:val="zG02"/>
        <w:numPr>
          <w:ilvl w:val="0"/>
          <w:numId w:val="0"/>
        </w:numPr>
      </w:pPr>
      <w:r>
        <w:tab/>
        <w:t>Where:</w:t>
      </w:r>
    </w:p>
    <w:p w:rsidRPr="006E0A0D" w:rsidR="00D96326" w:rsidP="00D96326" w:rsidRDefault="00D96326" w14:paraId="0C5C1088" w14:textId="7AC9A3C8">
      <w:pPr>
        <w:pStyle w:val="zG02"/>
        <w:numPr>
          <w:ilvl w:val="0"/>
          <w:numId w:val="0"/>
        </w:numPr>
        <w:ind w:left="1152"/>
      </w:pPr>
      <w:r>
        <w:rPr>
          <w:b/>
        </w:rPr>
        <w:t xml:space="preserve">FOH </w:t>
      </w:r>
      <w:r>
        <w:t xml:space="preserve">= </w:t>
      </w:r>
      <w:bookmarkStart w:name="_Hlk195653490" w:id="407"/>
      <w:r>
        <w:t>The sum of Unplanned (Forced) Outage Hours for the Month.</w:t>
      </w:r>
      <w:bookmarkEnd w:id="407"/>
    </w:p>
    <w:p w:rsidR="00243C06" w:rsidP="00D96326" w:rsidRDefault="00D96326" w14:paraId="306C3B38" w14:textId="77777777">
      <w:pPr>
        <w:pStyle w:val="zG02"/>
        <w:numPr>
          <w:ilvl w:val="0"/>
          <w:numId w:val="0"/>
        </w:numPr>
        <w:ind w:left="1152"/>
      </w:pPr>
      <w:r>
        <w:rPr>
          <w:b/>
        </w:rPr>
        <w:t xml:space="preserve">EFDH </w:t>
      </w:r>
      <w:r>
        <w:t xml:space="preserve">= The sum of Equivalent Unplanned (Forced) Derated Unit Hours for the Month.  </w:t>
      </w:r>
    </w:p>
    <w:p w:rsidRPr="006E0A0D" w:rsidR="00D96326" w:rsidP="00D96326" w:rsidRDefault="00D96326" w14:paraId="42F2FAD6" w14:textId="47AF6CBF">
      <w:pPr>
        <w:pStyle w:val="zG02"/>
        <w:numPr>
          <w:ilvl w:val="0"/>
          <w:numId w:val="0"/>
        </w:numPr>
        <w:ind w:left="1152"/>
      </w:pPr>
      <w:r>
        <w:t xml:space="preserve">The following are two example calculations for EFDH: </w:t>
      </w:r>
    </w:p>
    <w:p w:rsidRPr="007F2924" w:rsidR="00D96326" w:rsidP="00D96326" w:rsidRDefault="00D96326" w14:paraId="7E8DBDE1" w14:textId="67437CB1">
      <w:pPr>
        <w:pStyle w:val="zG02"/>
        <w:numPr>
          <w:ilvl w:val="0"/>
          <w:numId w:val="0"/>
        </w:numPr>
        <w:ind w:left="2304"/>
      </w:pPr>
      <w:r>
        <w:rPr>
          <w:b/>
          <w:bCs/>
          <w:u w:val="single"/>
        </w:rPr>
        <w:t>Example 1</w:t>
      </w:r>
      <w:r>
        <w:rPr>
          <w:b/>
          <w:bCs/>
        </w:rPr>
        <w:t>:</w:t>
      </w:r>
      <w:r>
        <w:t xml:space="preserve"> If a Facility with an applicable Declared Capacity of 500 MW was derated by 200 MW for 20 Hours, EFDH = 20 Hours * 200 MW/ 500 MW = 8 Hours.</w:t>
      </w:r>
    </w:p>
    <w:p w:rsidRPr="007F2924" w:rsidR="00D96326" w:rsidP="00D96326" w:rsidRDefault="00D96326" w14:paraId="1EBA4E49" w14:textId="5283AF2C">
      <w:pPr>
        <w:pStyle w:val="zG02"/>
        <w:numPr>
          <w:ilvl w:val="0"/>
          <w:numId w:val="0"/>
        </w:numPr>
        <w:ind w:left="2304"/>
      </w:pPr>
      <w:r>
        <w:rPr>
          <w:b/>
          <w:bCs/>
          <w:u w:val="single"/>
        </w:rPr>
        <w:t>Example 2</w:t>
      </w:r>
      <w:r>
        <w:rPr>
          <w:b/>
          <w:bCs/>
        </w:rPr>
        <w:t>:</w:t>
      </w:r>
      <w:r>
        <w:t xml:space="preserve"> If a Facility with an applicable Declared Capacity of 500 MW was derated by 200 MW for 10 Hours and 100 MW for another 10 Hours, EFDH = (10 * 200 MW/ 500 MW) + (10 * 100 MW / 500 MW) = 6 Hours</w:t>
      </w:r>
    </w:p>
    <w:p w:rsidRPr="003A5D86" w:rsidR="00D96326" w:rsidP="00D96326" w:rsidRDefault="00D96326" w14:paraId="6C5A0F92" w14:textId="2363F3E0">
      <w:pPr>
        <w:pStyle w:val="zG02"/>
        <w:numPr>
          <w:ilvl w:val="0"/>
          <w:numId w:val="0"/>
        </w:numPr>
        <w:ind w:left="1152"/>
      </w:pPr>
      <w:r>
        <w:rPr>
          <w:b/>
        </w:rPr>
        <w:t xml:space="preserve">ARDH </w:t>
      </w:r>
      <w:r>
        <w:t>= The sum of “</w:t>
      </w:r>
      <w:r>
        <w:rPr>
          <w:b/>
          <w:bCs/>
        </w:rPr>
        <w:t>Alternate Resource Delivery Hours</w:t>
      </w:r>
      <w:r>
        <w:t>” for the Month, which are the Unplanned (Forced) Outage Hours or Equivalent Unplanned (Forced) Derated Unit Hours for the Month in which delivery is made from an Alternate Resource in accordance with PPA Section 4.1.4 (</w:t>
      </w:r>
      <w:r>
        <w:rPr>
          <w:i/>
          <w:iCs/>
        </w:rPr>
        <w:t>Unavailability</w:t>
      </w:r>
      <w:r>
        <w:t>).</w:t>
      </w:r>
    </w:p>
    <w:p w:rsidRPr="003A5D86" w:rsidR="00D96326" w:rsidP="00D96326" w:rsidRDefault="00D96326" w14:paraId="56145810" w14:textId="64BBCA0C">
      <w:pPr>
        <w:pStyle w:val="zG02"/>
        <w:numPr>
          <w:ilvl w:val="0"/>
          <w:numId w:val="0"/>
        </w:numPr>
        <w:ind w:left="1152"/>
      </w:pPr>
      <w:r>
        <w:rPr>
          <w:b/>
        </w:rPr>
        <w:t xml:space="preserve">MH </w:t>
      </w:r>
      <w:r>
        <w:t>= The total Hours during the applicable Month.</w:t>
      </w:r>
    </w:p>
    <w:p w:rsidRPr="003A5D86" w:rsidR="00D96326" w:rsidP="00D96326" w:rsidRDefault="00D96326" w14:paraId="658339BF" w14:textId="4827F922">
      <w:pPr>
        <w:pStyle w:val="zGNormal"/>
      </w:pPr>
      <w:r>
        <w:t>The calculation of the MAP will not include energy Scheduled during any period of: (</w:t>
      </w:r>
      <w:proofErr w:type="spellStart"/>
      <w:r>
        <w:t>i</w:t>
      </w:r>
      <w:proofErr w:type="spellEnd"/>
      <w:r>
        <w:t xml:space="preserve">) Scheduled Outages or Maintenance Outages; (ii) Unit ramping; (iii) an FME declared by Seller in accordance with PPA Part 15 </w:t>
      </w:r>
      <w:r>
        <w:lastRenderedPageBreak/>
        <w:t>(</w:t>
      </w:r>
      <w:r>
        <w:rPr>
          <w:i/>
          <w:iCs/>
        </w:rPr>
        <w:t>Force Majeure</w:t>
      </w:r>
      <w:r>
        <w:t>) for which Seller has not elected Alternate Delivery in accordance with PPA Section 4.1.4(iii) (</w:t>
      </w:r>
      <w:r>
        <w:rPr>
          <w:i/>
          <w:iCs/>
        </w:rPr>
        <w:t>Requirements for Exercising Delivery Right from an Alternate Resource</w:t>
      </w:r>
      <w:r>
        <w:t>); or (iv) Unavailability Events to the extent they are directly caused by the acts or omissions of GPC.</w:t>
      </w:r>
    </w:p>
    <w:p w:rsidRPr="003A5D86" w:rsidR="00D96326" w:rsidP="00D96326" w:rsidRDefault="00D96326" w14:paraId="423E1EEF" w14:textId="77777777">
      <w:pPr>
        <w:pStyle w:val="BodyText2"/>
        <w:spacing w:line="240" w:lineRule="auto"/>
        <w:rPr>
          <w:rFonts w:cs="Arial"/>
        </w:rPr>
      </w:pPr>
    </w:p>
    <w:p w:rsidRPr="003A5D86" w:rsidR="00D96326" w:rsidP="00D96326" w:rsidRDefault="00D96326" w14:paraId="64358F9D" w14:textId="77777777">
      <w:pPr>
        <w:pStyle w:val="zG02"/>
        <w:rPr>
          <w:b/>
          <w:bCs/>
        </w:rPr>
      </w:pPr>
      <w:r>
        <w:rPr>
          <w:b/>
          <w:bCs/>
        </w:rPr>
        <w:t>Monthly Availability Factor (Applicable to both AGC and Non-AGC Scheduling)</w:t>
      </w:r>
    </w:p>
    <w:p w:rsidRPr="003A5D86" w:rsidR="00D96326" w:rsidP="00D96326" w:rsidRDefault="00D96326" w14:paraId="75D35D3D" w14:textId="77777777">
      <w:pPr>
        <w:pStyle w:val="zG02"/>
        <w:numPr>
          <w:ilvl w:val="0"/>
          <w:numId w:val="0"/>
        </w:numPr>
        <w:rPr>
          <w:rFonts w:eastAsia="Times New Roman"/>
        </w:rPr>
      </w:pPr>
      <w:r>
        <w:rPr>
          <w:rFonts w:eastAsia="Times New Roman"/>
        </w:rPr>
        <w:t>Seller guarantees a minimum MAP of 96% for each Month of each Annual Period.</w:t>
      </w:r>
    </w:p>
    <w:p w:rsidRPr="009B6F9E" w:rsidR="00D96326" w:rsidP="00D96326" w:rsidRDefault="00D96326" w14:paraId="48ACD9E2" w14:textId="3F76629E">
      <w:pPr>
        <w:pStyle w:val="zG02"/>
        <w:numPr>
          <w:ilvl w:val="0"/>
          <w:numId w:val="0"/>
        </w:numPr>
        <w:rPr>
          <w:b/>
          <w:bCs/>
        </w:rPr>
      </w:pPr>
      <w:r>
        <w:rPr>
          <w:rFonts w:eastAsia="Times New Roman"/>
        </w:rPr>
        <w:t xml:space="preserve">The Monthly Availability Factor (MAF) for each Month of each Annual Period </w:t>
      </w:r>
      <w:r>
        <w:t>will</w:t>
      </w:r>
      <w:r>
        <w:rPr>
          <w:rFonts w:eastAsia="Times New Roman"/>
        </w:rPr>
        <w:t xml:space="preserve"> be determined in accordance with Table B-4 (</w:t>
      </w:r>
      <w:r>
        <w:rPr>
          <w:rFonts w:eastAsia="Times New Roman"/>
          <w:i/>
        </w:rPr>
        <w:t>Monthly Availability Factor (MAF)</w:t>
      </w:r>
      <w:r>
        <w:rPr>
          <w:rFonts w:eastAsia="Times New Roman"/>
        </w:rPr>
        <w:t xml:space="preserve">), based on the MAP for the applicable Month. </w:t>
      </w:r>
    </w:p>
    <w:p w:rsidRPr="00F10071" w:rsidR="00D96326" w:rsidP="00D96326" w:rsidRDefault="00D96326" w14:paraId="2A2F7C29" w14:textId="77777777">
      <w:pPr>
        <w:widowControl w:val="0"/>
        <w:adjustRightInd w:val="0"/>
        <w:spacing w:before="0" w:after="0"/>
        <w:ind w:firstLine="720"/>
        <w:textAlignment w:val="baseline"/>
        <w:outlineLvl w:val="0"/>
        <w:rPr>
          <w:rFonts w:eastAsia="Times New Roman" w:cs="Arial"/>
        </w:rPr>
      </w:pPr>
    </w:p>
    <w:tbl>
      <w:tblPr>
        <w:tblW w:w="828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000" w:firstRow="0" w:lastRow="0" w:firstColumn="0" w:lastColumn="0" w:noHBand="0" w:noVBand="0"/>
      </w:tblPr>
      <w:tblGrid>
        <w:gridCol w:w="4868"/>
        <w:gridCol w:w="3420"/>
      </w:tblGrid>
      <w:tr w:rsidRPr="003A4DB0" w:rsidR="00D96326" w14:paraId="631416F6" w14:textId="77777777">
        <w:trPr>
          <w:jc w:val="center"/>
        </w:trPr>
        <w:tc>
          <w:tcPr>
            <w:tcW w:w="8288" w:type="dxa"/>
            <w:gridSpan w:val="2"/>
            <w:shd w:val="clear" w:color="auto" w:fill="D9D9D9" w:themeFill="background1" w:themeFillShade="D9"/>
          </w:tcPr>
          <w:p w:rsidRPr="0089291E" w:rsidR="00D96326" w:rsidRDefault="00D96326" w14:paraId="7ABAE830" w14:textId="2AF05D00">
            <w:pPr>
              <w:widowControl w:val="0"/>
              <w:adjustRightInd w:val="0"/>
              <w:spacing w:before="0" w:after="0" w:line="360" w:lineRule="atLeast"/>
              <w:jc w:val="center"/>
              <w:textAlignment w:val="baseline"/>
              <w:rPr>
                <w:rFonts w:eastAsia="Times New Roman" w:cs="Arial"/>
                <w:b/>
                <w:bCs/>
              </w:rPr>
            </w:pPr>
            <w:r>
              <w:rPr>
                <w:rFonts w:eastAsia="Times New Roman" w:cs="Arial"/>
                <w:b/>
                <w:bCs/>
              </w:rPr>
              <w:t>Table B-4</w:t>
            </w:r>
          </w:p>
          <w:p w:rsidRPr="003A4DB0" w:rsidR="00D96326" w:rsidRDefault="00D96326" w14:paraId="6F6A7B96" w14:textId="77777777">
            <w:pPr>
              <w:widowControl w:val="0"/>
              <w:adjustRightInd w:val="0"/>
              <w:spacing w:before="0" w:after="0" w:line="360" w:lineRule="atLeast"/>
              <w:jc w:val="center"/>
              <w:textAlignment w:val="baseline"/>
              <w:rPr>
                <w:rFonts w:eastAsia="Times New Roman" w:cs="Arial"/>
                <w:b/>
                <w:bCs/>
                <w:u w:val="single"/>
              </w:rPr>
            </w:pPr>
            <w:r>
              <w:rPr>
                <w:rFonts w:eastAsia="Times New Roman" w:cs="Arial"/>
                <w:b/>
                <w:bCs/>
              </w:rPr>
              <w:t>Monthly Availability Factor (MAF)</w:t>
            </w:r>
          </w:p>
        </w:tc>
      </w:tr>
      <w:tr w:rsidRPr="003A4DB0" w:rsidR="00D96326" w14:paraId="719B3346" w14:textId="77777777">
        <w:trPr>
          <w:jc w:val="center"/>
        </w:trPr>
        <w:tc>
          <w:tcPr>
            <w:tcW w:w="4868" w:type="dxa"/>
            <w:shd w:val="clear" w:color="auto" w:fill="F2F2F2" w:themeFill="background1" w:themeFillShade="F2"/>
          </w:tcPr>
          <w:p w:rsidRPr="0089291E" w:rsidR="00D96326" w:rsidRDefault="00D96326" w14:paraId="14C1C3BF" w14:textId="77777777">
            <w:pPr>
              <w:widowControl w:val="0"/>
              <w:adjustRightInd w:val="0"/>
              <w:spacing w:before="0" w:after="0" w:line="360" w:lineRule="atLeast"/>
              <w:ind w:left="450" w:hanging="450"/>
              <w:jc w:val="center"/>
              <w:textAlignment w:val="baseline"/>
              <w:rPr>
                <w:rFonts w:eastAsia="Times New Roman" w:cs="Arial"/>
                <w:b/>
                <w:bCs/>
              </w:rPr>
            </w:pPr>
            <w:r>
              <w:rPr>
                <w:rFonts w:eastAsia="Times New Roman" w:cs="Arial"/>
                <w:b/>
                <w:bCs/>
              </w:rPr>
              <w:t>MAP</w:t>
            </w:r>
          </w:p>
        </w:tc>
        <w:tc>
          <w:tcPr>
            <w:tcW w:w="3420" w:type="dxa"/>
            <w:shd w:val="clear" w:color="auto" w:fill="F2F2F2" w:themeFill="background1" w:themeFillShade="F2"/>
          </w:tcPr>
          <w:p w:rsidRPr="003A4DB0" w:rsidR="00D96326" w:rsidRDefault="00D96326" w14:paraId="687F2AD6" w14:textId="77777777">
            <w:pPr>
              <w:widowControl w:val="0"/>
              <w:adjustRightInd w:val="0"/>
              <w:spacing w:before="0" w:after="0" w:line="360" w:lineRule="atLeast"/>
              <w:ind w:left="450" w:hanging="450"/>
              <w:jc w:val="center"/>
              <w:textAlignment w:val="baseline"/>
              <w:rPr>
                <w:rFonts w:eastAsia="Times New Roman" w:cs="Arial"/>
                <w:b/>
                <w:bCs/>
                <w:u w:val="single"/>
              </w:rPr>
            </w:pPr>
            <w:r>
              <w:rPr>
                <w:rFonts w:eastAsia="Times New Roman" w:cs="Arial"/>
                <w:b/>
                <w:bCs/>
              </w:rPr>
              <w:t>MAF</w:t>
            </w:r>
          </w:p>
        </w:tc>
      </w:tr>
      <w:tr w:rsidRPr="00F10071" w:rsidR="00D96326" w14:paraId="524E16A9" w14:textId="77777777">
        <w:trPr>
          <w:jc w:val="center"/>
        </w:trPr>
        <w:tc>
          <w:tcPr>
            <w:tcW w:w="4868" w:type="dxa"/>
          </w:tcPr>
          <w:p w:rsidRPr="00F10071" w:rsidR="00D96326" w:rsidRDefault="00D96326" w14:paraId="6A0AF4F8" w14:textId="77777777">
            <w:pPr>
              <w:widowControl w:val="0"/>
              <w:adjustRightInd w:val="0"/>
              <w:spacing w:before="0" w:after="0" w:line="360" w:lineRule="atLeast"/>
              <w:ind w:left="450" w:hanging="450"/>
              <w:textAlignment w:val="baseline"/>
              <w:rPr>
                <w:rFonts w:eastAsia="Times New Roman" w:cs="Arial"/>
              </w:rPr>
            </w:pPr>
            <w:r>
              <w:rPr>
                <w:rFonts w:eastAsia="Times New Roman" w:cs="Arial"/>
              </w:rPr>
              <w:t>Greater than or equal to 96%</w:t>
            </w:r>
          </w:p>
        </w:tc>
        <w:tc>
          <w:tcPr>
            <w:tcW w:w="3420" w:type="dxa"/>
          </w:tcPr>
          <w:p w:rsidRPr="00F10071" w:rsidR="00D96326" w:rsidRDefault="00D96326" w14:paraId="4164C7B4" w14:textId="77777777">
            <w:pPr>
              <w:widowControl w:val="0"/>
              <w:adjustRightInd w:val="0"/>
              <w:spacing w:before="0" w:after="0" w:line="360" w:lineRule="atLeast"/>
              <w:ind w:left="450" w:hanging="450"/>
              <w:jc w:val="center"/>
              <w:textAlignment w:val="baseline"/>
              <w:rPr>
                <w:rFonts w:eastAsia="Times New Roman" w:cs="Arial"/>
              </w:rPr>
            </w:pPr>
            <w:r>
              <w:rPr>
                <w:rFonts w:eastAsia="Times New Roman" w:cs="Arial"/>
              </w:rPr>
              <w:t>0</w:t>
            </w:r>
          </w:p>
        </w:tc>
      </w:tr>
      <w:tr w:rsidRPr="00F10071" w:rsidR="00D96326" w14:paraId="5AD74646" w14:textId="77777777">
        <w:trPr>
          <w:jc w:val="center"/>
        </w:trPr>
        <w:tc>
          <w:tcPr>
            <w:tcW w:w="4868" w:type="dxa"/>
          </w:tcPr>
          <w:p w:rsidRPr="00F10071" w:rsidR="00D96326" w:rsidRDefault="00D96326" w14:paraId="18C83C2C" w14:textId="10BD0E20">
            <w:pPr>
              <w:widowControl w:val="0"/>
              <w:adjustRightInd w:val="0"/>
              <w:spacing w:before="0" w:after="0" w:line="360" w:lineRule="atLeast"/>
              <w:ind w:left="450" w:hanging="450"/>
              <w:textAlignment w:val="baseline"/>
              <w:rPr>
                <w:rFonts w:eastAsia="Times New Roman" w:cs="Arial"/>
              </w:rPr>
            </w:pPr>
            <w:r>
              <w:rPr>
                <w:rFonts w:eastAsia="Times New Roman" w:cs="Arial"/>
              </w:rPr>
              <w:t>Less than 96% but at least 60%</w:t>
            </w:r>
          </w:p>
        </w:tc>
        <w:tc>
          <w:tcPr>
            <w:tcW w:w="3420" w:type="dxa"/>
          </w:tcPr>
          <w:p w:rsidRPr="00F10071" w:rsidR="00D96326" w:rsidRDefault="00D96326" w14:paraId="54B9113D" w14:textId="77777777">
            <w:pPr>
              <w:widowControl w:val="0"/>
              <w:adjustRightInd w:val="0"/>
              <w:spacing w:before="0" w:after="0" w:line="360" w:lineRule="atLeast"/>
              <w:ind w:left="450" w:hanging="450"/>
              <w:jc w:val="center"/>
              <w:textAlignment w:val="baseline"/>
              <w:rPr>
                <w:rFonts w:eastAsia="Times New Roman" w:cs="Arial"/>
              </w:rPr>
            </w:pPr>
            <w:r>
              <w:rPr>
                <w:rFonts w:eastAsia="Times New Roman" w:cs="Arial"/>
              </w:rPr>
              <w:t>(96% – MAP) * 1.5</w:t>
            </w:r>
          </w:p>
        </w:tc>
      </w:tr>
      <w:tr w:rsidRPr="00F10071" w:rsidR="00D96326" w14:paraId="577B1C68" w14:textId="77777777">
        <w:trPr>
          <w:jc w:val="center"/>
        </w:trPr>
        <w:tc>
          <w:tcPr>
            <w:tcW w:w="4868" w:type="dxa"/>
          </w:tcPr>
          <w:p w:rsidRPr="00F10071" w:rsidR="00D96326" w:rsidRDefault="00D96326" w14:paraId="0FAFC19A" w14:textId="3FD395ED">
            <w:pPr>
              <w:widowControl w:val="0"/>
              <w:adjustRightInd w:val="0"/>
              <w:spacing w:before="0" w:after="0" w:line="360" w:lineRule="atLeast"/>
              <w:ind w:left="450" w:hanging="450"/>
              <w:textAlignment w:val="baseline"/>
              <w:rPr>
                <w:rFonts w:eastAsia="Times New Roman" w:cs="Arial"/>
              </w:rPr>
            </w:pPr>
            <w:r>
              <w:rPr>
                <w:rFonts w:eastAsia="Times New Roman" w:cs="Arial"/>
              </w:rPr>
              <w:t>Less than 60%</w:t>
            </w:r>
          </w:p>
        </w:tc>
        <w:tc>
          <w:tcPr>
            <w:tcW w:w="3420" w:type="dxa"/>
          </w:tcPr>
          <w:p w:rsidRPr="00F10071" w:rsidR="00D96326" w:rsidRDefault="00D96326" w14:paraId="64A2E013" w14:textId="77777777">
            <w:pPr>
              <w:widowControl w:val="0"/>
              <w:adjustRightInd w:val="0"/>
              <w:spacing w:before="0" w:after="0" w:line="360" w:lineRule="atLeast"/>
              <w:ind w:left="450" w:hanging="450"/>
              <w:jc w:val="center"/>
              <w:textAlignment w:val="baseline"/>
              <w:rPr>
                <w:rFonts w:eastAsia="Times New Roman" w:cs="Arial"/>
              </w:rPr>
            </w:pPr>
            <w:r>
              <w:rPr>
                <w:rFonts w:eastAsia="Times New Roman" w:cs="Arial"/>
              </w:rPr>
              <w:t>1.0</w:t>
            </w:r>
          </w:p>
        </w:tc>
      </w:tr>
    </w:tbl>
    <w:p w:rsidRPr="00F10071" w:rsidR="00D96326" w:rsidP="00D96326" w:rsidRDefault="00D96326" w14:paraId="28FDA404" w14:textId="77777777">
      <w:pPr>
        <w:widowControl w:val="0"/>
        <w:adjustRightInd w:val="0"/>
        <w:spacing w:before="0" w:after="0"/>
        <w:ind w:firstLine="720"/>
        <w:textAlignment w:val="baseline"/>
        <w:outlineLvl w:val="0"/>
        <w:rPr>
          <w:rFonts w:eastAsia="Times New Roman" w:cs="Arial"/>
        </w:rPr>
      </w:pPr>
    </w:p>
    <w:p w:rsidR="00D96326" w:rsidP="00D96326" w:rsidRDefault="00D96326" w14:paraId="2589E5F3" w14:textId="668DAF38">
      <w:pPr>
        <w:pStyle w:val="zG02"/>
        <w:numPr>
          <w:ilvl w:val="0"/>
          <w:numId w:val="0"/>
        </w:numPr>
      </w:pPr>
      <w:r>
        <w:t xml:space="preserve">For an MAP greater than or equal to 96%, the MAF will equal zero. There will be no increase in the Monthly Capacity Payment for an MAP equal to or greater than 96%. </w:t>
      </w:r>
    </w:p>
    <w:p w:rsidR="00D96326" w:rsidP="00D96326" w:rsidRDefault="00D96326" w14:paraId="36477378" w14:textId="332B76B2">
      <w:pPr>
        <w:pStyle w:val="zG02"/>
        <w:numPr>
          <w:ilvl w:val="0"/>
          <w:numId w:val="0"/>
        </w:numPr>
      </w:pPr>
      <w:r>
        <w:t>For a MAP of at least 60% but less than 96%, the MAF is equal to: (</w:t>
      </w:r>
      <w:proofErr w:type="spellStart"/>
      <w:r>
        <w:t>i</w:t>
      </w:r>
      <w:proofErr w:type="spellEnd"/>
      <w:r>
        <w:t xml:space="preserve">) one and one-half; </w:t>
      </w:r>
      <w:r>
        <w:rPr>
          <w:rFonts w:eastAsia="Times New Roman"/>
          <w:bCs/>
          <w:i/>
          <w:iCs/>
        </w:rPr>
        <w:t>times</w:t>
      </w:r>
      <w:r>
        <w:t xml:space="preserve"> (ii) each percent or fraction of MAP shortfall below 96%. For example, if the MAP is 95.2%, there will be </w:t>
      </w:r>
      <w:proofErr w:type="gramStart"/>
      <w:r>
        <w:t>an</w:t>
      </w:r>
      <w:proofErr w:type="gramEnd"/>
      <w:r>
        <w:t xml:space="preserve"> 0.8% shortfall below 96%, and the MAF will be 1.2% (i.e., 1.5 * 0.8% = 1.2%). </w:t>
      </w:r>
    </w:p>
    <w:p w:rsidR="00D96326" w:rsidP="00D96326" w:rsidRDefault="00D96326" w14:paraId="6E25946A" w14:textId="25755D16">
      <w:pPr>
        <w:pStyle w:val="zG02"/>
        <w:numPr>
          <w:ilvl w:val="0"/>
          <w:numId w:val="0"/>
        </w:numPr>
      </w:pPr>
      <w:r>
        <w:t xml:space="preserve">If the MAP is less than 60%, the Monthly Capacity Fee is reduced to zero and the Monthly Capacity Payment will equal zero dollars ($0) for such Month. </w:t>
      </w:r>
    </w:p>
    <w:p w:rsidRPr="002B5C48" w:rsidR="00D96326" w:rsidP="00D96326" w:rsidRDefault="00D96326" w14:paraId="603D10CC" w14:textId="4253DF5B">
      <w:pPr>
        <w:pStyle w:val="zG01"/>
        <w:rPr>
          <w:u w:val="single"/>
        </w:rPr>
      </w:pPr>
      <w:proofErr w:type="gramStart"/>
      <w:r>
        <w:rPr>
          <w:u w:val="single"/>
        </w:rPr>
        <w:t>Calculation of Replacement Costs</w:t>
      </w:r>
      <w:proofErr w:type="gramEnd"/>
      <w:r>
        <w:rPr>
          <w:u w:val="single"/>
        </w:rPr>
        <w:t xml:space="preserve"> </w:t>
      </w:r>
    </w:p>
    <w:p w:rsidRPr="00F567E2" w:rsidR="00F646FB" w:rsidP="00916D76" w:rsidRDefault="00D96326" w14:paraId="368999DA" w14:textId="1A89B6F8">
      <w:pPr>
        <w:pStyle w:val="zG02"/>
        <w:rPr>
          <w:rFonts w:eastAsia="Times New Roman"/>
        </w:rPr>
      </w:pPr>
      <w:r>
        <w:rPr>
          <w:b/>
          <w:bCs/>
        </w:rPr>
        <w:t>Calculation of Replacement Costs.</w:t>
      </w:r>
      <w:r>
        <w:t xml:space="preserve"> </w:t>
      </w:r>
      <w:r w:rsidRPr="00916D76">
        <w:rPr>
          <w:bCs/>
        </w:rPr>
        <w:t>For any given Hour for which there is Undelivered Energy, “</w:t>
      </w:r>
      <w:r w:rsidRPr="00916D76">
        <w:rPr>
          <w:b/>
        </w:rPr>
        <w:t>Replacement Costs</w:t>
      </w:r>
      <w:r w:rsidRPr="00916D76">
        <w:rPr>
          <w:bCs/>
        </w:rPr>
        <w:t>” will be calculated as</w:t>
      </w:r>
      <w:r w:rsidRPr="00916D76" w:rsidR="00916D76">
        <w:rPr>
          <w:bCs/>
        </w:rPr>
        <w:t xml:space="preserve"> </w:t>
      </w:r>
      <w:r w:rsidRPr="00916D76" w:rsidR="006111DB">
        <w:rPr>
          <w:rFonts w:eastAsia="Times New Roman"/>
        </w:rPr>
        <w:t>the</w:t>
      </w:r>
      <w:r w:rsidRPr="00916D76" w:rsidR="006111DB">
        <w:rPr>
          <w:rFonts w:eastAsia="Times New Roman"/>
          <w:bCs/>
        </w:rPr>
        <w:t xml:space="preserve"> sum of: (</w:t>
      </w:r>
      <w:proofErr w:type="spellStart"/>
      <w:r w:rsidRPr="00916D76" w:rsidR="006111DB">
        <w:rPr>
          <w:rFonts w:eastAsia="Times New Roman"/>
          <w:bCs/>
        </w:rPr>
        <w:t>i</w:t>
      </w:r>
      <w:proofErr w:type="spellEnd"/>
      <w:r w:rsidRPr="00916D76" w:rsidR="006111DB">
        <w:rPr>
          <w:rFonts w:eastAsia="Times New Roman"/>
          <w:bCs/>
        </w:rPr>
        <w:t xml:space="preserve">) the </w:t>
      </w:r>
      <w:r w:rsidRPr="00916D76" w:rsidR="006111DB">
        <w:rPr>
          <w:rFonts w:eastAsia="Times New Roman"/>
          <w:b/>
          <w:i/>
          <w:iCs/>
          <w:u w:val="single"/>
        </w:rPr>
        <w:t>product of</w:t>
      </w:r>
      <w:r w:rsidRPr="00916D76" w:rsidR="006111DB">
        <w:rPr>
          <w:rFonts w:eastAsia="Times New Roman"/>
          <w:bCs/>
        </w:rPr>
        <w:t xml:space="preserve">: (a) the Undelivered Energy for the Hour as determined by GPC; </w:t>
      </w:r>
      <w:r w:rsidRPr="00916D76" w:rsidR="006111DB">
        <w:rPr>
          <w:rFonts w:eastAsia="Times New Roman"/>
          <w:b/>
          <w:i/>
          <w:iCs/>
          <w:u w:val="single"/>
        </w:rPr>
        <w:t>times</w:t>
      </w:r>
      <w:r w:rsidRPr="00916D76" w:rsidR="006111DB">
        <w:rPr>
          <w:rFonts w:eastAsia="Times New Roman"/>
          <w:bCs/>
        </w:rPr>
        <w:t xml:space="preserve">: (b) </w:t>
      </w:r>
      <w:r w:rsidRPr="00916D76" w:rsidR="006111DB">
        <w:rPr>
          <w:rFonts w:eastAsia="Times New Roman"/>
          <w:b/>
          <w:i/>
          <w:iCs/>
          <w:u w:val="single"/>
        </w:rPr>
        <w:t>the difference of</w:t>
      </w:r>
      <w:r w:rsidRPr="00916D76" w:rsidR="006111DB">
        <w:rPr>
          <w:rFonts w:eastAsia="Times New Roman"/>
          <w:bCs/>
        </w:rPr>
        <w:t xml:space="preserve">: (I) the Replacement Price for the Hour; </w:t>
      </w:r>
      <w:r w:rsidRPr="00916D76" w:rsidR="006111DB">
        <w:rPr>
          <w:rFonts w:eastAsia="Times New Roman"/>
          <w:b/>
          <w:i/>
          <w:iCs/>
          <w:u w:val="single"/>
        </w:rPr>
        <w:t>minus</w:t>
      </w:r>
      <w:r w:rsidRPr="00916D76" w:rsidR="006111DB">
        <w:rPr>
          <w:rFonts w:eastAsia="Times New Roman"/>
          <w:bCs/>
        </w:rPr>
        <w:t xml:space="preserve"> (II) the Energy Price for the Hour; </w:t>
      </w:r>
      <w:r w:rsidRPr="00916D76" w:rsidR="006111DB">
        <w:rPr>
          <w:rFonts w:eastAsia="Times New Roman"/>
          <w:b/>
          <w:i/>
          <w:iCs/>
          <w:u w:val="single"/>
        </w:rPr>
        <w:t>plus</w:t>
      </w:r>
      <w:r w:rsidRPr="00916D76" w:rsidR="006111DB">
        <w:rPr>
          <w:rFonts w:eastAsia="Times New Roman"/>
          <w:bCs/>
        </w:rPr>
        <w:t xml:space="preserve"> (ii) all documented energy imbalance charges, transmission costs, penalties, charges, and other costs and expenses that </w:t>
      </w:r>
      <w:r w:rsidRPr="00916D76" w:rsidR="006111DB">
        <w:rPr>
          <w:bCs/>
        </w:rPr>
        <w:t>GPC</w:t>
      </w:r>
      <w:r w:rsidRPr="00916D76" w:rsidR="006111DB">
        <w:rPr>
          <w:rFonts w:eastAsia="Times New Roman"/>
          <w:bCs/>
        </w:rPr>
        <w:t xml:space="preserve"> incurs because of the non-delivery of such Undelivered Energy or because of purchasing energy to replace Undelivered Energy, including in accordance with applicable transmission or other tariffs</w:t>
      </w:r>
      <w:r w:rsidRPr="00916D76" w:rsidR="006111DB">
        <w:rPr>
          <w:rFonts w:eastAsia="Times New Roman"/>
        </w:rPr>
        <w:t>.</w:t>
      </w:r>
      <w:r w:rsidRPr="00916D76" w:rsidR="006111DB">
        <w:rPr>
          <w:rFonts w:eastAsia="Times New Roman"/>
          <w:bCs/>
        </w:rPr>
        <w:t xml:space="preserve"> If the sum of (</w:t>
      </w:r>
      <w:proofErr w:type="spellStart"/>
      <w:r w:rsidRPr="00916D76" w:rsidR="006111DB">
        <w:rPr>
          <w:rFonts w:eastAsia="Times New Roman"/>
          <w:bCs/>
        </w:rPr>
        <w:t>i</w:t>
      </w:r>
      <w:proofErr w:type="spellEnd"/>
      <w:r w:rsidRPr="00916D76" w:rsidR="006111DB">
        <w:rPr>
          <w:rFonts w:eastAsia="Times New Roman"/>
          <w:bCs/>
        </w:rPr>
        <w:t xml:space="preserve">) and (ii) is a negative amount for a given Hour, then the Replacement Costs for the Hour </w:t>
      </w:r>
      <w:r w:rsidRPr="00916D76" w:rsidR="006111DB">
        <w:rPr>
          <w:bCs/>
        </w:rPr>
        <w:t>will</w:t>
      </w:r>
      <w:r w:rsidRPr="00916D76" w:rsidR="006111DB">
        <w:rPr>
          <w:rFonts w:eastAsia="Times New Roman"/>
          <w:bCs/>
        </w:rPr>
        <w:t xml:space="preserve"> be deemed to be equal to zero dollars ($0). </w:t>
      </w:r>
    </w:p>
    <w:p w:rsidR="00D96326" w:rsidP="00D96326" w:rsidRDefault="00D96326" w14:paraId="65A53FA5" w14:textId="77777777">
      <w:pPr>
        <w:pStyle w:val="zG02"/>
        <w:numPr>
          <w:ilvl w:val="0"/>
          <w:numId w:val="0"/>
        </w:numPr>
        <w:rPr>
          <w:bCs/>
        </w:rPr>
      </w:pPr>
      <w:r>
        <w:rPr>
          <w:bCs/>
        </w:rPr>
        <w:tab/>
        <w:t>Where:</w:t>
      </w:r>
    </w:p>
    <w:p w:rsidRPr="003A5D86" w:rsidR="00D96326" w:rsidP="00D96326" w:rsidRDefault="00D96326" w14:paraId="5C93D4EE" w14:textId="51FADCB1">
      <w:pPr>
        <w:pStyle w:val="zG02"/>
        <w:numPr>
          <w:ilvl w:val="0"/>
          <w:numId w:val="0"/>
        </w:numPr>
        <w:ind w:left="1152"/>
        <w:rPr>
          <w:bCs/>
        </w:rPr>
      </w:pPr>
      <w:r>
        <w:rPr>
          <w:b/>
        </w:rPr>
        <w:t>Energy Price</w:t>
      </w:r>
      <w:r>
        <w:rPr>
          <w:bCs/>
        </w:rPr>
        <w:t xml:space="preserve"> = For a given Hour, the applicable price of the Undelivered Energy for such Hour as determined in accordance with Exhibit C (</w:t>
      </w:r>
      <w:r>
        <w:rPr>
          <w:bCs/>
          <w:i/>
          <w:iCs/>
        </w:rPr>
        <w:t>Energy Payment Calculation</w:t>
      </w:r>
      <w:r>
        <w:rPr>
          <w:bCs/>
        </w:rPr>
        <w:t xml:space="preserve">), if the Undelivered Energy had been delivered from the Facility in accordance with this PPA. </w:t>
      </w:r>
    </w:p>
    <w:p w:rsidRPr="003A5D86" w:rsidR="00D96326" w:rsidP="4ED06594" w:rsidRDefault="00D96326" w14:paraId="2E5C8382" w14:textId="2007A31B">
      <w:pPr>
        <w:pStyle w:val="zG02"/>
        <w:numPr>
          <w:ilvl w:val="0"/>
          <w:numId w:val="0"/>
        </w:numPr>
        <w:ind w:left="1152"/>
        <w:rPr>
          <w:bCs/>
        </w:rPr>
      </w:pPr>
      <w:r>
        <w:rPr>
          <w:b/>
        </w:rPr>
        <w:t>Replacement Price</w:t>
      </w:r>
      <w:r>
        <w:rPr>
          <w:bCs/>
        </w:rPr>
        <w:t xml:space="preserve"> = For any given Hour for which there is Undelivered Energy, </w:t>
      </w:r>
      <w:r w:rsidR="00C26995">
        <w:rPr>
          <w:bCs/>
        </w:rPr>
        <w:t>an amount equal to</w:t>
      </w:r>
      <w:r>
        <w:rPr>
          <w:bCs/>
        </w:rPr>
        <w:t>: (</w:t>
      </w:r>
      <w:proofErr w:type="spellStart"/>
      <w:r>
        <w:rPr>
          <w:bCs/>
        </w:rPr>
        <w:t>i</w:t>
      </w:r>
      <w:proofErr w:type="spellEnd"/>
      <w:r>
        <w:rPr>
          <w:bCs/>
        </w:rPr>
        <w:t xml:space="preserve">) </w:t>
      </w:r>
      <w:r w:rsidR="007A3D96">
        <w:rPr>
          <w:bCs/>
        </w:rPr>
        <w:t>for</w:t>
      </w:r>
      <w:r w:rsidR="00692AE2">
        <w:rPr>
          <w:bCs/>
        </w:rPr>
        <w:t xml:space="preserve"> </w:t>
      </w:r>
      <w:r w:rsidR="007A3D96">
        <w:rPr>
          <w:bCs/>
        </w:rPr>
        <w:t xml:space="preserve">any </w:t>
      </w:r>
      <w:r w:rsidR="008D5AA8">
        <w:rPr>
          <w:bCs/>
        </w:rPr>
        <w:t>portion of Undelivered Energy for the Hour</w:t>
      </w:r>
      <w:r w:rsidR="007A3D96">
        <w:rPr>
          <w:bCs/>
        </w:rPr>
        <w:t xml:space="preserve"> for which GPC does not purchase replacement energy</w:t>
      </w:r>
      <w:r w:rsidR="008D5AA8">
        <w:rPr>
          <w:bCs/>
        </w:rPr>
        <w:t>,</w:t>
      </w:r>
      <w:r>
        <w:rPr>
          <w:bCs/>
        </w:rPr>
        <w:t xml:space="preserve"> the GPC System Incremental Cost for the Hour; or (ii) </w:t>
      </w:r>
      <w:r w:rsidR="000C12B8">
        <w:rPr>
          <w:bCs/>
        </w:rPr>
        <w:t xml:space="preserve">for any portion of Undelivered Energy for the Hour </w:t>
      </w:r>
      <w:r w:rsidR="001D41BC">
        <w:rPr>
          <w:bCs/>
        </w:rPr>
        <w:t>for</w:t>
      </w:r>
      <w:r w:rsidR="000C12B8">
        <w:rPr>
          <w:bCs/>
        </w:rPr>
        <w:t xml:space="preserve"> which GPC does purchase </w:t>
      </w:r>
      <w:r w:rsidR="001D41BC">
        <w:rPr>
          <w:bCs/>
        </w:rPr>
        <w:t>replacement energy</w:t>
      </w:r>
      <w:r>
        <w:rPr>
          <w:bCs/>
        </w:rPr>
        <w:t xml:space="preserve">, the price </w:t>
      </w:r>
      <w:r w:rsidR="008E4ABC">
        <w:rPr>
          <w:bCs/>
        </w:rPr>
        <w:t xml:space="preserve">at </w:t>
      </w:r>
      <w:r>
        <w:rPr>
          <w:bCs/>
        </w:rPr>
        <w:t xml:space="preserve">which GPC purchases </w:t>
      </w:r>
      <w:r w:rsidR="008E4ABC">
        <w:rPr>
          <w:bCs/>
        </w:rPr>
        <w:t>such replacement</w:t>
      </w:r>
      <w:r>
        <w:rPr>
          <w:bCs/>
        </w:rPr>
        <w:t xml:space="preserve"> energy, </w:t>
      </w:r>
      <w:r>
        <w:rPr>
          <w:i/>
        </w:rPr>
        <w:t xml:space="preserve">plus </w:t>
      </w:r>
      <w:r>
        <w:rPr>
          <w:bCs/>
        </w:rPr>
        <w:t xml:space="preserve">documented costs and fees reasonably incurred by GPC in purchasing the replacement energy (e.g., broker fees), </w:t>
      </w:r>
      <w:r>
        <w:rPr>
          <w:i/>
        </w:rPr>
        <w:t xml:space="preserve">plus </w:t>
      </w:r>
      <w:r>
        <w:rPr>
          <w:bCs/>
        </w:rPr>
        <w:t xml:space="preserve">documented transmission charges and transmission losses, if any, reasonably incurred by GPC to deliver the replacement energy to </w:t>
      </w:r>
      <w:r w:rsidR="004C2664">
        <w:t xml:space="preserve">a delivery point designated by GPC at which GPC is able to procure Firm </w:t>
      </w:r>
      <w:r w:rsidR="004C2664">
        <w:lastRenderedPageBreak/>
        <w:t>Transmission in accordance with the Southern OATT</w:t>
      </w:r>
      <w:r>
        <w:rPr>
          <w:bCs/>
        </w:rPr>
        <w:t xml:space="preserve">, </w:t>
      </w:r>
      <w:r w:rsidRPr="006415D1" w:rsidR="006415D1">
        <w:rPr>
          <w:bCs/>
          <w:i/>
          <w:iCs/>
        </w:rPr>
        <w:t>plus</w:t>
      </w:r>
      <w:r>
        <w:rPr>
          <w:bCs/>
        </w:rPr>
        <w:t xml:space="preserve"> administrative costs, if any, reasonably incurred by GPC for the replacement energy (in each case stated in terms of $/MWh of replacement energy)</w:t>
      </w:r>
      <w:r w:rsidR="00705AEF">
        <w:rPr>
          <w:bCs/>
        </w:rPr>
        <w:t>.</w:t>
      </w:r>
      <w:r>
        <w:rPr>
          <w:bCs/>
        </w:rPr>
        <w:t xml:space="preserve"> </w:t>
      </w:r>
      <w:r w:rsidR="006415D1">
        <w:rPr>
          <w:bCs/>
        </w:rPr>
        <w:t>For the avoidance of doubt</w:t>
      </w:r>
      <w:r>
        <w:rPr>
          <w:bCs/>
        </w:rPr>
        <w:t xml:space="preserve">, GPC will not be required to enter into any transaction or agreement to purchase energy with any Person to determine the Replacement Price.  </w:t>
      </w:r>
    </w:p>
    <w:p w:rsidRPr="003A5D86" w:rsidR="00D96326" w:rsidP="00D96326" w:rsidRDefault="00D96326" w14:paraId="2E2DCBEC" w14:textId="4A4A6AC0">
      <w:pPr>
        <w:pStyle w:val="zG02"/>
        <w:numPr>
          <w:ilvl w:val="0"/>
          <w:numId w:val="0"/>
        </w:numPr>
        <w:ind w:left="1152"/>
        <w:rPr>
          <w:bCs/>
        </w:rPr>
      </w:pPr>
      <w:r>
        <w:rPr>
          <w:b/>
        </w:rPr>
        <w:t>GPC System Incremental Cost</w:t>
      </w:r>
      <w:r>
        <w:rPr>
          <w:bCs/>
        </w:rPr>
        <w:t xml:space="preserve"> = For a given Hour, the incremental cost, measured in dollars per MWh, for GPC and its Affiliates to supply the next MWh of energy, after serving the requirements of all of GPC’s and its Affiliates’ native load customers, all other power sales of GPC and its Affiliates (including both firm and non-firm sales), and all contractual obligations of GPC and its Affiliates during such Hour. GPC System Incremental Cost will include marginal replacement fuel cost, variable operation and maintenance costs, fuel handling costs, emission allowance replacement costs, compensation for transmission losses, delivered cost of energy purchases from others, start-up and unit commitment costs, and any other energy-related costs, all as determined by GPC after the applicable Hour. </w:t>
      </w:r>
    </w:p>
    <w:p w:rsidRPr="003A5D86" w:rsidR="00D96326" w:rsidP="00D96326" w:rsidRDefault="00D96326" w14:paraId="28DB0021" w14:textId="1C90A4D3">
      <w:pPr>
        <w:pStyle w:val="zG02"/>
        <w:numPr>
          <w:ilvl w:val="0"/>
          <w:numId w:val="0"/>
        </w:numPr>
        <w:ind w:left="1152"/>
        <w:rPr>
          <w:bCs/>
        </w:rPr>
      </w:pPr>
      <w:r>
        <w:rPr>
          <w:b/>
        </w:rPr>
        <w:t>Undelivered Energy</w:t>
      </w:r>
      <w:r>
        <w:rPr>
          <w:bCs/>
        </w:rPr>
        <w:t xml:space="preserve"> = For a given Hour, the amount of energy GPC Scheduled for delivery during the Hour that Seller does not deliver in accordance with this PPA, excluding energy that is not provided because of an FME declared by Seller in accordance with PPA Part 15 (</w:t>
      </w:r>
      <w:r>
        <w:rPr>
          <w:bCs/>
          <w:i/>
          <w:iCs/>
        </w:rPr>
        <w:t>Force Majeure</w:t>
      </w:r>
      <w:r>
        <w:rPr>
          <w:bCs/>
        </w:rPr>
        <w:t>) for which Seller has not elected Alternate Delivery in accordance with PPA Section 4.1.4(iii) (</w:t>
      </w:r>
      <w:r>
        <w:rPr>
          <w:bCs/>
          <w:i/>
          <w:iCs/>
        </w:rPr>
        <w:t>Requirements for Exercising Delivery Right from an Alternate Resource</w:t>
      </w:r>
      <w:r>
        <w:rPr>
          <w:bCs/>
        </w:rPr>
        <w:t>), but including energy that is not delivered because of a Forced Outage or a Forced Derate. However, solely for purposes of this variable, Undelivered Energy for any Hour must not exceed the difference (if positive) of: (</w:t>
      </w:r>
      <w:proofErr w:type="spellStart"/>
      <w:r>
        <w:rPr>
          <w:bCs/>
        </w:rPr>
        <w:t>i</w:t>
      </w:r>
      <w:proofErr w:type="spellEnd"/>
      <w:r>
        <w:rPr>
          <w:bCs/>
        </w:rPr>
        <w:t xml:space="preserve">) the applicable Declared Capacity for the Hour; minus (ii) Delivered Energy for the Hour, so long </w:t>
      </w:r>
      <w:proofErr w:type="gramStart"/>
      <w:r>
        <w:rPr>
          <w:bCs/>
        </w:rPr>
        <w:t>as if</w:t>
      </w:r>
      <w:proofErr w:type="gramEnd"/>
      <w:r>
        <w:rPr>
          <w:bCs/>
        </w:rPr>
        <w:t xml:space="preserve"> the difference is negative, the Undelivered Energy for the Hour will be equal to zero MWh.  </w:t>
      </w:r>
    </w:p>
    <w:p w:rsidRPr="003A5D86" w:rsidR="00D96326" w:rsidP="00D96326" w:rsidRDefault="00D96326" w14:paraId="74A0B8F1" w14:textId="6A8FE45E">
      <w:pPr>
        <w:pStyle w:val="zG02"/>
        <w:numPr>
          <w:ilvl w:val="0"/>
          <w:numId w:val="0"/>
        </w:numPr>
        <w:ind w:left="1152"/>
        <w:rPr>
          <w:bCs/>
        </w:rPr>
      </w:pPr>
      <w:r>
        <w:rPr>
          <w:b/>
        </w:rPr>
        <w:t>Delivered Energy</w:t>
      </w:r>
      <w:r>
        <w:rPr>
          <w:bCs/>
        </w:rPr>
        <w:t xml:space="preserve"> = For any Hour, the quantity of energy (expressed in MWh) that Seller delivered to the POD in accordance with GPC’s Schedule, excluding test energy and including ramp energy delivered to GPC at the POD.</w:t>
      </w:r>
    </w:p>
    <w:p w:rsidRPr="003A5D86" w:rsidR="00D96326" w:rsidP="00D96326" w:rsidRDefault="00D96326" w14:paraId="54E3F647" w14:textId="77777777">
      <w:pPr>
        <w:pStyle w:val="zG02"/>
        <w:numPr>
          <w:ilvl w:val="0"/>
          <w:numId w:val="0"/>
        </w:numPr>
        <w:rPr>
          <w:b/>
          <w:bCs/>
        </w:rPr>
      </w:pPr>
      <w:r>
        <w:rPr>
          <w:bCs/>
        </w:rPr>
        <w:t>Seller acknowledges and agrees that neither GPC nor its Affiliates will be required to utilize or change their utilization of their individually or collectively owned or controlled assets (including electric generation facilities), purchased power, or market positions to minimize the Replacement Price or Replacement Costs for any given Hour. Further, Seller acknowledges and agrees that GPC will have the right (but will not be required) to purchase energy to replace any Undelivered Energy from any Person(s) in GPC’s reasonable discretion and that the purchase may be utilized in the determination of the Replacement Price or Replacement Costs under this Section 4.1 (</w:t>
      </w:r>
      <w:r>
        <w:rPr>
          <w:bCs/>
          <w:i/>
          <w:iCs/>
        </w:rPr>
        <w:t>Calculation of Replacement Costs</w:t>
      </w:r>
      <w:r>
        <w:rPr>
          <w:bCs/>
        </w:rPr>
        <w:t>).</w:t>
      </w:r>
    </w:p>
    <w:p w:rsidRPr="003A5D86" w:rsidR="00D96326" w:rsidP="00D96326" w:rsidRDefault="00D96326" w14:paraId="486BDE08" w14:textId="77777777">
      <w:pPr>
        <w:pStyle w:val="zG02"/>
      </w:pPr>
      <w:r>
        <w:rPr>
          <w:b/>
          <w:bCs/>
        </w:rPr>
        <w:t>Calculating Monthly Availability Adjustment for Billing Purposes.</w:t>
      </w:r>
      <w:r>
        <w:t xml:space="preserve"> To determine the Monthly Availability Adjustment (MAA) for billing purposes, GPC will provide to Seller, as soon as practicable after, then end of each Month during, each Annual Period, a written statement that sets forth the amount of Replacement Costs, including the Replacement Price for each applicable Hour, except that the calculations may be based on an estimate of the </w:t>
      </w:r>
      <w:r>
        <w:rPr>
          <w:bCs/>
        </w:rPr>
        <w:t>GPC</w:t>
      </w:r>
      <w:r>
        <w:t xml:space="preserve"> System Incremental Cost for the applicable Hours during the Month. If the calculations are based on an estimate of the </w:t>
      </w:r>
      <w:r>
        <w:rPr>
          <w:bCs/>
        </w:rPr>
        <w:t>GPC</w:t>
      </w:r>
      <w:r>
        <w:t xml:space="preserve"> System Incremental Cost, GPC subsequently will recalculate the actual Replacement Costs based on the actual </w:t>
      </w:r>
      <w:r>
        <w:rPr>
          <w:bCs/>
        </w:rPr>
        <w:t>GPC</w:t>
      </w:r>
      <w:r>
        <w:t xml:space="preserve"> System Incremental Cost for each applicable Hour, recalculate the MAA for the applicable Month based on the actual Replacement Costs, and recalculate the MCP for the applicable Month based on the actual MAA. GPC will then true-up the MCP as follows: </w:t>
      </w:r>
    </w:p>
    <w:p w:rsidRPr="003A5D86" w:rsidR="00D96326" w:rsidP="00D96326" w:rsidRDefault="00D96326" w14:paraId="6D31A362" w14:textId="60CA49D7">
      <w:pPr>
        <w:pStyle w:val="zG03"/>
        <w:tabs>
          <w:tab w:val="num" w:pos="497"/>
        </w:tabs>
        <w:ind w:left="180"/>
      </w:pPr>
      <w:r>
        <w:rPr>
          <w:b/>
          <w:bCs/>
        </w:rPr>
        <w:t xml:space="preserve">Previously Paid or Billed MCP &gt; Recalculated MCP. </w:t>
      </w:r>
      <w:r>
        <w:t xml:space="preserve">If the previously paid or billed MCP (based on estimated values of </w:t>
      </w:r>
      <w:r>
        <w:rPr>
          <w:bCs/>
        </w:rPr>
        <w:t>GPC</w:t>
      </w:r>
      <w:r>
        <w:t xml:space="preserve"> System Incremental Cost) is greater than the recalculated MCP (based on actual values of </w:t>
      </w:r>
      <w:r>
        <w:rPr>
          <w:bCs/>
        </w:rPr>
        <w:t>GPC</w:t>
      </w:r>
      <w:r>
        <w:t xml:space="preserve"> System Incremental Cost), the true-up will be implemented through a credit provided to GPC in the corresponding amount of the difference, which will be applied in future invoices for MCP under PPA Part 5 (</w:t>
      </w:r>
      <w:r>
        <w:rPr>
          <w:i/>
          <w:iCs/>
        </w:rPr>
        <w:t>Billing and Collections</w:t>
      </w:r>
      <w:r>
        <w:t>), or if at end of Term, Seller will pay to GPC in accordance with PPA Part 5.</w:t>
      </w:r>
    </w:p>
    <w:p w:rsidRPr="003A5D86" w:rsidR="00D96326" w:rsidP="00D96326" w:rsidRDefault="00D96326" w14:paraId="2455D593" w14:textId="77777777">
      <w:pPr>
        <w:pStyle w:val="zG03"/>
      </w:pPr>
      <w:r>
        <w:rPr>
          <w:b/>
          <w:bCs/>
        </w:rPr>
        <w:t>Previously Paid or Billed MCP &lt; Recalculated MCP.</w:t>
      </w:r>
      <w:r>
        <w:t xml:space="preserve"> If the previously paid or billed MCP (based on estimated values of GPC System Incremental Cost) is less than the recalculated MCP (based on actual values of GPC System Incremental Cost), the true-up will be implemented through an additional amount billed to GPC in the corresponding amount of the difference, which GPC will pay in accordance with PPA Part 5 (</w:t>
      </w:r>
      <w:r>
        <w:rPr>
          <w:i/>
          <w:iCs/>
        </w:rPr>
        <w:t>Billing and Collections</w:t>
      </w:r>
      <w:r>
        <w:t>).</w:t>
      </w:r>
    </w:p>
    <w:p w:rsidRPr="003544E5" w:rsidR="00D96326" w:rsidP="00D96326" w:rsidRDefault="00D96326" w14:paraId="36CBFBC9" w14:textId="77777777">
      <w:pPr>
        <w:pStyle w:val="zGNormal"/>
        <w:sectPr w:rsidRPr="003544E5" w:rsidR="00D96326" w:rsidSect="006B1C54">
          <w:headerReference w:type="default" r:id="rId34"/>
          <w:footerReference w:type="default" r:id="rId35"/>
          <w:pgSz w:w="12240" w:h="15840" w:code="1"/>
          <w:pgMar w:top="1440" w:right="1440" w:bottom="1440" w:left="1440" w:header="720" w:footer="720" w:gutter="0"/>
          <w:paperSrc w:first="15" w:other="15"/>
          <w:cols w:space="1440"/>
        </w:sectPr>
      </w:pPr>
    </w:p>
    <w:p w:rsidRPr="00F10071" w:rsidR="00D96326" w:rsidP="00D96326" w:rsidRDefault="00D96326" w14:paraId="4A872217" w14:textId="7E6BD57E">
      <w:pPr>
        <w:pStyle w:val="zGTitleExhibit"/>
        <w:rPr>
          <w:rFonts w:cs="Arial"/>
        </w:rPr>
      </w:pPr>
      <w:bookmarkStart w:name="_Toc212475776" w:id="408"/>
      <w:bookmarkStart w:name="_Toc227838473" w:id="409"/>
      <w:r>
        <w:rPr>
          <w:rFonts w:cs="Arial"/>
        </w:rPr>
        <w:lastRenderedPageBreak/>
        <w:t>Exhibit C – Energy Payment Calculation</w:t>
      </w:r>
      <w:bookmarkEnd w:id="408"/>
      <w:bookmarkEnd w:id="409"/>
    </w:p>
    <w:p w:rsidRPr="00580466" w:rsidR="00D96326" w:rsidP="00E62CF6" w:rsidRDefault="00D96326" w14:paraId="3D339E8D" w14:textId="2A46587D">
      <w:pPr>
        <w:keepNext/>
        <w:widowControl w:val="0"/>
        <w:numPr>
          <w:ilvl w:val="0"/>
          <w:numId w:val="23"/>
        </w:numPr>
        <w:autoSpaceDE w:val="0"/>
        <w:autoSpaceDN w:val="0"/>
        <w:adjustRightInd w:val="0"/>
        <w:spacing w:before="240" w:after="60"/>
        <w:outlineLvl w:val="0"/>
        <w:rPr>
          <w:rFonts w:cs="Arial" w:eastAsiaTheme="minorEastAsia"/>
          <w:b/>
          <w:caps/>
          <w:spacing w:val="-6"/>
          <w:kern w:val="14"/>
        </w:rPr>
      </w:pPr>
      <w:r>
        <w:rPr>
          <w:rFonts w:cs="Arial" w:eastAsiaTheme="minorEastAsia"/>
          <w:b/>
          <w:caps/>
          <w:spacing w:val="-6"/>
          <w:kern w:val="14"/>
        </w:rPr>
        <w:t>Monthly Energy Payment</w:t>
      </w:r>
    </w:p>
    <w:p w:rsidRPr="00580466" w:rsidR="00D96326" w:rsidP="00D96326" w:rsidRDefault="00D96326" w14:paraId="00566B08" w14:textId="7209F822">
      <w:pPr>
        <w:pStyle w:val="zG02"/>
      </w:pPr>
      <w:r>
        <w:rPr>
          <w:b/>
          <w:bCs/>
        </w:rPr>
        <w:t xml:space="preserve">Monthly Energy Payment Calculation. </w:t>
      </w:r>
      <w:r>
        <w:t>The “</w:t>
      </w:r>
      <w:r>
        <w:rPr>
          <w:b/>
          <w:bCs/>
        </w:rPr>
        <w:t>Monthly Energy Payment (MEP)</w:t>
      </w:r>
      <w:r>
        <w:t>” is determined by taking the sum of: (</w:t>
      </w:r>
      <w:proofErr w:type="spellStart"/>
      <w:r>
        <w:t>i</w:t>
      </w:r>
      <w:proofErr w:type="spellEnd"/>
      <w:r>
        <w:t xml:space="preserve">) the Monthly Energy Payment for the Facility; </w:t>
      </w:r>
      <w:r>
        <w:rPr>
          <w:b/>
          <w:bCs/>
          <w:i/>
          <w:iCs/>
          <w:u w:val="single"/>
        </w:rPr>
        <w:t>plus</w:t>
      </w:r>
      <w:r>
        <w:t xml:space="preserve"> (ii) the Monthly Energy Payment for the Alternate Resource, as shown in the following equation:</w:t>
      </w:r>
    </w:p>
    <w:p w:rsidRPr="00396F9B" w:rsidR="00D96326" w:rsidP="00D96326" w:rsidRDefault="00D96326" w14:paraId="0E54C34A" w14:textId="77777777">
      <w:pPr>
        <w:spacing w:after="240"/>
        <w:ind w:left="720"/>
        <w:rPr>
          <w:rFonts w:cs="Arial"/>
          <w:color w:val="000000"/>
        </w:rPr>
      </w:pPr>
      <w:r>
        <w:rPr>
          <w:rFonts w:cs="Arial"/>
          <w:b/>
          <w:color w:val="000000" w:themeColor="text1"/>
        </w:rPr>
        <w:t xml:space="preserve">MEP </w:t>
      </w:r>
      <w:r>
        <w:rPr>
          <w:rFonts w:cs="Arial"/>
          <w:color w:val="000000" w:themeColor="text1"/>
        </w:rPr>
        <w:t>= MEP</w:t>
      </w:r>
      <w:r>
        <w:rPr>
          <w:rFonts w:cs="Arial"/>
          <w:color w:val="000000" w:themeColor="text1"/>
          <w:vertAlign w:val="subscript"/>
        </w:rPr>
        <w:t>FAC</w:t>
      </w:r>
      <w:r>
        <w:rPr>
          <w:rFonts w:cs="Arial"/>
          <w:color w:val="000000" w:themeColor="text1"/>
        </w:rPr>
        <w:t xml:space="preserve"> + MEP</w:t>
      </w:r>
      <w:r>
        <w:rPr>
          <w:rFonts w:cs="Arial"/>
          <w:color w:val="000000" w:themeColor="text1"/>
          <w:vertAlign w:val="subscript"/>
        </w:rPr>
        <w:t>AR</w:t>
      </w:r>
      <w:r>
        <w:rPr>
          <w:rFonts w:cs="Arial"/>
          <w:color w:val="000000" w:themeColor="text1"/>
        </w:rPr>
        <w:t xml:space="preserve"> </w:t>
      </w:r>
    </w:p>
    <w:p w:rsidRPr="00396F9B" w:rsidR="00D96326" w:rsidP="00D96326" w:rsidRDefault="00D96326" w14:paraId="64D495E5" w14:textId="60091574">
      <w:pPr>
        <w:spacing w:after="240"/>
        <w:ind w:left="1425"/>
        <w:rPr>
          <w:rFonts w:cs="Arial"/>
          <w:color w:val="000000"/>
        </w:rPr>
      </w:pPr>
      <w:r>
        <w:rPr>
          <w:rFonts w:cs="Arial"/>
          <w:color w:val="000000"/>
        </w:rPr>
        <w:t xml:space="preserve">To the extent that energy is being provided </w:t>
      </w:r>
      <w:proofErr w:type="gramStart"/>
      <w:r>
        <w:rPr>
          <w:rFonts w:cs="Arial"/>
          <w:color w:val="000000"/>
        </w:rPr>
        <w:t>from</w:t>
      </w:r>
      <w:proofErr w:type="gramEnd"/>
      <w:r>
        <w:rPr>
          <w:rFonts w:cs="Arial"/>
          <w:color w:val="000000"/>
        </w:rPr>
        <w:t xml:space="preserve"> the </w:t>
      </w:r>
      <w:r w:rsidR="006457DC">
        <w:rPr>
          <w:rFonts w:cs="Arial"/>
          <w:color w:val="000000"/>
        </w:rPr>
        <w:t>Facility</w:t>
      </w:r>
      <w:r>
        <w:rPr>
          <w:rFonts w:cs="Arial"/>
          <w:color w:val="000000"/>
        </w:rPr>
        <w:t>:</w:t>
      </w:r>
    </w:p>
    <w:p w:rsidRPr="00396F9B" w:rsidR="00D96326" w:rsidP="00D96326" w:rsidRDefault="00D96326" w14:paraId="4A875A3F" w14:textId="7E5C962F">
      <w:pPr>
        <w:spacing w:after="240"/>
        <w:ind w:left="1425" w:firstLine="15"/>
        <w:jc w:val="left"/>
        <w:rPr>
          <w:rFonts w:cs="Arial"/>
          <w:color w:val="000000"/>
        </w:rPr>
      </w:pPr>
      <w:r>
        <w:rPr>
          <w:rFonts w:cs="Arial"/>
          <w:b/>
          <w:color w:val="000000" w:themeColor="text1"/>
        </w:rPr>
        <w:t>MEP</w:t>
      </w:r>
      <w:r>
        <w:rPr>
          <w:rFonts w:cs="Arial"/>
          <w:b/>
          <w:color w:val="000000" w:themeColor="text1"/>
          <w:vertAlign w:val="subscript"/>
        </w:rPr>
        <w:t>FAC</w:t>
      </w:r>
      <w:r>
        <w:rPr>
          <w:rFonts w:cs="Arial"/>
          <w:b/>
          <w:color w:val="000000" w:themeColor="text1"/>
        </w:rPr>
        <w:t xml:space="preserve"> </w:t>
      </w:r>
      <w:r>
        <w:rPr>
          <w:rFonts w:cs="Arial"/>
          <w:color w:val="000000" w:themeColor="text1"/>
        </w:rPr>
        <w:t>= MVOM</w:t>
      </w:r>
      <w:r>
        <w:rPr>
          <w:rFonts w:cs="Arial"/>
          <w:color w:val="000000" w:themeColor="text1"/>
          <w:vertAlign w:val="subscript"/>
        </w:rPr>
        <w:t>GAS-FAC</w:t>
      </w:r>
      <w:r>
        <w:rPr>
          <w:rFonts w:cs="Arial"/>
          <w:color w:val="000000" w:themeColor="text1"/>
        </w:rPr>
        <w:t xml:space="preserve"> + MVOM</w:t>
      </w:r>
      <w:r>
        <w:rPr>
          <w:rFonts w:cs="Arial"/>
          <w:color w:val="000000" w:themeColor="text1"/>
          <w:vertAlign w:val="subscript"/>
        </w:rPr>
        <w:t>OIL-FAC</w:t>
      </w:r>
      <w:r>
        <w:rPr>
          <w:rFonts w:cs="Arial"/>
          <w:color w:val="000000" w:themeColor="text1"/>
        </w:rPr>
        <w:t xml:space="preserve"> + MSC</w:t>
      </w:r>
      <w:r>
        <w:rPr>
          <w:rFonts w:cs="Arial"/>
          <w:color w:val="000000" w:themeColor="text1"/>
          <w:vertAlign w:val="subscript"/>
        </w:rPr>
        <w:t xml:space="preserve">GAS-FAC </w:t>
      </w:r>
      <w:r>
        <w:rPr>
          <w:rFonts w:cs="Arial"/>
          <w:color w:val="000000" w:themeColor="text1"/>
        </w:rPr>
        <w:t>+ MSC</w:t>
      </w:r>
      <w:r>
        <w:rPr>
          <w:rFonts w:cs="Arial"/>
          <w:color w:val="000000" w:themeColor="text1"/>
          <w:vertAlign w:val="subscript"/>
        </w:rPr>
        <w:t>OIL-FAC</w:t>
      </w:r>
      <w:r>
        <w:rPr>
          <w:rFonts w:cs="Arial"/>
          <w:color w:val="000000" w:themeColor="text1"/>
        </w:rPr>
        <w:t xml:space="preserve"> + </w:t>
      </w:r>
      <w:bookmarkStart w:name="_DV_C1273" w:id="410"/>
      <w:r>
        <w:rPr>
          <w:rFonts w:cs="Arial"/>
        </w:rPr>
        <w:t>MFA</w:t>
      </w:r>
      <w:r>
        <w:rPr>
          <w:rFonts w:cs="Arial"/>
          <w:vertAlign w:val="subscript"/>
        </w:rPr>
        <w:t>GAS</w:t>
      </w:r>
      <w:r>
        <w:rPr>
          <w:rFonts w:cs="Arial"/>
        </w:rPr>
        <w:t xml:space="preserve"> + MFA</w:t>
      </w:r>
      <w:r>
        <w:rPr>
          <w:rFonts w:cs="Arial"/>
          <w:vertAlign w:val="subscript"/>
        </w:rPr>
        <w:t>OIL</w:t>
      </w:r>
      <w:bookmarkEnd w:id="410"/>
    </w:p>
    <w:p w:rsidRPr="00396F9B" w:rsidR="00D96326" w:rsidP="00D96326" w:rsidRDefault="00D96326" w14:paraId="459E100F" w14:textId="77777777">
      <w:pPr>
        <w:spacing w:after="240"/>
        <w:ind w:left="1425"/>
        <w:outlineLvl w:val="0"/>
        <w:rPr>
          <w:rFonts w:cs="Arial"/>
          <w:b/>
          <w:bCs/>
          <w:i/>
          <w:iCs/>
          <w:color w:val="000000"/>
        </w:rPr>
      </w:pPr>
      <w:r>
        <w:rPr>
          <w:rFonts w:cs="Arial"/>
          <w:color w:val="000000"/>
        </w:rPr>
        <w:t>To the extent energy is being provided</w:t>
      </w:r>
      <w:r>
        <w:rPr>
          <w:rFonts w:cs="Arial"/>
          <w:b/>
          <w:bCs/>
          <w:i/>
          <w:iCs/>
          <w:color w:val="000000"/>
        </w:rPr>
        <w:t xml:space="preserve"> </w:t>
      </w:r>
      <w:r>
        <w:rPr>
          <w:rFonts w:cs="Arial"/>
          <w:color w:val="000000"/>
        </w:rPr>
        <w:t>from an Alternate Resource:</w:t>
      </w:r>
    </w:p>
    <w:p w:rsidRPr="00396F9B" w:rsidR="00D96326" w:rsidP="00D96326" w:rsidRDefault="00D96326" w14:paraId="5BDADBE0" w14:textId="2BB23860">
      <w:pPr>
        <w:spacing w:after="240"/>
        <w:ind w:left="1440"/>
        <w:rPr>
          <w:rFonts w:cs="Arial"/>
          <w:color w:val="000000"/>
          <w:vertAlign w:val="subscript"/>
        </w:rPr>
      </w:pPr>
      <w:r>
        <w:rPr>
          <w:rFonts w:cs="Arial"/>
          <w:b/>
          <w:color w:val="000000" w:themeColor="text1"/>
        </w:rPr>
        <w:t>MEP</w:t>
      </w:r>
      <w:r>
        <w:rPr>
          <w:rFonts w:cs="Arial"/>
          <w:b/>
          <w:color w:val="000000" w:themeColor="text1"/>
          <w:vertAlign w:val="subscript"/>
        </w:rPr>
        <w:t>AR</w:t>
      </w:r>
      <w:r>
        <w:rPr>
          <w:rFonts w:cs="Arial"/>
          <w:color w:val="000000" w:themeColor="text1"/>
        </w:rPr>
        <w:t xml:space="preserve"> = MVOM</w:t>
      </w:r>
      <w:r>
        <w:rPr>
          <w:rFonts w:cs="Arial"/>
          <w:color w:val="000000" w:themeColor="text1"/>
          <w:vertAlign w:val="subscript"/>
        </w:rPr>
        <w:t>GAS-AR</w:t>
      </w:r>
      <w:r>
        <w:rPr>
          <w:rFonts w:cs="Arial"/>
          <w:color w:val="000000" w:themeColor="text1"/>
        </w:rPr>
        <w:t xml:space="preserve"> + MVOM</w:t>
      </w:r>
      <w:r>
        <w:rPr>
          <w:rFonts w:cs="Arial"/>
          <w:color w:val="000000" w:themeColor="text1"/>
          <w:vertAlign w:val="subscript"/>
        </w:rPr>
        <w:t>OIL-AR</w:t>
      </w:r>
      <w:r>
        <w:rPr>
          <w:rFonts w:cs="Arial"/>
          <w:color w:val="000000" w:themeColor="text1"/>
        </w:rPr>
        <w:t xml:space="preserve"> + MSC</w:t>
      </w:r>
      <w:r>
        <w:rPr>
          <w:rFonts w:cs="Arial"/>
          <w:color w:val="000000" w:themeColor="text1"/>
          <w:vertAlign w:val="subscript"/>
        </w:rPr>
        <w:t>GAS-AR</w:t>
      </w:r>
      <w:r>
        <w:rPr>
          <w:rFonts w:cs="Arial"/>
          <w:color w:val="000000" w:themeColor="text1"/>
        </w:rPr>
        <w:t xml:space="preserve"> + MSC</w:t>
      </w:r>
      <w:r>
        <w:rPr>
          <w:rFonts w:cs="Arial"/>
          <w:color w:val="000000" w:themeColor="text1"/>
          <w:vertAlign w:val="subscript"/>
        </w:rPr>
        <w:t>OIL-AR</w:t>
      </w:r>
      <w:r>
        <w:rPr>
          <w:rFonts w:cs="Arial"/>
          <w:color w:val="000000" w:themeColor="text1"/>
        </w:rPr>
        <w:t xml:space="preserve"> + MFC</w:t>
      </w:r>
      <w:r>
        <w:rPr>
          <w:rFonts w:cs="Arial"/>
          <w:color w:val="000000" w:themeColor="text1"/>
          <w:vertAlign w:val="subscript"/>
        </w:rPr>
        <w:t>GAS-AR</w:t>
      </w:r>
      <w:r>
        <w:rPr>
          <w:rFonts w:cs="Arial"/>
        </w:rPr>
        <w:t>+ MFC</w:t>
      </w:r>
      <w:r>
        <w:rPr>
          <w:rFonts w:cs="Arial"/>
          <w:vertAlign w:val="subscript"/>
        </w:rPr>
        <w:t>OIL-AR</w:t>
      </w:r>
    </w:p>
    <w:p w:rsidRPr="00396F9B" w:rsidR="00D96326" w:rsidP="00D96326" w:rsidRDefault="00D96326" w14:paraId="763204B3" w14:textId="77777777">
      <w:pPr>
        <w:spacing w:after="240"/>
        <w:ind w:left="1440"/>
        <w:rPr>
          <w:rFonts w:cs="Arial"/>
          <w:b/>
          <w:i/>
          <w:vertAlign w:val="subscript"/>
        </w:rPr>
      </w:pPr>
      <w:r>
        <w:rPr>
          <w:rFonts w:cs="Arial"/>
        </w:rPr>
        <w:t>Where:</w:t>
      </w:r>
    </w:p>
    <w:p w:rsidRPr="003A5D86" w:rsidR="00D96326" w:rsidP="00D96326" w:rsidRDefault="00D96326" w14:paraId="195785E7" w14:textId="7DA09C1C">
      <w:pPr>
        <w:spacing w:after="240"/>
        <w:ind w:left="3150" w:hanging="1710"/>
        <w:rPr>
          <w:rFonts w:cs="Arial"/>
        </w:rPr>
      </w:pPr>
      <w:r>
        <w:rPr>
          <w:rFonts w:cs="Arial"/>
          <w:b/>
        </w:rPr>
        <w:t>MVOM</w:t>
      </w:r>
      <w:r>
        <w:rPr>
          <w:rFonts w:cs="Arial"/>
          <w:b/>
          <w:color w:val="000000" w:themeColor="text1"/>
          <w:vertAlign w:val="subscript"/>
        </w:rPr>
        <w:t xml:space="preserve"> GAS-FAC</w:t>
      </w:r>
      <w:r>
        <w:rPr>
          <w:rFonts w:cs="Arial"/>
        </w:rPr>
        <w:t xml:space="preserve"> =</w:t>
      </w:r>
      <w:r>
        <w:tab/>
      </w:r>
      <w:r>
        <w:rPr>
          <w:rFonts w:cs="Arial"/>
        </w:rPr>
        <w:t xml:space="preserve">Monthly Variable O&amp;M Charge for energy provided </w:t>
      </w:r>
      <w:proofErr w:type="gramStart"/>
      <w:r>
        <w:rPr>
          <w:rFonts w:cs="Arial"/>
        </w:rPr>
        <w:t>from</w:t>
      </w:r>
      <w:proofErr w:type="gramEnd"/>
      <w:r>
        <w:rPr>
          <w:rFonts w:cs="Arial"/>
        </w:rPr>
        <w:t xml:space="preserve"> the Unit</w:t>
      </w:r>
      <w:r w:rsidR="00C36DDA">
        <w:rPr>
          <w:rFonts w:cs="Arial"/>
        </w:rPr>
        <w:t>(s)</w:t>
      </w:r>
      <w:r>
        <w:rPr>
          <w:rFonts w:cs="Arial"/>
        </w:rPr>
        <w:t xml:space="preserve"> when dispatched on Natural Gas determined in accordance with Section 1.2 (</w:t>
      </w:r>
      <w:r>
        <w:rPr>
          <w:bCs/>
          <w:i/>
          <w:iCs/>
        </w:rPr>
        <w:t>Monthly Variable O&amp;M (MVOM) Charges</w:t>
      </w:r>
      <w:r>
        <w:rPr>
          <w:rFonts w:cs="Arial"/>
        </w:rPr>
        <w:t>).</w:t>
      </w:r>
    </w:p>
    <w:p w:rsidRPr="003A5D86" w:rsidR="00D96326" w:rsidP="00D96326" w:rsidRDefault="00D96326" w14:paraId="4DB8B2E1" w14:textId="359B9ADA">
      <w:pPr>
        <w:spacing w:after="240"/>
        <w:ind w:left="3150" w:hanging="1710"/>
        <w:rPr>
          <w:rFonts w:cs="Arial"/>
        </w:rPr>
      </w:pPr>
      <w:r>
        <w:rPr>
          <w:rFonts w:cs="Arial"/>
          <w:b/>
        </w:rPr>
        <w:t>MVOM</w:t>
      </w:r>
      <w:r>
        <w:rPr>
          <w:rFonts w:cs="Arial"/>
          <w:b/>
          <w:color w:val="000000" w:themeColor="text1"/>
          <w:vertAlign w:val="subscript"/>
        </w:rPr>
        <w:t xml:space="preserve"> OIL-FAC</w:t>
      </w:r>
      <w:r>
        <w:rPr>
          <w:rFonts w:cs="Arial"/>
          <w:b/>
        </w:rPr>
        <w:t xml:space="preserve"> </w:t>
      </w:r>
      <w:r>
        <w:rPr>
          <w:rFonts w:cs="Arial"/>
        </w:rPr>
        <w:t>=</w:t>
      </w:r>
      <w:r>
        <w:tab/>
      </w:r>
      <w:r>
        <w:rPr>
          <w:rFonts w:cs="Arial"/>
        </w:rPr>
        <w:t>Monthly Variable O&amp;M Charge for energy provided from the Unit</w:t>
      </w:r>
      <w:r w:rsidR="00C36DDA">
        <w:rPr>
          <w:rFonts w:cs="Arial"/>
        </w:rPr>
        <w:t>(s)</w:t>
      </w:r>
      <w:r>
        <w:rPr>
          <w:rFonts w:cs="Arial"/>
        </w:rPr>
        <w:t xml:space="preserve"> when dispatched on Fuel Oil determined in accordance with Section 1.2 (</w:t>
      </w:r>
      <w:r>
        <w:rPr>
          <w:bCs/>
          <w:i/>
          <w:iCs/>
        </w:rPr>
        <w:t>Monthly Variable O&amp;M (MVOM) Charges</w:t>
      </w:r>
      <w:r>
        <w:rPr>
          <w:rFonts w:cs="Arial"/>
        </w:rPr>
        <w:t>).</w:t>
      </w:r>
    </w:p>
    <w:p w:rsidRPr="003A5D86" w:rsidR="00D96326" w:rsidP="00D96326" w:rsidRDefault="00D96326" w14:paraId="41B331E9" w14:textId="3FF37B60">
      <w:pPr>
        <w:spacing w:after="240"/>
        <w:ind w:left="3150" w:hanging="1710"/>
        <w:rPr>
          <w:rFonts w:cs="Arial"/>
        </w:rPr>
      </w:pPr>
      <w:r>
        <w:rPr>
          <w:rFonts w:cs="Arial"/>
          <w:b/>
        </w:rPr>
        <w:t>MVOM</w:t>
      </w:r>
      <w:r>
        <w:rPr>
          <w:rFonts w:cs="Arial"/>
          <w:b/>
          <w:color w:val="000000" w:themeColor="text1"/>
          <w:vertAlign w:val="subscript"/>
        </w:rPr>
        <w:t xml:space="preserve"> GAS-AR</w:t>
      </w:r>
      <w:r>
        <w:rPr>
          <w:rFonts w:cs="Arial"/>
        </w:rPr>
        <w:t xml:space="preserve"> =</w:t>
      </w:r>
      <w:r>
        <w:tab/>
      </w:r>
      <w:r>
        <w:rPr>
          <w:rFonts w:cs="Arial"/>
        </w:rPr>
        <w:t>Monthly Variable O&amp;M Charge for energy provided from Alternate Resources when the Unit</w:t>
      </w:r>
      <w:r w:rsidR="00C36DDA">
        <w:rPr>
          <w:rFonts w:cs="Arial"/>
        </w:rPr>
        <w:t>(s)</w:t>
      </w:r>
      <w:r>
        <w:rPr>
          <w:rFonts w:cs="Arial"/>
        </w:rPr>
        <w:t xml:space="preserve"> would have been dispatched on Natural Gas determined in accordance with Section 1.2 (</w:t>
      </w:r>
      <w:r>
        <w:rPr>
          <w:bCs/>
          <w:i/>
          <w:iCs/>
        </w:rPr>
        <w:t>Monthly Variable O&amp;M (MVOM) Charges</w:t>
      </w:r>
      <w:r>
        <w:rPr>
          <w:rFonts w:cs="Arial"/>
        </w:rPr>
        <w:t>).</w:t>
      </w:r>
    </w:p>
    <w:p w:rsidRPr="003A5D86" w:rsidR="00D96326" w:rsidP="00D96326" w:rsidRDefault="00D96326" w14:paraId="128E9F20" w14:textId="6B0ECFF3">
      <w:pPr>
        <w:tabs>
          <w:tab w:val="left" w:pos="720"/>
          <w:tab w:val="left" w:pos="1440"/>
          <w:tab w:val="left" w:pos="2160"/>
          <w:tab w:val="left" w:pos="3150"/>
        </w:tabs>
        <w:ind w:left="3150" w:hanging="1710"/>
        <w:rPr>
          <w:rFonts w:cs="Arial"/>
        </w:rPr>
      </w:pPr>
      <w:r>
        <w:rPr>
          <w:rFonts w:cs="Arial"/>
          <w:b/>
        </w:rPr>
        <w:t>MVOM</w:t>
      </w:r>
      <w:r>
        <w:rPr>
          <w:rFonts w:cs="Arial"/>
          <w:b/>
          <w:color w:val="000000" w:themeColor="text1"/>
          <w:vertAlign w:val="subscript"/>
        </w:rPr>
        <w:t xml:space="preserve"> OIL-AR</w:t>
      </w:r>
      <w:r>
        <w:rPr>
          <w:rFonts w:cs="Arial"/>
        </w:rPr>
        <w:t xml:space="preserve"> =</w:t>
      </w:r>
      <w:r>
        <w:tab/>
      </w:r>
      <w:r>
        <w:rPr>
          <w:rFonts w:cs="Arial"/>
        </w:rPr>
        <w:t xml:space="preserve">Monthly Variable O&amp;M Charge for energy provided </w:t>
      </w:r>
      <w:proofErr w:type="gramStart"/>
      <w:r>
        <w:rPr>
          <w:rFonts w:cs="Arial"/>
        </w:rPr>
        <w:t>from</w:t>
      </w:r>
      <w:proofErr w:type="gramEnd"/>
      <w:r>
        <w:rPr>
          <w:rFonts w:cs="Arial"/>
        </w:rPr>
        <w:t xml:space="preserve"> Alternate Resources when the Unit</w:t>
      </w:r>
      <w:r w:rsidR="00C36DDA">
        <w:rPr>
          <w:rFonts w:cs="Arial"/>
        </w:rPr>
        <w:t>(s)</w:t>
      </w:r>
      <w:r>
        <w:rPr>
          <w:rFonts w:cs="Arial"/>
        </w:rPr>
        <w:t xml:space="preserve"> would have been dispatched on Fuel Oil determined in accordance with Section 1.2 (</w:t>
      </w:r>
      <w:r>
        <w:rPr>
          <w:bCs/>
          <w:i/>
          <w:iCs/>
        </w:rPr>
        <w:t>Monthly Variable O&amp;M (MVOM) Charges</w:t>
      </w:r>
      <w:r>
        <w:rPr>
          <w:rFonts w:cs="Arial"/>
        </w:rPr>
        <w:t>).</w:t>
      </w:r>
    </w:p>
    <w:p w:rsidRPr="003A5D86" w:rsidR="00D96326" w:rsidP="00D96326" w:rsidRDefault="00D96326" w14:paraId="047B3C2F" w14:textId="6CA3629F">
      <w:pPr>
        <w:tabs>
          <w:tab w:val="left" w:pos="720"/>
          <w:tab w:val="left" w:pos="1440"/>
          <w:tab w:val="left" w:pos="2160"/>
          <w:tab w:val="left" w:pos="2880"/>
        </w:tabs>
        <w:ind w:left="3150" w:hanging="1710"/>
        <w:rPr>
          <w:rFonts w:cs="Arial"/>
        </w:rPr>
      </w:pPr>
      <w:r>
        <w:rPr>
          <w:rFonts w:cs="Arial"/>
          <w:b/>
        </w:rPr>
        <w:t>MSC</w:t>
      </w:r>
      <w:r>
        <w:rPr>
          <w:rFonts w:cs="Arial"/>
          <w:b/>
          <w:color w:val="000000" w:themeColor="text1"/>
          <w:vertAlign w:val="subscript"/>
        </w:rPr>
        <w:t>GAS-</w:t>
      </w:r>
      <w:r>
        <w:rPr>
          <w:rFonts w:cs="Arial"/>
          <w:b/>
          <w:vertAlign w:val="subscript"/>
        </w:rPr>
        <w:t>FAC</w:t>
      </w:r>
      <w:r>
        <w:rPr>
          <w:rFonts w:cs="Arial"/>
        </w:rPr>
        <w:t xml:space="preserve"> =    </w:t>
      </w:r>
      <w:r>
        <w:tab/>
      </w:r>
      <w:r>
        <w:tab/>
      </w:r>
      <w:r>
        <w:rPr>
          <w:rFonts w:cs="Arial"/>
        </w:rPr>
        <w:t>Monthly Startup Charge for energy provided from the Unit</w:t>
      </w:r>
      <w:r w:rsidR="00C36DDA">
        <w:rPr>
          <w:rFonts w:cs="Arial"/>
        </w:rPr>
        <w:t>(s)</w:t>
      </w:r>
      <w:r>
        <w:rPr>
          <w:rFonts w:cs="Arial"/>
        </w:rPr>
        <w:t xml:space="preserve"> when dispatched on Natural Gas determined in accordance with Section 1.3 (</w:t>
      </w:r>
      <w:r>
        <w:rPr>
          <w:rFonts w:cs="Arial"/>
          <w:i/>
          <w:iCs/>
        </w:rPr>
        <w:t>Monthly Startup Charges (MSC)</w:t>
      </w:r>
      <w:r>
        <w:rPr>
          <w:rFonts w:cs="Arial"/>
        </w:rPr>
        <w:t>).</w:t>
      </w:r>
    </w:p>
    <w:p w:rsidR="00D96326" w:rsidP="00D96326" w:rsidRDefault="00D96326" w14:paraId="06C09B56" w14:textId="1136C6A3">
      <w:pPr>
        <w:tabs>
          <w:tab w:val="left" w:pos="720"/>
          <w:tab w:val="left" w:pos="1440"/>
          <w:tab w:val="left" w:pos="2160"/>
          <w:tab w:val="left" w:pos="2880"/>
        </w:tabs>
        <w:ind w:left="3192" w:hanging="1752"/>
        <w:rPr>
          <w:rFonts w:cs="Arial"/>
        </w:rPr>
      </w:pPr>
      <w:r>
        <w:rPr>
          <w:rFonts w:cs="Arial"/>
          <w:b/>
        </w:rPr>
        <w:t>MSC</w:t>
      </w:r>
      <w:r>
        <w:rPr>
          <w:rFonts w:cs="Arial"/>
          <w:b/>
          <w:color w:val="000000" w:themeColor="text1"/>
          <w:vertAlign w:val="subscript"/>
        </w:rPr>
        <w:t>OIL-</w:t>
      </w:r>
      <w:r>
        <w:rPr>
          <w:rFonts w:cs="Arial"/>
          <w:b/>
          <w:vertAlign w:val="subscript"/>
        </w:rPr>
        <w:t>FAC</w:t>
      </w:r>
      <w:r>
        <w:rPr>
          <w:rFonts w:cs="Arial"/>
        </w:rPr>
        <w:t xml:space="preserve"> =    </w:t>
      </w:r>
      <w:r>
        <w:tab/>
      </w:r>
      <w:r>
        <w:tab/>
      </w:r>
      <w:r>
        <w:rPr>
          <w:rFonts w:cs="Arial"/>
        </w:rPr>
        <w:t>Monthly Startup Charge for energy provided from the Unit</w:t>
      </w:r>
      <w:r w:rsidR="00C36DDA">
        <w:rPr>
          <w:rFonts w:cs="Arial"/>
        </w:rPr>
        <w:t>(s)</w:t>
      </w:r>
      <w:r>
        <w:rPr>
          <w:rFonts w:cs="Arial"/>
        </w:rPr>
        <w:t xml:space="preserve"> when dispatched on Fuel Oil determined in accordance with Section 1.3 (</w:t>
      </w:r>
      <w:r>
        <w:rPr>
          <w:rFonts w:cs="Arial"/>
          <w:i/>
          <w:iCs/>
        </w:rPr>
        <w:t>Monthly Startup Charges (MSC)</w:t>
      </w:r>
      <w:r>
        <w:rPr>
          <w:rFonts w:cs="Arial"/>
        </w:rPr>
        <w:t>).</w:t>
      </w:r>
    </w:p>
    <w:p w:rsidRPr="003A5D86" w:rsidR="00D96326" w:rsidP="0060065C" w:rsidRDefault="0060065C" w14:paraId="2613F7ED" w14:textId="10D5BEA9">
      <w:pPr>
        <w:tabs>
          <w:tab w:val="left" w:pos="720"/>
          <w:tab w:val="left" w:pos="1440"/>
          <w:tab w:val="left" w:pos="2160"/>
          <w:tab w:val="left" w:pos="2880"/>
        </w:tabs>
        <w:ind w:left="3192" w:hanging="1752"/>
        <w:rPr>
          <w:rFonts w:cs="Arial"/>
        </w:rPr>
      </w:pPr>
      <w:r>
        <w:rPr>
          <w:rFonts w:cs="Arial"/>
          <w:b/>
        </w:rPr>
        <w:t>MSC</w:t>
      </w:r>
      <w:r>
        <w:rPr>
          <w:rFonts w:cs="Arial"/>
          <w:b/>
          <w:color w:val="000000" w:themeColor="text1"/>
          <w:vertAlign w:val="subscript"/>
        </w:rPr>
        <w:t xml:space="preserve"> GAS-</w:t>
      </w:r>
      <w:r>
        <w:rPr>
          <w:rFonts w:cs="Arial"/>
          <w:b/>
          <w:vertAlign w:val="subscript"/>
        </w:rPr>
        <w:t>AR</w:t>
      </w:r>
      <w:r>
        <w:rPr>
          <w:rFonts w:cs="Arial"/>
        </w:rPr>
        <w:t xml:space="preserve"> =    </w:t>
      </w:r>
      <w:r>
        <w:tab/>
      </w:r>
      <w:r>
        <w:tab/>
      </w:r>
      <w:r>
        <w:rPr>
          <w:rFonts w:cs="Arial"/>
        </w:rPr>
        <w:t xml:space="preserve">Monthly Startup Charge for energy provided </w:t>
      </w:r>
      <w:proofErr w:type="gramStart"/>
      <w:r>
        <w:rPr>
          <w:rFonts w:cs="Arial"/>
        </w:rPr>
        <w:t>from</w:t>
      </w:r>
      <w:proofErr w:type="gramEnd"/>
      <w:r>
        <w:rPr>
          <w:rFonts w:cs="Arial"/>
        </w:rPr>
        <w:t xml:space="preserve"> Alternate Resources when the Unit</w:t>
      </w:r>
      <w:r w:rsidR="00C36DDA">
        <w:rPr>
          <w:rFonts w:cs="Arial"/>
        </w:rPr>
        <w:t>(s)</w:t>
      </w:r>
      <w:r>
        <w:rPr>
          <w:rFonts w:cs="Arial"/>
        </w:rPr>
        <w:t xml:space="preserve"> would have been dispatched on Natural Gas determined in accordance with Section 1.3 (</w:t>
      </w:r>
      <w:r>
        <w:rPr>
          <w:rFonts w:cs="Arial"/>
          <w:i/>
          <w:iCs/>
        </w:rPr>
        <w:t>Monthly Startup Charges (MSC)</w:t>
      </w:r>
      <w:proofErr w:type="gramStart"/>
      <w:r>
        <w:rPr>
          <w:rFonts w:cs="Arial"/>
        </w:rPr>
        <w:t>)..</w:t>
      </w:r>
      <w:proofErr w:type="gramEnd"/>
    </w:p>
    <w:p w:rsidRPr="003A5D86" w:rsidR="00D96326" w:rsidP="00D96326" w:rsidRDefault="00D96326" w14:paraId="671B1616" w14:textId="78F2E9FA">
      <w:pPr>
        <w:ind w:left="3168" w:hanging="1728"/>
        <w:rPr>
          <w:rFonts w:cs="Arial"/>
        </w:rPr>
      </w:pPr>
      <w:r>
        <w:rPr>
          <w:rFonts w:cs="Arial"/>
          <w:b/>
        </w:rPr>
        <w:t>MSC</w:t>
      </w:r>
      <w:r>
        <w:rPr>
          <w:rFonts w:cs="Arial"/>
          <w:b/>
          <w:color w:val="000000" w:themeColor="text1"/>
          <w:vertAlign w:val="subscript"/>
        </w:rPr>
        <w:t>OIL-</w:t>
      </w:r>
      <w:r>
        <w:rPr>
          <w:rFonts w:cs="Arial"/>
          <w:b/>
          <w:vertAlign w:val="subscript"/>
        </w:rPr>
        <w:t>AR</w:t>
      </w:r>
      <w:r>
        <w:rPr>
          <w:rFonts w:cs="Arial"/>
          <w:b/>
        </w:rPr>
        <w:t xml:space="preserve"> </w:t>
      </w:r>
      <w:r>
        <w:rPr>
          <w:rFonts w:cs="Arial"/>
        </w:rPr>
        <w:t xml:space="preserve">= </w:t>
      </w:r>
      <w:r>
        <w:tab/>
      </w:r>
      <w:r>
        <w:rPr>
          <w:rFonts w:cs="Arial"/>
        </w:rPr>
        <w:t xml:space="preserve">Monthly Startup Charge for energy provided </w:t>
      </w:r>
      <w:proofErr w:type="gramStart"/>
      <w:r>
        <w:rPr>
          <w:rFonts w:cs="Arial"/>
        </w:rPr>
        <w:t>from</w:t>
      </w:r>
      <w:proofErr w:type="gramEnd"/>
      <w:r>
        <w:rPr>
          <w:rFonts w:cs="Arial"/>
        </w:rPr>
        <w:t xml:space="preserve"> Alternate Resources when the Unit</w:t>
      </w:r>
      <w:r w:rsidR="00C36DDA">
        <w:rPr>
          <w:rFonts w:cs="Arial"/>
        </w:rPr>
        <w:t>(s)</w:t>
      </w:r>
      <w:r>
        <w:rPr>
          <w:rFonts w:cs="Arial"/>
        </w:rPr>
        <w:t xml:space="preserve"> would have been dispatched on Fuel Oil determined in accordance with Section 1.3 (</w:t>
      </w:r>
      <w:r>
        <w:rPr>
          <w:rFonts w:cs="Arial"/>
          <w:i/>
          <w:iCs/>
        </w:rPr>
        <w:t>Monthly Startup Charges (MSC)</w:t>
      </w:r>
      <w:r>
        <w:rPr>
          <w:rFonts w:cs="Arial"/>
        </w:rPr>
        <w:t>).</w:t>
      </w:r>
    </w:p>
    <w:p w:rsidRPr="003A5D86" w:rsidR="00D96326" w:rsidP="00D96326" w:rsidRDefault="00D96326" w14:paraId="152B45C7" w14:textId="57326433">
      <w:pPr>
        <w:tabs>
          <w:tab w:val="left" w:pos="3150"/>
        </w:tabs>
        <w:ind w:left="3150" w:hanging="1710"/>
        <w:rPr>
          <w:rFonts w:cs="Arial"/>
        </w:rPr>
      </w:pPr>
      <w:r>
        <w:rPr>
          <w:rFonts w:cs="Arial"/>
          <w:b/>
        </w:rPr>
        <w:t>MFA</w:t>
      </w:r>
      <w:r>
        <w:rPr>
          <w:rFonts w:cs="Arial"/>
          <w:b/>
          <w:vertAlign w:val="subscript"/>
        </w:rPr>
        <w:t>GAS</w:t>
      </w:r>
      <w:r>
        <w:rPr>
          <w:rFonts w:cs="Arial"/>
        </w:rPr>
        <w:t xml:space="preserve"> =</w:t>
      </w:r>
      <w:r>
        <w:tab/>
      </w:r>
      <w:r>
        <w:rPr>
          <w:rFonts w:cs="Arial"/>
        </w:rPr>
        <w:t>Monthly Fuel Adjustment for operation on Natural Gas</w:t>
      </w:r>
      <w:bookmarkStart w:name="_DV_C1278" w:id="411"/>
      <w:r>
        <w:rPr>
          <w:rFonts w:cs="Arial"/>
        </w:rPr>
        <w:t xml:space="preserve"> determined in accordance with Section </w:t>
      </w:r>
      <w:bookmarkStart w:name="_DV_C1279" w:id="412"/>
      <w:bookmarkEnd w:id="411"/>
      <w:r>
        <w:rPr>
          <w:rFonts w:cs="Arial"/>
        </w:rPr>
        <w:t>1.4.A (</w:t>
      </w:r>
      <w:r>
        <w:rPr>
          <w:rFonts w:cs="Arial"/>
          <w:i/>
          <w:iCs/>
        </w:rPr>
        <w:t>Monthly Fuel Adjustment</w:t>
      </w:r>
      <w:r>
        <w:rPr>
          <w:rFonts w:cs="Arial"/>
        </w:rPr>
        <w:t xml:space="preserve">). The Monthly </w:t>
      </w:r>
      <w:r>
        <w:rPr>
          <w:rFonts w:cs="Arial"/>
        </w:rPr>
        <w:lastRenderedPageBreak/>
        <w:t>Fuel Adjustment for operation on Natural Gas</w:t>
      </w:r>
      <w:bookmarkStart w:name="_DV_C1280" w:id="413"/>
      <w:bookmarkEnd w:id="412"/>
      <w:r>
        <w:rPr>
          <w:rFonts w:cs="Arial"/>
        </w:rPr>
        <w:t xml:space="preserve"> does not apply when Seller is delivering energy from Alternate Resources</w:t>
      </w:r>
      <w:bookmarkStart w:name="_DV_C1281" w:id="414"/>
      <w:bookmarkEnd w:id="413"/>
      <w:r>
        <w:rPr>
          <w:rFonts w:cs="Arial"/>
        </w:rPr>
        <w:t>.</w:t>
      </w:r>
      <w:bookmarkEnd w:id="414"/>
    </w:p>
    <w:p w:rsidRPr="003A5D86" w:rsidR="00D96326" w:rsidP="00D96326" w:rsidRDefault="00D96326" w14:paraId="38209978" w14:textId="589BD00B">
      <w:pPr>
        <w:tabs>
          <w:tab w:val="left" w:pos="3150"/>
        </w:tabs>
        <w:ind w:left="3150" w:hanging="1710"/>
        <w:rPr>
          <w:rFonts w:cs="Arial"/>
        </w:rPr>
      </w:pPr>
      <w:bookmarkStart w:name="_DV_C1282" w:id="415"/>
      <w:r>
        <w:rPr>
          <w:rFonts w:cs="Arial"/>
          <w:b/>
        </w:rPr>
        <w:t>MFA</w:t>
      </w:r>
      <w:r>
        <w:rPr>
          <w:rFonts w:cs="Arial"/>
          <w:b/>
          <w:vertAlign w:val="subscript"/>
        </w:rPr>
        <w:t>OIL</w:t>
      </w:r>
      <w:r>
        <w:rPr>
          <w:rFonts w:cs="Arial"/>
        </w:rPr>
        <w:t xml:space="preserve"> =</w:t>
      </w:r>
      <w:r>
        <w:tab/>
      </w:r>
      <w:r>
        <w:rPr>
          <w:rFonts w:cs="Arial"/>
        </w:rPr>
        <w:t>Monthly Fuel Adjustment for operation on Fuel Oil determined in accordance with Section 1.4.B (Monthly Fuel Adjustment (“MFA</w:t>
      </w:r>
      <w:r>
        <w:rPr>
          <w:rFonts w:cs="Arial"/>
          <w:vertAlign w:val="subscript"/>
        </w:rPr>
        <w:t>OIL</w:t>
      </w:r>
      <w:r>
        <w:rPr>
          <w:rFonts w:cs="Arial"/>
        </w:rPr>
        <w:t>”) for Operation on Fuel Oil). The Monthly Fuel Adjustment for operation on Fuel Oil does not apply when Seller is delivering energy from Alternate Resources.</w:t>
      </w:r>
      <w:bookmarkEnd w:id="415"/>
    </w:p>
    <w:p w:rsidRPr="003A5D86" w:rsidR="00D96326" w:rsidP="00D96326" w:rsidRDefault="00D96326" w14:paraId="55AC5095" w14:textId="5B28B8C1">
      <w:pPr>
        <w:tabs>
          <w:tab w:val="left" w:pos="3240"/>
        </w:tabs>
        <w:ind w:left="3150" w:hanging="1710"/>
        <w:rPr>
          <w:rFonts w:cs="Arial"/>
        </w:rPr>
      </w:pPr>
      <w:r>
        <w:rPr>
          <w:rFonts w:cs="Arial"/>
          <w:b/>
        </w:rPr>
        <w:t>MFC</w:t>
      </w:r>
      <w:r>
        <w:rPr>
          <w:rFonts w:cs="Arial"/>
          <w:b/>
          <w:vertAlign w:val="subscript"/>
        </w:rPr>
        <w:t>GAS-AR</w:t>
      </w:r>
      <w:r>
        <w:rPr>
          <w:rFonts w:cs="Arial"/>
          <w:b/>
          <w:bCs/>
          <w:vertAlign w:val="subscript"/>
        </w:rPr>
        <w:t xml:space="preserve"> </w:t>
      </w:r>
      <w:r>
        <w:rPr>
          <w:rFonts w:cs="Arial"/>
        </w:rPr>
        <w:t>=</w:t>
      </w:r>
      <w:r>
        <w:tab/>
      </w:r>
      <w:r>
        <w:rPr>
          <w:rFonts w:cs="Arial"/>
        </w:rPr>
        <w:t xml:space="preserve">Monthly Fuel Charge for Natural Gas for energy provided </w:t>
      </w:r>
      <w:proofErr w:type="gramStart"/>
      <w:r>
        <w:rPr>
          <w:rFonts w:cs="Arial"/>
        </w:rPr>
        <w:t>from</w:t>
      </w:r>
      <w:proofErr w:type="gramEnd"/>
      <w:r>
        <w:rPr>
          <w:rFonts w:cs="Arial"/>
        </w:rPr>
        <w:t xml:space="preserve"> Alternate Resources determined in accordance with Section 1.5 (</w:t>
      </w:r>
      <w:r>
        <w:rPr>
          <w:rFonts w:cs="Arial"/>
          <w:i/>
          <w:iCs/>
        </w:rPr>
        <w:t>Monthly Fuel Charge</w:t>
      </w:r>
      <w:r>
        <w:rPr>
          <w:rFonts w:cs="Arial"/>
        </w:rPr>
        <w:t>).</w:t>
      </w:r>
    </w:p>
    <w:p w:rsidRPr="003A5D86" w:rsidR="00D96326" w:rsidP="00D96326" w:rsidRDefault="00D96326" w14:paraId="4E9C429D" w14:textId="453B4597">
      <w:pPr>
        <w:tabs>
          <w:tab w:val="left" w:pos="3240"/>
        </w:tabs>
        <w:ind w:left="3150" w:hanging="1710"/>
        <w:rPr>
          <w:rFonts w:cs="Arial"/>
          <w:color w:val="000000"/>
        </w:rPr>
      </w:pPr>
      <w:r>
        <w:rPr>
          <w:rFonts w:cs="Arial"/>
          <w:b/>
        </w:rPr>
        <w:t>MFC</w:t>
      </w:r>
      <w:r>
        <w:rPr>
          <w:rFonts w:cs="Arial"/>
          <w:b/>
          <w:vertAlign w:val="subscript"/>
        </w:rPr>
        <w:t>OIL-AR</w:t>
      </w:r>
      <w:r>
        <w:rPr>
          <w:rFonts w:cs="Arial"/>
          <w:b/>
          <w:bCs/>
          <w:vertAlign w:val="subscript"/>
        </w:rPr>
        <w:t xml:space="preserve"> </w:t>
      </w:r>
      <w:r>
        <w:rPr>
          <w:rFonts w:cs="Arial"/>
        </w:rPr>
        <w:t>=</w:t>
      </w:r>
      <w:r>
        <w:tab/>
      </w:r>
      <w:r>
        <w:rPr>
          <w:rFonts w:cs="Arial"/>
        </w:rPr>
        <w:t xml:space="preserve">Monthly </w:t>
      </w:r>
      <w:bookmarkStart w:name="_DV_C1286" w:id="416"/>
      <w:r>
        <w:rPr>
          <w:rFonts w:cs="Arial"/>
        </w:rPr>
        <w:t>Fuel Charge for Fuel Oil</w:t>
      </w:r>
      <w:bookmarkStart w:name="_DV_M1230" w:id="417"/>
      <w:bookmarkEnd w:id="416"/>
      <w:bookmarkEnd w:id="417"/>
      <w:r>
        <w:rPr>
          <w:rFonts w:cs="Arial"/>
        </w:rPr>
        <w:t xml:space="preserve"> determined in accordance with </w:t>
      </w:r>
      <w:bookmarkStart w:name="_DV_C1288" w:id="418"/>
      <w:r>
        <w:rPr>
          <w:rFonts w:cs="Arial"/>
        </w:rPr>
        <w:t>Section 1.5 (</w:t>
      </w:r>
      <w:r>
        <w:rPr>
          <w:rFonts w:cs="Arial"/>
          <w:i/>
          <w:iCs/>
        </w:rPr>
        <w:t>Monthly Fuel Charge</w:t>
      </w:r>
      <w:r>
        <w:rPr>
          <w:rFonts w:cs="Arial"/>
        </w:rPr>
        <w:t>) with respect to deliveries</w:t>
      </w:r>
      <w:bookmarkStart w:name="_DV_M1231" w:id="419"/>
      <w:bookmarkEnd w:id="418"/>
      <w:bookmarkEnd w:id="419"/>
      <w:r>
        <w:rPr>
          <w:rFonts w:cs="Arial"/>
        </w:rPr>
        <w:t xml:space="preserve"> from Alternate Resources.</w:t>
      </w:r>
    </w:p>
    <w:p w:rsidRPr="003A5D86" w:rsidR="00D96326" w:rsidP="00D96326" w:rsidRDefault="00D96326" w14:paraId="00D7A7E0" w14:textId="77777777">
      <w:pPr>
        <w:adjustRightInd w:val="0"/>
        <w:spacing w:before="0" w:after="240"/>
        <w:ind w:left="2880" w:hanging="1440"/>
        <w:textAlignment w:val="baseline"/>
        <w:rPr>
          <w:rFonts w:eastAsia="Times New Roman" w:cs="Arial"/>
          <w:color w:val="000000"/>
          <w:w w:val="0"/>
        </w:rPr>
      </w:pPr>
    </w:p>
    <w:p w:rsidRPr="003A5D86" w:rsidR="00D96326" w:rsidP="00D96326" w:rsidRDefault="00D96326" w14:paraId="6C4FFEE9" w14:textId="77777777">
      <w:pPr>
        <w:pStyle w:val="zGNormal"/>
      </w:pPr>
      <w:r>
        <w:t xml:space="preserve">If GPC disputes any Monthly Energy Payment as calculated by Seller, GPC will make a minimum Monthly Energy Payment for the applicable Month equal to </w:t>
      </w:r>
      <w:r>
        <w:rPr>
          <w:rStyle w:val="zGNormalChar"/>
        </w:rPr>
        <w:t>the</w:t>
      </w:r>
      <w:r>
        <w:t xml:space="preserve"> amount not disputed by GPC. Any undisputed payment made by GPC will remain subject to further adjustment in accordance with PPA Section 5.2 (</w:t>
      </w:r>
      <w:r>
        <w:rPr>
          <w:i/>
          <w:iCs/>
        </w:rPr>
        <w:t>Billing Disputes and Final Accounting</w:t>
      </w:r>
      <w:r>
        <w:t>).</w:t>
      </w:r>
    </w:p>
    <w:p w:rsidRPr="00580466" w:rsidR="00D96326" w:rsidP="00D96326" w:rsidRDefault="00D96326" w14:paraId="53F315DF" w14:textId="3A94E3B5">
      <w:pPr>
        <w:pStyle w:val="zG02"/>
      </w:pPr>
      <w:r>
        <w:rPr>
          <w:b/>
        </w:rPr>
        <w:t xml:space="preserve">Monthly Variable O&amp;M </w:t>
      </w:r>
      <w:r>
        <w:rPr>
          <w:b/>
          <w:bCs/>
        </w:rPr>
        <w:t xml:space="preserve">(MVOM) </w:t>
      </w:r>
      <w:r>
        <w:rPr>
          <w:b/>
        </w:rPr>
        <w:t>Charges</w:t>
      </w:r>
      <w:r>
        <w:rPr>
          <w:b/>
          <w:bCs/>
        </w:rPr>
        <w:t xml:space="preserve">. </w:t>
      </w:r>
      <w:r>
        <w:rPr>
          <w:w w:val="0"/>
        </w:rPr>
        <w:t xml:space="preserve">The Monthly Variable O&amp;M (MVOM) Charges will be the sum of the Hourly Variable O&amp;M Charges for each delivered output level (from the </w:t>
      </w:r>
      <w:r w:rsidR="000E362C">
        <w:rPr>
          <w:w w:val="0"/>
        </w:rPr>
        <w:t xml:space="preserve">Facility </w:t>
      </w:r>
      <w:r>
        <w:rPr>
          <w:w w:val="0"/>
        </w:rPr>
        <w:t xml:space="preserve">or Alternate Delivery) that is Scheduled during a given Month. The Variable O&amp;M Charges for each delivered or Scheduled output level is the product of the delivered or Scheduled output level and the corresponding Variable O&amp;M Rate. Variable O&amp;M charges also apply to energy delivered from the </w:t>
      </w:r>
      <w:r w:rsidR="000E362C">
        <w:rPr>
          <w:w w:val="0"/>
        </w:rPr>
        <w:t xml:space="preserve">Facility </w:t>
      </w:r>
      <w:r>
        <w:rPr>
          <w:w w:val="0"/>
        </w:rPr>
        <w:t>during ramping.</w:t>
      </w:r>
    </w:p>
    <w:p w:rsidRPr="00580466" w:rsidR="00D96326" w:rsidP="00D96326" w:rsidRDefault="00D96326" w14:paraId="2F9B00AD" w14:textId="4437B207">
      <w:pPr>
        <w:autoSpaceDE w:val="0"/>
        <w:autoSpaceDN w:val="0"/>
        <w:adjustRightInd w:val="0"/>
        <w:spacing w:after="0"/>
        <w:rPr>
          <w:rFonts w:cs="Arial" w:eastAsiaTheme="minorEastAsia"/>
          <w:kern w:val="14"/>
        </w:rPr>
      </w:pPr>
      <w:r>
        <w:rPr>
          <w:rFonts w:cs="Arial" w:eastAsiaTheme="minorEastAsia"/>
          <w:kern w:val="14"/>
        </w:rPr>
        <w:t>The Monthly Variable O&amp;M Charges will be determined as follows:</w:t>
      </w:r>
    </w:p>
    <w:p w:rsidRPr="00396F9B" w:rsidR="00D96326" w:rsidP="46CE9790" w:rsidRDefault="00D96326" w14:paraId="6875BF91" w14:textId="77777777">
      <w:pPr>
        <w:suppressAutoHyphens/>
        <w:spacing w:after="240"/>
        <w:ind w:left="1152"/>
        <w:rPr>
          <w:rFonts w:cs="Arial"/>
          <w:color w:val="000000"/>
          <w:w w:val="0"/>
        </w:rPr>
      </w:pPr>
      <w:bookmarkStart w:name="_DV_M1229" w:id="420"/>
      <w:bookmarkEnd w:id="420"/>
      <w:r>
        <w:rPr>
          <w:rFonts w:cs="Arial"/>
          <w:b/>
          <w:color w:val="000000"/>
          <w:w w:val="0"/>
        </w:rPr>
        <w:t>MVOM</w:t>
      </w:r>
      <w:r>
        <w:rPr>
          <w:rFonts w:cs="Arial"/>
          <w:b/>
          <w:vertAlign w:val="subscript"/>
        </w:rPr>
        <w:t>GAS-FAC</w:t>
      </w:r>
      <w:r>
        <w:rPr>
          <w:rFonts w:cs="Arial"/>
          <w:color w:val="000000"/>
          <w:w w:val="0"/>
        </w:rPr>
        <w:t xml:space="preserve"> =</w:t>
      </w:r>
      <w:r>
        <w:rPr>
          <w:rFonts w:cs="Arial"/>
          <w:color w:val="000000"/>
          <w:w w:val="0"/>
        </w:rPr>
        <w:tab/>
        <w:t>∑ [(</w:t>
      </w:r>
      <w:r>
        <w:rPr>
          <w:rFonts w:cs="Arial"/>
        </w:rPr>
        <w:t>SE</w:t>
      </w:r>
      <w:r>
        <w:rPr>
          <w:rFonts w:cs="Arial"/>
          <w:vertAlign w:val="subscript"/>
        </w:rPr>
        <w:t>GAS-FAC</w:t>
      </w:r>
      <w:r>
        <w:rPr>
          <w:rFonts w:cs="Arial"/>
          <w:color w:val="000000"/>
          <w:w w:val="0"/>
        </w:rPr>
        <w:t xml:space="preserve"> </w:t>
      </w:r>
      <w:r>
        <w:rPr>
          <w:rFonts w:cs="Arial"/>
          <w:i/>
          <w:color w:val="000000"/>
          <w:w w:val="0"/>
          <w:vertAlign w:val="subscript"/>
        </w:rPr>
        <w:t>*</w:t>
      </w:r>
      <w:r>
        <w:rPr>
          <w:rFonts w:cs="Arial"/>
          <w:color w:val="000000"/>
          <w:w w:val="0"/>
        </w:rPr>
        <w:t xml:space="preserve"> VOM</w:t>
      </w:r>
      <w:r>
        <w:rPr>
          <w:rFonts w:cs="Arial"/>
          <w:vertAlign w:val="subscript"/>
        </w:rPr>
        <w:t>GAS</w:t>
      </w:r>
      <w:r>
        <w:rPr>
          <w:rFonts w:cs="Arial"/>
          <w:color w:val="000000"/>
          <w:w w:val="0"/>
        </w:rPr>
        <w:t>)</w:t>
      </w:r>
      <w:r>
        <w:rPr>
          <w:rFonts w:cs="Arial"/>
          <w:color w:val="000000"/>
          <w:w w:val="0"/>
          <w:vertAlign w:val="subscript"/>
        </w:rPr>
        <w:t>Hour_1</w:t>
      </w:r>
      <w:r>
        <w:rPr>
          <w:rFonts w:cs="Arial"/>
          <w:color w:val="000000"/>
          <w:w w:val="0"/>
        </w:rPr>
        <w:t xml:space="preserve"> …(</w:t>
      </w:r>
      <w:r>
        <w:rPr>
          <w:rFonts w:cs="Arial"/>
        </w:rPr>
        <w:t xml:space="preserve"> SE</w:t>
      </w:r>
      <w:r>
        <w:rPr>
          <w:rFonts w:cs="Arial"/>
          <w:vertAlign w:val="subscript"/>
        </w:rPr>
        <w:t>GAS-FAC</w:t>
      </w:r>
      <w:r>
        <w:rPr>
          <w:rFonts w:cs="Arial"/>
          <w:color w:val="000000"/>
          <w:w w:val="0"/>
        </w:rPr>
        <w:t xml:space="preserve"> </w:t>
      </w:r>
      <w:r>
        <w:rPr>
          <w:rFonts w:cs="Arial"/>
          <w:i/>
          <w:color w:val="000000"/>
          <w:w w:val="0"/>
          <w:vertAlign w:val="subscript"/>
        </w:rPr>
        <w:t>*</w:t>
      </w:r>
      <w:r>
        <w:rPr>
          <w:rFonts w:cs="Arial"/>
          <w:color w:val="000000"/>
          <w:w w:val="0"/>
        </w:rPr>
        <w:t xml:space="preserve"> VOM</w:t>
      </w:r>
      <w:r>
        <w:rPr>
          <w:rFonts w:cs="Arial"/>
          <w:vertAlign w:val="subscript"/>
        </w:rPr>
        <w:t>GAS</w:t>
      </w:r>
      <w:r>
        <w:rPr>
          <w:rFonts w:cs="Arial"/>
          <w:color w:val="000000"/>
          <w:w w:val="0"/>
        </w:rPr>
        <w:t>)</w:t>
      </w:r>
      <w:proofErr w:type="spellStart"/>
      <w:r>
        <w:rPr>
          <w:rFonts w:cs="Arial"/>
          <w:color w:val="000000"/>
          <w:w w:val="0"/>
          <w:vertAlign w:val="subscript"/>
        </w:rPr>
        <w:t>Hour_N</w:t>
      </w:r>
      <w:proofErr w:type="spellEnd"/>
      <w:r>
        <w:rPr>
          <w:rFonts w:cs="Arial"/>
          <w:color w:val="000000"/>
          <w:w w:val="0"/>
        </w:rPr>
        <w:t>]</w:t>
      </w:r>
    </w:p>
    <w:p w:rsidRPr="00580466" w:rsidR="00D96326" w:rsidP="00D96326" w:rsidRDefault="00D96326" w14:paraId="08430BE6" w14:textId="77777777">
      <w:pPr>
        <w:suppressAutoHyphens/>
        <w:spacing w:after="240"/>
        <w:ind w:left="2880" w:hanging="1440"/>
        <w:rPr>
          <w:rFonts w:cs="Arial"/>
          <w:color w:val="000000"/>
          <w:w w:val="0"/>
        </w:rPr>
      </w:pPr>
      <w:r>
        <w:rPr>
          <w:rFonts w:cs="Arial"/>
          <w:b/>
          <w:color w:val="000000"/>
          <w:w w:val="0"/>
        </w:rPr>
        <w:t>MVOM</w:t>
      </w:r>
      <w:r>
        <w:rPr>
          <w:rFonts w:cs="Arial"/>
          <w:b/>
          <w:vertAlign w:val="subscript"/>
        </w:rPr>
        <w:t>OIL-FAC</w:t>
      </w:r>
      <w:r>
        <w:rPr>
          <w:rFonts w:cs="Arial"/>
          <w:color w:val="000000"/>
          <w:w w:val="0"/>
        </w:rPr>
        <w:t xml:space="preserve"> =</w:t>
      </w:r>
      <w:r>
        <w:rPr>
          <w:rFonts w:cs="Arial"/>
          <w:color w:val="000000"/>
          <w:w w:val="0"/>
        </w:rPr>
        <w:tab/>
        <w:t>∑ [(</w:t>
      </w:r>
      <w:r>
        <w:rPr>
          <w:rFonts w:cs="Arial"/>
        </w:rPr>
        <w:t>SE</w:t>
      </w:r>
      <w:r>
        <w:rPr>
          <w:rFonts w:cs="Arial"/>
          <w:vertAlign w:val="subscript"/>
        </w:rPr>
        <w:t>OIL-FAC</w:t>
      </w:r>
      <w:r>
        <w:rPr>
          <w:rFonts w:cs="Arial"/>
          <w:color w:val="000000"/>
          <w:w w:val="0"/>
        </w:rPr>
        <w:t xml:space="preserve"> </w:t>
      </w:r>
      <w:r>
        <w:rPr>
          <w:rFonts w:cs="Arial"/>
          <w:i/>
          <w:color w:val="000000"/>
          <w:w w:val="0"/>
          <w:vertAlign w:val="subscript"/>
        </w:rPr>
        <w:t>*</w:t>
      </w:r>
      <w:r>
        <w:rPr>
          <w:rFonts w:cs="Arial"/>
          <w:color w:val="000000"/>
          <w:w w:val="0"/>
        </w:rPr>
        <w:t xml:space="preserve"> VOM</w:t>
      </w:r>
      <w:r>
        <w:rPr>
          <w:rFonts w:cs="Arial"/>
          <w:vertAlign w:val="subscript"/>
        </w:rPr>
        <w:t>OIL</w:t>
      </w:r>
      <w:r>
        <w:rPr>
          <w:rFonts w:cs="Arial"/>
          <w:color w:val="000000"/>
          <w:w w:val="0"/>
        </w:rPr>
        <w:t>)</w:t>
      </w:r>
      <w:r>
        <w:rPr>
          <w:rFonts w:cs="Arial"/>
          <w:color w:val="000000"/>
          <w:w w:val="0"/>
          <w:vertAlign w:val="subscript"/>
        </w:rPr>
        <w:t>Hour_1</w:t>
      </w:r>
      <w:r>
        <w:rPr>
          <w:rFonts w:cs="Arial"/>
          <w:color w:val="000000"/>
          <w:w w:val="0"/>
        </w:rPr>
        <w:t xml:space="preserve"> …(</w:t>
      </w:r>
      <w:r>
        <w:rPr>
          <w:rFonts w:cs="Arial"/>
        </w:rPr>
        <w:t xml:space="preserve"> SE</w:t>
      </w:r>
      <w:r>
        <w:rPr>
          <w:rFonts w:cs="Arial"/>
          <w:vertAlign w:val="subscript"/>
        </w:rPr>
        <w:t>OIL-FAC</w:t>
      </w:r>
      <w:r>
        <w:rPr>
          <w:rFonts w:cs="Arial"/>
          <w:color w:val="000000"/>
          <w:w w:val="0"/>
        </w:rPr>
        <w:t xml:space="preserve"> </w:t>
      </w:r>
      <w:r>
        <w:rPr>
          <w:rFonts w:cs="Arial"/>
          <w:i/>
          <w:color w:val="000000"/>
          <w:w w:val="0"/>
          <w:vertAlign w:val="subscript"/>
        </w:rPr>
        <w:t>*</w:t>
      </w:r>
      <w:r>
        <w:rPr>
          <w:rFonts w:cs="Arial"/>
          <w:color w:val="000000"/>
          <w:w w:val="0"/>
        </w:rPr>
        <w:t xml:space="preserve"> VOM</w:t>
      </w:r>
      <w:r>
        <w:rPr>
          <w:rFonts w:cs="Arial"/>
          <w:vertAlign w:val="subscript"/>
        </w:rPr>
        <w:t>OIL</w:t>
      </w:r>
      <w:r>
        <w:rPr>
          <w:rFonts w:cs="Arial"/>
          <w:color w:val="000000"/>
          <w:w w:val="0"/>
        </w:rPr>
        <w:t>)</w:t>
      </w:r>
      <w:proofErr w:type="spellStart"/>
      <w:r>
        <w:rPr>
          <w:rFonts w:cs="Arial"/>
          <w:color w:val="000000"/>
          <w:w w:val="0"/>
          <w:vertAlign w:val="subscript"/>
        </w:rPr>
        <w:t>Hour_N</w:t>
      </w:r>
      <w:proofErr w:type="spellEnd"/>
      <w:r>
        <w:rPr>
          <w:rFonts w:cs="Arial"/>
          <w:color w:val="000000"/>
          <w:w w:val="0"/>
        </w:rPr>
        <w:t xml:space="preserve">] </w:t>
      </w:r>
    </w:p>
    <w:p w:rsidRPr="00396F9B" w:rsidR="00D96326" w:rsidP="00D96326" w:rsidRDefault="00D96326" w14:paraId="0F2C3174" w14:textId="77777777">
      <w:pPr>
        <w:suppressAutoHyphens/>
        <w:spacing w:after="240"/>
        <w:ind w:left="2880" w:hanging="1440"/>
        <w:rPr>
          <w:rFonts w:cs="Arial"/>
          <w:color w:val="000000"/>
          <w:w w:val="0"/>
        </w:rPr>
      </w:pPr>
      <w:r>
        <w:rPr>
          <w:rFonts w:cs="Arial"/>
          <w:b/>
          <w:color w:val="000000"/>
          <w:w w:val="0"/>
        </w:rPr>
        <w:t>MVOM</w:t>
      </w:r>
      <w:r>
        <w:rPr>
          <w:rFonts w:cs="Arial"/>
          <w:b/>
          <w:vertAlign w:val="subscript"/>
        </w:rPr>
        <w:t>GAS-AR</w:t>
      </w:r>
      <w:r>
        <w:rPr>
          <w:rFonts w:cs="Arial"/>
          <w:color w:val="000000"/>
          <w:w w:val="0"/>
        </w:rPr>
        <w:t xml:space="preserve"> = ∑ [(SE</w:t>
      </w:r>
      <w:r>
        <w:rPr>
          <w:rFonts w:cs="Arial"/>
          <w:vertAlign w:val="subscript"/>
        </w:rPr>
        <w:t>GAS-AR</w:t>
      </w:r>
      <w:r>
        <w:rPr>
          <w:rFonts w:cs="Arial"/>
          <w:color w:val="000000"/>
          <w:w w:val="0"/>
        </w:rPr>
        <w:t xml:space="preserve"> </w:t>
      </w:r>
      <w:r>
        <w:rPr>
          <w:rFonts w:cs="Arial"/>
          <w:i/>
          <w:color w:val="000000"/>
          <w:w w:val="0"/>
          <w:vertAlign w:val="subscript"/>
        </w:rPr>
        <w:t>*</w:t>
      </w:r>
      <w:r>
        <w:rPr>
          <w:rFonts w:cs="Arial"/>
          <w:color w:val="000000"/>
          <w:w w:val="0"/>
        </w:rPr>
        <w:t xml:space="preserve"> VOM</w:t>
      </w:r>
      <w:r>
        <w:rPr>
          <w:rFonts w:cs="Arial"/>
          <w:vertAlign w:val="subscript"/>
        </w:rPr>
        <w:t>GAS</w:t>
      </w:r>
      <w:r>
        <w:rPr>
          <w:rFonts w:cs="Arial"/>
          <w:color w:val="000000"/>
          <w:w w:val="0"/>
        </w:rPr>
        <w:t>)</w:t>
      </w:r>
      <w:r>
        <w:rPr>
          <w:rFonts w:cs="Arial"/>
          <w:color w:val="000000"/>
          <w:w w:val="0"/>
          <w:vertAlign w:val="subscript"/>
        </w:rPr>
        <w:t>Hour_1</w:t>
      </w:r>
      <w:r>
        <w:rPr>
          <w:rFonts w:cs="Arial"/>
          <w:color w:val="000000"/>
          <w:w w:val="0"/>
        </w:rPr>
        <w:t xml:space="preserve"> …(SE</w:t>
      </w:r>
      <w:r>
        <w:rPr>
          <w:rFonts w:cs="Arial"/>
          <w:vertAlign w:val="subscript"/>
        </w:rPr>
        <w:t>GAS-AR</w:t>
      </w:r>
      <w:r>
        <w:rPr>
          <w:rFonts w:cs="Arial"/>
          <w:color w:val="000000"/>
          <w:w w:val="0"/>
        </w:rPr>
        <w:t xml:space="preserve"> </w:t>
      </w:r>
      <w:r>
        <w:rPr>
          <w:rFonts w:cs="Arial"/>
          <w:i/>
          <w:color w:val="000000"/>
          <w:w w:val="0"/>
          <w:vertAlign w:val="subscript"/>
        </w:rPr>
        <w:t>*</w:t>
      </w:r>
      <w:r>
        <w:rPr>
          <w:rFonts w:cs="Arial"/>
          <w:color w:val="000000"/>
          <w:w w:val="0"/>
        </w:rPr>
        <w:t xml:space="preserve"> VOM</w:t>
      </w:r>
      <w:r>
        <w:rPr>
          <w:rFonts w:cs="Arial"/>
          <w:vertAlign w:val="subscript"/>
        </w:rPr>
        <w:t>GAS</w:t>
      </w:r>
      <w:r>
        <w:rPr>
          <w:rFonts w:cs="Arial"/>
          <w:color w:val="000000"/>
          <w:w w:val="0"/>
        </w:rPr>
        <w:t>)</w:t>
      </w:r>
      <w:proofErr w:type="spellStart"/>
      <w:r>
        <w:rPr>
          <w:rFonts w:cs="Arial"/>
          <w:color w:val="000000"/>
          <w:w w:val="0"/>
          <w:vertAlign w:val="subscript"/>
        </w:rPr>
        <w:t>Hour_N</w:t>
      </w:r>
      <w:proofErr w:type="spellEnd"/>
      <w:r>
        <w:rPr>
          <w:rFonts w:cs="Arial"/>
          <w:color w:val="000000"/>
          <w:w w:val="0"/>
        </w:rPr>
        <w:t>]</w:t>
      </w:r>
    </w:p>
    <w:p w:rsidRPr="00580466" w:rsidR="00D96326" w:rsidP="00D96326" w:rsidRDefault="00D96326" w14:paraId="2D71D9C7" w14:textId="77777777">
      <w:pPr>
        <w:suppressAutoHyphens/>
        <w:spacing w:after="240"/>
        <w:ind w:left="2880" w:hanging="1440"/>
        <w:rPr>
          <w:rFonts w:cs="Arial"/>
          <w:color w:val="000000"/>
          <w:w w:val="0"/>
        </w:rPr>
      </w:pPr>
      <w:r>
        <w:rPr>
          <w:rFonts w:cs="Arial"/>
          <w:b/>
          <w:color w:val="000000"/>
          <w:w w:val="0"/>
        </w:rPr>
        <w:t>MVOM</w:t>
      </w:r>
      <w:r>
        <w:rPr>
          <w:rFonts w:cs="Arial"/>
          <w:b/>
          <w:vertAlign w:val="subscript"/>
        </w:rPr>
        <w:t>OIL-AR</w:t>
      </w:r>
      <w:r>
        <w:rPr>
          <w:rFonts w:cs="Arial"/>
          <w:color w:val="000000"/>
          <w:w w:val="0"/>
        </w:rPr>
        <w:t xml:space="preserve"> = ∑ [(SE</w:t>
      </w:r>
      <w:r>
        <w:rPr>
          <w:rFonts w:cs="Arial"/>
          <w:vertAlign w:val="subscript"/>
        </w:rPr>
        <w:t>OIL-AR</w:t>
      </w:r>
      <w:r>
        <w:rPr>
          <w:rFonts w:cs="Arial"/>
          <w:color w:val="000000"/>
          <w:w w:val="0"/>
        </w:rPr>
        <w:t xml:space="preserve"> </w:t>
      </w:r>
      <w:r>
        <w:rPr>
          <w:rFonts w:cs="Arial"/>
          <w:i/>
          <w:color w:val="000000"/>
          <w:w w:val="0"/>
          <w:vertAlign w:val="subscript"/>
        </w:rPr>
        <w:t>*</w:t>
      </w:r>
      <w:r>
        <w:rPr>
          <w:rFonts w:cs="Arial"/>
          <w:color w:val="000000"/>
          <w:w w:val="0"/>
        </w:rPr>
        <w:t xml:space="preserve"> VOM</w:t>
      </w:r>
      <w:r>
        <w:rPr>
          <w:rFonts w:cs="Arial"/>
          <w:vertAlign w:val="subscript"/>
        </w:rPr>
        <w:t>OIL</w:t>
      </w:r>
      <w:r>
        <w:rPr>
          <w:rFonts w:cs="Arial"/>
          <w:color w:val="000000"/>
          <w:w w:val="0"/>
        </w:rPr>
        <w:t>)</w:t>
      </w:r>
      <w:r>
        <w:rPr>
          <w:rFonts w:cs="Arial"/>
          <w:color w:val="000000"/>
          <w:w w:val="0"/>
          <w:vertAlign w:val="subscript"/>
        </w:rPr>
        <w:t>Hour_1</w:t>
      </w:r>
      <w:r>
        <w:rPr>
          <w:rFonts w:cs="Arial"/>
          <w:color w:val="000000"/>
          <w:w w:val="0"/>
        </w:rPr>
        <w:t xml:space="preserve"> …(SE</w:t>
      </w:r>
      <w:r>
        <w:rPr>
          <w:rFonts w:cs="Arial"/>
          <w:vertAlign w:val="subscript"/>
        </w:rPr>
        <w:t>OIL-AR</w:t>
      </w:r>
      <w:r>
        <w:rPr>
          <w:rFonts w:cs="Arial"/>
          <w:color w:val="000000"/>
          <w:w w:val="0"/>
        </w:rPr>
        <w:t xml:space="preserve"> </w:t>
      </w:r>
      <w:r>
        <w:rPr>
          <w:rFonts w:cs="Arial"/>
          <w:i/>
          <w:color w:val="000000"/>
          <w:w w:val="0"/>
          <w:vertAlign w:val="subscript"/>
        </w:rPr>
        <w:t>*</w:t>
      </w:r>
      <w:r>
        <w:rPr>
          <w:rFonts w:cs="Arial"/>
          <w:color w:val="000000"/>
          <w:w w:val="0"/>
        </w:rPr>
        <w:t xml:space="preserve"> VOM</w:t>
      </w:r>
      <w:r>
        <w:rPr>
          <w:rFonts w:cs="Arial"/>
          <w:vertAlign w:val="subscript"/>
        </w:rPr>
        <w:t>OIL</w:t>
      </w:r>
      <w:r>
        <w:rPr>
          <w:rFonts w:cs="Arial"/>
          <w:color w:val="000000"/>
          <w:w w:val="0"/>
        </w:rPr>
        <w:t>)</w:t>
      </w:r>
      <w:proofErr w:type="spellStart"/>
      <w:r>
        <w:rPr>
          <w:rFonts w:cs="Arial"/>
          <w:color w:val="000000"/>
          <w:w w:val="0"/>
          <w:vertAlign w:val="subscript"/>
        </w:rPr>
        <w:t>Hour_N</w:t>
      </w:r>
      <w:proofErr w:type="spellEnd"/>
      <w:r>
        <w:rPr>
          <w:rFonts w:cs="Arial"/>
          <w:color w:val="000000"/>
          <w:w w:val="0"/>
        </w:rPr>
        <w:t xml:space="preserve">] </w:t>
      </w:r>
    </w:p>
    <w:p w:rsidRPr="00396F9B" w:rsidR="00D96326" w:rsidP="00D96326" w:rsidRDefault="00D96326" w14:paraId="03BC6856" w14:textId="77777777">
      <w:pPr>
        <w:suppressAutoHyphens/>
        <w:spacing w:after="240"/>
        <w:ind w:left="2880" w:hanging="1440"/>
        <w:rPr>
          <w:rFonts w:cs="Arial"/>
        </w:rPr>
      </w:pPr>
      <w:r>
        <w:rPr>
          <w:rFonts w:cs="Arial"/>
        </w:rPr>
        <w:t>Where:</w:t>
      </w:r>
    </w:p>
    <w:p w:rsidRPr="00580466" w:rsidR="00D96326" w:rsidP="00D96326" w:rsidRDefault="00D96326" w14:paraId="6DFB51D4" w14:textId="77AA74D3">
      <w:pPr>
        <w:tabs>
          <w:tab w:val="left" w:pos="2790"/>
        </w:tabs>
        <w:suppressAutoHyphens/>
        <w:ind w:left="2790" w:hanging="1350"/>
        <w:rPr>
          <w:rFonts w:cs="Arial"/>
        </w:rPr>
      </w:pPr>
      <w:r>
        <w:rPr>
          <w:rFonts w:cs="Arial"/>
          <w:b/>
        </w:rPr>
        <w:t>SE</w:t>
      </w:r>
      <w:r>
        <w:rPr>
          <w:rFonts w:cs="Arial"/>
          <w:b/>
          <w:vertAlign w:val="subscript"/>
        </w:rPr>
        <w:t>GAS-FAC</w:t>
      </w:r>
      <w:r>
        <w:rPr>
          <w:rFonts w:cs="Arial"/>
        </w:rPr>
        <w:t xml:space="preserve"> =</w:t>
      </w:r>
      <w:r>
        <w:rPr>
          <w:rFonts w:cs="Arial"/>
        </w:rPr>
        <w:tab/>
      </w:r>
      <w:r>
        <w:rPr>
          <w:rFonts w:eastAsia="MS Mincho" w:cs="Arial"/>
          <w:w w:val="0"/>
        </w:rPr>
        <w:t>Amount of energy Seller delivered from the Unit</w:t>
      </w:r>
      <w:r w:rsidR="00C36DDA">
        <w:rPr>
          <w:rFonts w:eastAsia="MS Mincho" w:cs="Arial"/>
          <w:w w:val="0"/>
        </w:rPr>
        <w:t>(s)</w:t>
      </w:r>
      <w:r>
        <w:rPr>
          <w:rFonts w:eastAsia="MS Mincho" w:cs="Arial"/>
          <w:w w:val="0"/>
        </w:rPr>
        <w:t xml:space="preserve"> each Hour (in MWh) for operation on Natural Gas (in accordance with GPC’s Schedules) including energy produced during ramping of the Unit</w:t>
      </w:r>
      <w:r w:rsidR="00C36DDA">
        <w:rPr>
          <w:rFonts w:eastAsia="MS Mincho" w:cs="Arial"/>
          <w:w w:val="0"/>
        </w:rPr>
        <w:t>(s)</w:t>
      </w:r>
      <w:r>
        <w:rPr>
          <w:rFonts w:eastAsia="MS Mincho" w:cs="Arial"/>
          <w:w w:val="0"/>
        </w:rPr>
        <w:t>.</w:t>
      </w:r>
    </w:p>
    <w:p w:rsidRPr="00580466" w:rsidR="00D96326" w:rsidP="00D96326" w:rsidRDefault="00D96326" w14:paraId="5D7F20C2" w14:textId="78BFD257">
      <w:pPr>
        <w:suppressAutoHyphens/>
        <w:ind w:left="2790" w:hanging="1350"/>
        <w:rPr>
          <w:rFonts w:cs="Arial"/>
        </w:rPr>
      </w:pPr>
      <w:r>
        <w:rPr>
          <w:rFonts w:cs="Arial"/>
          <w:b/>
        </w:rPr>
        <w:t>SE</w:t>
      </w:r>
      <w:r>
        <w:rPr>
          <w:rFonts w:cs="Arial"/>
          <w:b/>
          <w:vertAlign w:val="subscript"/>
        </w:rPr>
        <w:t>OIL-FAC</w:t>
      </w:r>
      <w:r>
        <w:rPr>
          <w:rFonts w:cs="Arial"/>
        </w:rPr>
        <w:t xml:space="preserve"> =</w:t>
      </w:r>
      <w:r>
        <w:rPr>
          <w:rFonts w:cs="Arial"/>
        </w:rPr>
        <w:tab/>
      </w:r>
      <w:r>
        <w:rPr>
          <w:rFonts w:eastAsia="MS Mincho" w:cs="Arial"/>
          <w:w w:val="0"/>
        </w:rPr>
        <w:t>Amount of energy Seller delivered from the Unit</w:t>
      </w:r>
      <w:r w:rsidR="00C36DDA">
        <w:rPr>
          <w:rFonts w:eastAsia="MS Mincho" w:cs="Arial"/>
          <w:w w:val="0"/>
        </w:rPr>
        <w:t>(s)</w:t>
      </w:r>
      <w:r>
        <w:rPr>
          <w:rFonts w:eastAsia="MS Mincho" w:cs="Arial"/>
          <w:w w:val="0"/>
        </w:rPr>
        <w:t xml:space="preserve"> each Hour ((in MWh) for operation on Fuel Oil (in accordance with GPC’s Schedules) including energy produced during ramping of the Unit</w:t>
      </w:r>
      <w:r w:rsidR="00C36DDA">
        <w:rPr>
          <w:rFonts w:eastAsia="MS Mincho" w:cs="Arial"/>
          <w:w w:val="0"/>
        </w:rPr>
        <w:t>(s)</w:t>
      </w:r>
      <w:r>
        <w:rPr>
          <w:rFonts w:eastAsia="MS Mincho" w:cs="Arial"/>
          <w:w w:val="0"/>
        </w:rPr>
        <w:t>.</w:t>
      </w:r>
    </w:p>
    <w:p w:rsidRPr="00580466" w:rsidR="00D96326" w:rsidP="00D96326" w:rsidRDefault="00D96326" w14:paraId="71189E4C" w14:textId="50434A60">
      <w:pPr>
        <w:tabs>
          <w:tab w:val="left" w:pos="2850"/>
        </w:tabs>
        <w:suppressAutoHyphens/>
        <w:ind w:left="2793" w:hanging="1353"/>
        <w:rPr>
          <w:rFonts w:cs="Arial"/>
        </w:rPr>
      </w:pPr>
      <w:r>
        <w:rPr>
          <w:rFonts w:cs="Arial"/>
          <w:b/>
        </w:rPr>
        <w:t>SE</w:t>
      </w:r>
      <w:r>
        <w:rPr>
          <w:rFonts w:cs="Arial"/>
          <w:b/>
          <w:vertAlign w:val="subscript"/>
        </w:rPr>
        <w:t>GAS-AR</w:t>
      </w:r>
      <w:r>
        <w:rPr>
          <w:rFonts w:cs="Arial"/>
        </w:rPr>
        <w:t xml:space="preserve"> =</w:t>
      </w:r>
      <w:r>
        <w:rPr>
          <w:rFonts w:cs="Arial"/>
        </w:rPr>
        <w:tab/>
      </w:r>
      <w:r>
        <w:rPr>
          <w:rFonts w:cs="Arial"/>
          <w:color w:val="000000"/>
          <w:w w:val="0"/>
        </w:rPr>
        <w:t>Scheduled Energy in MWh delivered in each Hour from Alternate Resources</w:t>
      </w:r>
      <w:r>
        <w:rPr>
          <w:rFonts w:cs="Arial"/>
        </w:rPr>
        <w:t xml:space="preserve"> when the Unit</w:t>
      </w:r>
      <w:r w:rsidR="00C36DDA">
        <w:rPr>
          <w:rFonts w:cs="Arial"/>
        </w:rPr>
        <w:t>(s)</w:t>
      </w:r>
      <w:r>
        <w:rPr>
          <w:rFonts w:cs="Arial"/>
        </w:rPr>
        <w:t xml:space="preserve"> would have been dispatched on Natural Gas</w:t>
      </w:r>
      <w:r>
        <w:rPr>
          <w:rFonts w:cs="Arial"/>
          <w:color w:val="000000"/>
          <w:w w:val="0"/>
        </w:rPr>
        <w:t xml:space="preserve"> </w:t>
      </w:r>
      <w:proofErr w:type="gramStart"/>
      <w:r>
        <w:rPr>
          <w:rFonts w:cs="Arial"/>
          <w:color w:val="000000"/>
          <w:w w:val="0"/>
        </w:rPr>
        <w:t>in a given</w:t>
      </w:r>
      <w:proofErr w:type="gramEnd"/>
      <w:r>
        <w:rPr>
          <w:rFonts w:cs="Arial"/>
          <w:color w:val="000000"/>
          <w:w w:val="0"/>
        </w:rPr>
        <w:t xml:space="preserve"> Month</w:t>
      </w:r>
      <w:r>
        <w:rPr>
          <w:rFonts w:cs="Arial"/>
        </w:rPr>
        <w:t>.</w:t>
      </w:r>
    </w:p>
    <w:p w:rsidRPr="00580466" w:rsidR="00D96326" w:rsidP="00D96326" w:rsidRDefault="00D96326" w14:paraId="587DB20F" w14:textId="480AE31F">
      <w:pPr>
        <w:tabs>
          <w:tab w:val="left" w:pos="2850"/>
        </w:tabs>
        <w:suppressAutoHyphens/>
        <w:ind w:left="2793" w:hanging="1353"/>
        <w:rPr>
          <w:rFonts w:cs="Arial"/>
        </w:rPr>
      </w:pPr>
      <w:r>
        <w:rPr>
          <w:rFonts w:cs="Arial"/>
          <w:b/>
        </w:rPr>
        <w:t>SE</w:t>
      </w:r>
      <w:r>
        <w:rPr>
          <w:rFonts w:cs="Arial"/>
          <w:b/>
          <w:vertAlign w:val="subscript"/>
        </w:rPr>
        <w:t>OIL-AR</w:t>
      </w:r>
      <w:r>
        <w:rPr>
          <w:rFonts w:cs="Arial"/>
          <w:b/>
        </w:rPr>
        <w:t xml:space="preserve"> </w:t>
      </w:r>
      <w:r>
        <w:rPr>
          <w:rFonts w:cs="Arial"/>
        </w:rPr>
        <w:t>=</w:t>
      </w:r>
      <w:r>
        <w:rPr>
          <w:rFonts w:cs="Arial"/>
        </w:rPr>
        <w:tab/>
      </w:r>
      <w:r>
        <w:rPr>
          <w:rFonts w:cs="Arial"/>
          <w:color w:val="000000"/>
          <w:w w:val="0"/>
        </w:rPr>
        <w:t>Scheduled Energy in MWh delivered in each Hour from Alternate Resources</w:t>
      </w:r>
      <w:r>
        <w:rPr>
          <w:rFonts w:cs="Arial"/>
        </w:rPr>
        <w:t xml:space="preserve"> when the Unit</w:t>
      </w:r>
      <w:r w:rsidR="00C36DDA">
        <w:rPr>
          <w:rFonts w:cs="Arial"/>
        </w:rPr>
        <w:t>(s)</w:t>
      </w:r>
      <w:r>
        <w:rPr>
          <w:rFonts w:cs="Arial"/>
        </w:rPr>
        <w:t xml:space="preserve"> would have been dispatched on Fuel Oil</w:t>
      </w:r>
      <w:r>
        <w:rPr>
          <w:rFonts w:cs="Arial"/>
          <w:color w:val="000000"/>
          <w:w w:val="0"/>
        </w:rPr>
        <w:t xml:space="preserve"> </w:t>
      </w:r>
      <w:proofErr w:type="gramStart"/>
      <w:r>
        <w:rPr>
          <w:rFonts w:cs="Arial"/>
          <w:color w:val="000000"/>
          <w:w w:val="0"/>
        </w:rPr>
        <w:t>in a given</w:t>
      </w:r>
      <w:proofErr w:type="gramEnd"/>
      <w:r>
        <w:rPr>
          <w:rFonts w:cs="Arial"/>
          <w:color w:val="000000"/>
          <w:w w:val="0"/>
        </w:rPr>
        <w:t xml:space="preserve"> Month</w:t>
      </w:r>
      <w:r>
        <w:rPr>
          <w:rFonts w:cs="Arial"/>
        </w:rPr>
        <w:t>.</w:t>
      </w:r>
    </w:p>
    <w:p w:rsidRPr="00396F9B" w:rsidR="00D96326" w:rsidP="00D96326" w:rsidRDefault="00D96326" w14:paraId="6924CB61" w14:textId="7CF06760">
      <w:pPr>
        <w:suppressAutoHyphens/>
        <w:ind w:left="2808" w:hanging="1368"/>
        <w:rPr>
          <w:rFonts w:cs="Arial"/>
        </w:rPr>
      </w:pPr>
      <w:r>
        <w:rPr>
          <w:rFonts w:cs="Arial"/>
          <w:b/>
        </w:rPr>
        <w:t>VOM</w:t>
      </w:r>
      <w:r>
        <w:rPr>
          <w:rFonts w:cs="Arial"/>
          <w:b/>
          <w:vertAlign w:val="subscript"/>
        </w:rPr>
        <w:t>GAS</w:t>
      </w:r>
      <w:r>
        <w:rPr>
          <w:rFonts w:cs="Arial"/>
          <w:b/>
          <w:bCs/>
          <w:vertAlign w:val="subscript"/>
        </w:rPr>
        <w:t xml:space="preserve"> </w:t>
      </w:r>
      <w:r>
        <w:rPr>
          <w:rFonts w:cs="Arial"/>
        </w:rPr>
        <w:t>=</w:t>
      </w:r>
      <w:r>
        <w:rPr>
          <w:rFonts w:cs="Arial"/>
        </w:rPr>
        <w:tab/>
      </w:r>
      <w:r>
        <w:rPr>
          <w:rFonts w:cs="Arial"/>
          <w:w w:val="0"/>
        </w:rPr>
        <w:t xml:space="preserve">Variable O&amp;M Energy Rate for operation on Natural Gas is </w:t>
      </w:r>
      <w:r>
        <w:rPr>
          <w:rFonts w:cs="Arial"/>
          <w:iCs/>
          <w:w w:val="0"/>
          <w:highlight w:val="yellow"/>
        </w:rPr>
        <w:t>#Number</w:t>
      </w:r>
      <w:r>
        <w:rPr>
          <w:rFonts w:cs="Arial"/>
          <w:w w:val="0"/>
        </w:rPr>
        <w:t xml:space="preserve"> $/MWh </w:t>
      </w:r>
      <w:r>
        <w:rPr>
          <w:rFonts w:cs="Arial"/>
          <w:color w:val="000000"/>
          <w:w w:val="0"/>
        </w:rPr>
        <w:t>escalated at actual GDPIPD</w:t>
      </w:r>
      <w:r>
        <w:rPr>
          <w:rFonts w:cs="Arial"/>
          <w:w w:val="0"/>
        </w:rPr>
        <w:t>.</w:t>
      </w:r>
      <w:r>
        <w:rPr>
          <w:rFonts w:cs="Arial"/>
        </w:rPr>
        <w:t xml:space="preserve"> Other than escalation, VOM</w:t>
      </w:r>
      <w:r>
        <w:rPr>
          <w:rFonts w:cs="Arial"/>
          <w:vertAlign w:val="subscript"/>
        </w:rPr>
        <w:t>GAS</w:t>
      </w:r>
      <w:r>
        <w:rPr>
          <w:rFonts w:cs="Arial"/>
        </w:rPr>
        <w:t xml:space="preserve"> is a </w:t>
      </w:r>
      <w:r>
        <w:rPr>
          <w:rFonts w:cs="Arial"/>
        </w:rPr>
        <w:lastRenderedPageBreak/>
        <w:t xml:space="preserve">constant value and </w:t>
      </w:r>
      <w:r>
        <w:rPr>
          <w:rFonts w:cs="Arial" w:eastAsiaTheme="minorEastAsia"/>
          <w:kern w:val="14"/>
        </w:rPr>
        <w:t>will</w:t>
      </w:r>
      <w:r>
        <w:rPr>
          <w:rFonts w:cs="Arial"/>
        </w:rPr>
        <w:t xml:space="preserve"> not vary based upon </w:t>
      </w:r>
      <w:r w:rsidR="001B2694">
        <w:rPr>
          <w:rFonts w:cs="Arial"/>
        </w:rPr>
        <w:t xml:space="preserve">each </w:t>
      </w:r>
      <w:r>
        <w:rPr>
          <w:rFonts w:cs="Arial"/>
        </w:rPr>
        <w:t>Unit’s Hours of operation or MWh output.</w:t>
      </w:r>
    </w:p>
    <w:p w:rsidRPr="00580466" w:rsidR="00D96326" w:rsidP="00D96326" w:rsidRDefault="00D96326" w14:paraId="439B3196" w14:textId="2DBAB8CD">
      <w:pPr>
        <w:suppressAutoHyphens/>
        <w:ind w:left="2850" w:hanging="1410"/>
        <w:rPr>
          <w:rFonts w:cs="Arial"/>
        </w:rPr>
      </w:pPr>
      <w:r>
        <w:rPr>
          <w:rFonts w:cs="Arial"/>
          <w:b/>
        </w:rPr>
        <w:t>VOM</w:t>
      </w:r>
      <w:r>
        <w:rPr>
          <w:rFonts w:cs="Arial"/>
          <w:b/>
          <w:vertAlign w:val="subscript"/>
        </w:rPr>
        <w:t>OIL</w:t>
      </w:r>
      <w:r>
        <w:rPr>
          <w:rFonts w:cs="Arial"/>
        </w:rPr>
        <w:t>=</w:t>
      </w:r>
      <w:r>
        <w:rPr>
          <w:rFonts w:cs="Arial"/>
        </w:rPr>
        <w:tab/>
      </w:r>
      <w:r>
        <w:rPr>
          <w:rFonts w:cs="Arial"/>
          <w:w w:val="0"/>
        </w:rPr>
        <w:t xml:space="preserve">Variable O&amp;M Energy Rate for operation on Fuel Oil is </w:t>
      </w:r>
      <w:r>
        <w:rPr>
          <w:rFonts w:cs="Arial"/>
          <w:iCs/>
          <w:w w:val="0"/>
          <w:highlight w:val="yellow"/>
        </w:rPr>
        <w:t>#Number</w:t>
      </w:r>
      <w:r>
        <w:rPr>
          <w:rFonts w:cs="Arial"/>
          <w:w w:val="0"/>
        </w:rPr>
        <w:t xml:space="preserve"> $/MWh </w:t>
      </w:r>
      <w:r>
        <w:rPr>
          <w:rFonts w:cs="Arial"/>
          <w:color w:val="000000"/>
          <w:w w:val="0"/>
        </w:rPr>
        <w:t xml:space="preserve">escalated at actual GDPIPD. </w:t>
      </w:r>
      <w:r>
        <w:rPr>
          <w:rFonts w:cs="Arial"/>
        </w:rPr>
        <w:t>Other than escalation, VOM</w:t>
      </w:r>
      <w:r>
        <w:rPr>
          <w:rFonts w:cs="Arial"/>
          <w:vertAlign w:val="subscript"/>
        </w:rPr>
        <w:t>OIL</w:t>
      </w:r>
      <w:r>
        <w:rPr>
          <w:rFonts w:cs="Arial"/>
        </w:rPr>
        <w:t xml:space="preserve"> is a constant value and </w:t>
      </w:r>
      <w:r>
        <w:rPr>
          <w:rFonts w:cs="Arial" w:eastAsiaTheme="minorEastAsia"/>
          <w:kern w:val="14"/>
        </w:rPr>
        <w:t>will</w:t>
      </w:r>
      <w:r>
        <w:rPr>
          <w:rFonts w:cs="Arial"/>
        </w:rPr>
        <w:t xml:space="preserve"> not vary based upon </w:t>
      </w:r>
      <w:r w:rsidR="001B2694">
        <w:rPr>
          <w:rFonts w:cs="Arial"/>
        </w:rPr>
        <w:t xml:space="preserve">each </w:t>
      </w:r>
      <w:r>
        <w:rPr>
          <w:rFonts w:cs="Arial"/>
        </w:rPr>
        <w:t>Unit’s Hours of operation or MWh output.</w:t>
      </w:r>
    </w:p>
    <w:p w:rsidRPr="00396F9B" w:rsidR="00D96326" w:rsidP="00D96326" w:rsidRDefault="00D96326" w14:paraId="33CA302B" w14:textId="77777777">
      <w:pPr>
        <w:suppressAutoHyphens/>
        <w:ind w:left="2793" w:hanging="1410"/>
        <w:rPr>
          <w:rFonts w:cs="Arial"/>
        </w:rPr>
      </w:pPr>
    </w:p>
    <w:p w:rsidRPr="00580466" w:rsidR="00D96326" w:rsidP="00D96326" w:rsidRDefault="00D96326" w14:paraId="6EA6B1F1" w14:textId="6F504BBD">
      <w:pPr>
        <w:pStyle w:val="zG02"/>
        <w:rPr>
          <w:w w:val="0"/>
        </w:rPr>
      </w:pPr>
      <w:r>
        <w:rPr>
          <w:b/>
          <w:w w:val="0"/>
        </w:rPr>
        <w:t xml:space="preserve">Monthly Startup Charges </w:t>
      </w:r>
      <w:r>
        <w:rPr>
          <w:b/>
          <w:bCs/>
          <w:w w:val="0"/>
        </w:rPr>
        <w:t>(</w:t>
      </w:r>
      <w:r>
        <w:rPr>
          <w:b/>
          <w:w w:val="0"/>
        </w:rPr>
        <w:t>MSC</w:t>
      </w:r>
      <w:r>
        <w:rPr>
          <w:b/>
          <w:bCs/>
          <w:w w:val="0"/>
        </w:rPr>
        <w:t xml:space="preserve">). </w:t>
      </w:r>
      <w:r>
        <w:rPr>
          <w:w w:val="0"/>
        </w:rPr>
        <w:t xml:space="preserve">If Seller delivers energy from the </w:t>
      </w:r>
      <w:r w:rsidR="001B2694">
        <w:rPr>
          <w:w w:val="0"/>
        </w:rPr>
        <w:t xml:space="preserve">Facility </w:t>
      </w:r>
      <w:r>
        <w:rPr>
          <w:w w:val="0"/>
        </w:rPr>
        <w:t>when</w:t>
      </w:r>
      <w:r w:rsidR="00082B52">
        <w:rPr>
          <w:w w:val="0"/>
        </w:rPr>
        <w:t xml:space="preserve"> a Unit is</w:t>
      </w:r>
      <w:r>
        <w:rPr>
          <w:w w:val="0"/>
        </w:rPr>
        <w:t xml:space="preserve"> dispatched on Natural Gas, the Monthly Startup Charge will be determined as follows:</w:t>
      </w:r>
    </w:p>
    <w:p w:rsidRPr="005D26F6" w:rsidR="00D96326" w:rsidP="00D96326" w:rsidRDefault="00D96326" w14:paraId="0C055FF8" w14:textId="77777777">
      <w:pPr>
        <w:spacing w:after="240"/>
        <w:jc w:val="center"/>
        <w:rPr>
          <w:rFonts w:cs="Arial"/>
          <w:color w:val="000000"/>
          <w:w w:val="0"/>
          <w:lang w:val="es-PR"/>
        </w:rPr>
      </w:pPr>
      <w:r>
        <w:rPr>
          <w:rFonts w:cs="Arial"/>
          <w:b/>
          <w:color w:val="000000"/>
          <w:w w:val="0"/>
          <w:lang w:val="es-PR"/>
        </w:rPr>
        <w:t>MSC</w:t>
      </w:r>
      <w:r>
        <w:rPr>
          <w:rFonts w:cs="Arial"/>
          <w:b/>
          <w:color w:val="000000"/>
          <w:vertAlign w:val="subscript"/>
          <w:lang w:val="es-PR"/>
        </w:rPr>
        <w:t>GAS-</w:t>
      </w:r>
      <w:r>
        <w:rPr>
          <w:rFonts w:cs="Arial"/>
          <w:b/>
          <w:vertAlign w:val="subscript"/>
          <w:lang w:val="es-PR"/>
        </w:rPr>
        <w:t>FAC</w:t>
      </w:r>
      <w:r>
        <w:rPr>
          <w:rFonts w:cs="Arial"/>
          <w:color w:val="000000"/>
          <w:w w:val="0"/>
          <w:lang w:val="es-PR"/>
        </w:rPr>
        <w:t xml:space="preserve"> = ∑ [FSR</w:t>
      </w:r>
      <w:r>
        <w:rPr>
          <w:rFonts w:cs="Arial"/>
          <w:color w:val="000000"/>
          <w:vertAlign w:val="subscript"/>
          <w:lang w:val="es-PR"/>
        </w:rPr>
        <w:t>GAS</w:t>
      </w:r>
      <w:r>
        <w:rPr>
          <w:rFonts w:cs="Arial"/>
          <w:vertAlign w:val="subscript"/>
          <w:lang w:val="es-PR"/>
        </w:rPr>
        <w:t xml:space="preserve"> </w:t>
      </w:r>
      <w:r>
        <w:rPr>
          <w:rFonts w:cs="Arial"/>
          <w:color w:val="000000"/>
          <w:w w:val="0"/>
          <w:lang w:val="es-PR"/>
        </w:rPr>
        <w:t>+ O&amp;MSR</w:t>
      </w:r>
      <w:r>
        <w:rPr>
          <w:rFonts w:cs="Arial"/>
          <w:color w:val="000000"/>
          <w:vertAlign w:val="subscript"/>
          <w:lang w:val="es-PR"/>
        </w:rPr>
        <w:t>GAS</w:t>
      </w:r>
      <w:r>
        <w:rPr>
          <w:rFonts w:cs="Arial"/>
          <w:color w:val="000000"/>
          <w:w w:val="0"/>
          <w:lang w:val="es-PR"/>
        </w:rPr>
        <w:t>]</w:t>
      </w:r>
    </w:p>
    <w:p w:rsidRPr="00580466" w:rsidR="00D96326" w:rsidP="00D96326" w:rsidRDefault="00D96326" w14:paraId="453F527C" w14:textId="7676857F">
      <w:pPr>
        <w:pStyle w:val="zG02"/>
        <w:numPr>
          <w:ilvl w:val="0"/>
          <w:numId w:val="0"/>
        </w:numPr>
        <w:rPr>
          <w:w w:val="0"/>
        </w:rPr>
      </w:pPr>
      <w:r>
        <w:rPr>
          <w:w w:val="0"/>
        </w:rPr>
        <w:t xml:space="preserve">If Seller delivers energy from the </w:t>
      </w:r>
      <w:r w:rsidR="00082B52">
        <w:rPr>
          <w:w w:val="0"/>
        </w:rPr>
        <w:t>Facility when a</w:t>
      </w:r>
      <w:r w:rsidR="001B2694">
        <w:rPr>
          <w:w w:val="0"/>
        </w:rPr>
        <w:t xml:space="preserve"> </w:t>
      </w:r>
      <w:r>
        <w:rPr>
          <w:w w:val="0"/>
        </w:rPr>
        <w:t xml:space="preserve">Unit </w:t>
      </w:r>
      <w:r w:rsidR="00082B52">
        <w:t xml:space="preserve">is </w:t>
      </w:r>
      <w:r>
        <w:t xml:space="preserve">dispatched </w:t>
      </w:r>
      <w:r>
        <w:rPr>
          <w:w w:val="0"/>
        </w:rPr>
        <w:t>on Fuel Oil, the Monthly Startup Charge will be determined as follows:</w:t>
      </w:r>
    </w:p>
    <w:p w:rsidRPr="00580466" w:rsidR="00D96326" w:rsidP="00D96326" w:rsidRDefault="00D96326" w14:paraId="294C2B07" w14:textId="77777777">
      <w:pPr>
        <w:spacing w:after="240"/>
        <w:jc w:val="center"/>
        <w:rPr>
          <w:rFonts w:cs="Arial"/>
          <w:color w:val="000000"/>
          <w:w w:val="0"/>
          <w:lang w:val="pl-PL"/>
        </w:rPr>
      </w:pPr>
      <w:r>
        <w:rPr>
          <w:rFonts w:cs="Arial"/>
          <w:b/>
          <w:color w:val="000000"/>
          <w:w w:val="0"/>
          <w:lang w:val="pl-PL"/>
        </w:rPr>
        <w:t>MSC</w:t>
      </w:r>
      <w:r>
        <w:rPr>
          <w:rFonts w:cs="Arial"/>
          <w:b/>
          <w:color w:val="000000"/>
          <w:vertAlign w:val="subscript"/>
        </w:rPr>
        <w:t>OIL-</w:t>
      </w:r>
      <w:r>
        <w:rPr>
          <w:rFonts w:cs="Arial"/>
          <w:b/>
          <w:vertAlign w:val="subscript"/>
          <w:lang w:val="pl-PL"/>
        </w:rPr>
        <w:t>FAC</w:t>
      </w:r>
      <w:r>
        <w:rPr>
          <w:rFonts w:cs="Arial"/>
          <w:color w:val="000000"/>
          <w:w w:val="0"/>
          <w:lang w:val="pl-PL"/>
        </w:rPr>
        <w:t xml:space="preserve"> =   ∑ [FSR</w:t>
      </w:r>
      <w:r>
        <w:rPr>
          <w:rFonts w:cs="Arial"/>
          <w:color w:val="000000"/>
          <w:vertAlign w:val="subscript"/>
        </w:rPr>
        <w:t>OIL</w:t>
      </w:r>
      <w:r>
        <w:rPr>
          <w:rFonts w:cs="Arial"/>
          <w:color w:val="000000"/>
          <w:w w:val="0"/>
          <w:lang w:val="pl-PL"/>
        </w:rPr>
        <w:t xml:space="preserve"> + O&amp;MSR</w:t>
      </w:r>
      <w:r>
        <w:rPr>
          <w:rFonts w:cs="Arial"/>
          <w:color w:val="000000"/>
          <w:vertAlign w:val="subscript"/>
        </w:rPr>
        <w:t>OIL</w:t>
      </w:r>
      <w:r>
        <w:rPr>
          <w:rFonts w:cs="Arial"/>
          <w:color w:val="000000"/>
          <w:w w:val="0"/>
          <w:lang w:val="pl-PL"/>
        </w:rPr>
        <w:t>]</w:t>
      </w:r>
    </w:p>
    <w:p w:rsidRPr="00580466" w:rsidR="00D96326" w:rsidP="00D96326" w:rsidRDefault="00D96326" w14:paraId="6A1B660F" w14:textId="77777777">
      <w:pPr>
        <w:pStyle w:val="zG02"/>
        <w:numPr>
          <w:ilvl w:val="0"/>
          <w:numId w:val="0"/>
        </w:numPr>
        <w:rPr>
          <w:w w:val="0"/>
        </w:rPr>
      </w:pPr>
      <w:r>
        <w:rPr>
          <w:w w:val="0"/>
        </w:rPr>
        <w:t>If Seller delivers energy from Alternate Resources, the Monthly Startup Charge will be determined as follows:</w:t>
      </w:r>
    </w:p>
    <w:p w:rsidRPr="005D26F6" w:rsidR="00D96326" w:rsidP="00D96326" w:rsidRDefault="00D96326" w14:paraId="38274855" w14:textId="77777777">
      <w:pPr>
        <w:suppressAutoHyphens/>
        <w:spacing w:after="240"/>
        <w:jc w:val="center"/>
        <w:outlineLvl w:val="0"/>
        <w:rPr>
          <w:rFonts w:cs="Arial"/>
          <w:lang w:val="es-PR"/>
        </w:rPr>
      </w:pPr>
      <w:r>
        <w:rPr>
          <w:rFonts w:cs="Arial"/>
          <w:b/>
          <w:color w:val="000000"/>
          <w:w w:val="0"/>
          <w:lang w:val="es-PR"/>
        </w:rPr>
        <w:t>MSC</w:t>
      </w:r>
      <w:r>
        <w:rPr>
          <w:rFonts w:cs="Arial"/>
          <w:b/>
          <w:color w:val="000000"/>
          <w:vertAlign w:val="subscript"/>
          <w:lang w:val="es-PR"/>
        </w:rPr>
        <w:t>GAS-</w:t>
      </w:r>
      <w:r>
        <w:rPr>
          <w:rFonts w:cs="Arial"/>
          <w:b/>
          <w:vertAlign w:val="subscript"/>
          <w:lang w:val="es-PR"/>
        </w:rPr>
        <w:t>AR</w:t>
      </w:r>
      <w:r>
        <w:rPr>
          <w:rFonts w:cs="Arial"/>
          <w:color w:val="000000"/>
          <w:w w:val="0"/>
          <w:lang w:val="es-PR"/>
        </w:rPr>
        <w:t xml:space="preserve"> = ∑ [FSR</w:t>
      </w:r>
      <w:r>
        <w:rPr>
          <w:rFonts w:cs="Arial"/>
          <w:color w:val="000000"/>
          <w:vertAlign w:val="subscript"/>
          <w:lang w:val="es-PR"/>
        </w:rPr>
        <w:t>GAS</w:t>
      </w:r>
      <w:r>
        <w:rPr>
          <w:rFonts w:cs="Arial"/>
          <w:vertAlign w:val="subscript"/>
          <w:lang w:val="es-PR"/>
        </w:rPr>
        <w:t xml:space="preserve"> </w:t>
      </w:r>
      <w:r>
        <w:rPr>
          <w:rFonts w:cs="Arial"/>
          <w:color w:val="000000"/>
          <w:w w:val="0"/>
          <w:lang w:val="es-PR"/>
        </w:rPr>
        <w:t>+ O&amp;MSR</w:t>
      </w:r>
      <w:r>
        <w:rPr>
          <w:rFonts w:cs="Arial"/>
          <w:color w:val="000000"/>
          <w:vertAlign w:val="subscript"/>
          <w:lang w:val="es-PR"/>
        </w:rPr>
        <w:t>GAS</w:t>
      </w:r>
      <w:r>
        <w:rPr>
          <w:rFonts w:cs="Arial"/>
          <w:color w:val="000000"/>
          <w:w w:val="0"/>
          <w:lang w:val="es-PR"/>
        </w:rPr>
        <w:t>]</w:t>
      </w:r>
    </w:p>
    <w:p w:rsidRPr="00580466" w:rsidR="00D96326" w:rsidP="00D96326" w:rsidRDefault="00D96326" w14:paraId="560EBA85" w14:textId="3BEC5272">
      <w:pPr>
        <w:pStyle w:val="zG02"/>
        <w:numPr>
          <w:ilvl w:val="0"/>
          <w:numId w:val="0"/>
        </w:numPr>
        <w:rPr>
          <w:w w:val="0"/>
        </w:rPr>
      </w:pPr>
      <w:r>
        <w:rPr>
          <w:w w:val="0"/>
        </w:rPr>
        <w:t xml:space="preserve">If Seller delivers energy from Alternate Resources </w:t>
      </w:r>
      <w:r>
        <w:t xml:space="preserve">when </w:t>
      </w:r>
      <w:r w:rsidR="001B2694">
        <w:t xml:space="preserve">a </w:t>
      </w:r>
      <w:r>
        <w:t>Unit would have been dispatched on Fuel Oil</w:t>
      </w:r>
      <w:r>
        <w:rPr>
          <w:w w:val="0"/>
        </w:rPr>
        <w:t>, the Monthly Startup Charge will be determined as follows:</w:t>
      </w:r>
    </w:p>
    <w:p w:rsidRPr="00580466" w:rsidR="00D96326" w:rsidP="00D96326" w:rsidRDefault="00D96326" w14:paraId="0E1671C3" w14:textId="77777777">
      <w:pPr>
        <w:suppressAutoHyphens/>
        <w:spacing w:after="240"/>
        <w:jc w:val="center"/>
        <w:outlineLvl w:val="0"/>
        <w:rPr>
          <w:rFonts w:cs="Arial"/>
        </w:rPr>
      </w:pPr>
      <w:r>
        <w:rPr>
          <w:rFonts w:cs="Arial"/>
          <w:b/>
          <w:color w:val="000000"/>
          <w:w w:val="0"/>
        </w:rPr>
        <w:t>MSC</w:t>
      </w:r>
      <w:r>
        <w:rPr>
          <w:rFonts w:cs="Arial"/>
          <w:b/>
          <w:color w:val="000000"/>
          <w:vertAlign w:val="subscript"/>
        </w:rPr>
        <w:t>OIL-</w:t>
      </w:r>
      <w:r>
        <w:rPr>
          <w:rFonts w:cs="Arial"/>
          <w:b/>
          <w:vertAlign w:val="subscript"/>
        </w:rPr>
        <w:t>AR</w:t>
      </w:r>
      <w:r>
        <w:rPr>
          <w:rFonts w:cs="Arial"/>
          <w:color w:val="000000"/>
          <w:w w:val="0"/>
        </w:rPr>
        <w:t xml:space="preserve"> = ∑ [FSR</w:t>
      </w:r>
      <w:r>
        <w:rPr>
          <w:rFonts w:cs="Arial"/>
          <w:color w:val="000000"/>
          <w:vertAlign w:val="subscript"/>
        </w:rPr>
        <w:t>OIL</w:t>
      </w:r>
      <w:r>
        <w:rPr>
          <w:rFonts w:cs="Arial"/>
          <w:vertAlign w:val="subscript"/>
        </w:rPr>
        <w:t xml:space="preserve"> </w:t>
      </w:r>
      <w:r>
        <w:rPr>
          <w:rFonts w:cs="Arial"/>
          <w:color w:val="000000"/>
          <w:w w:val="0"/>
        </w:rPr>
        <w:t>+ O&amp;MSR</w:t>
      </w:r>
      <w:r>
        <w:rPr>
          <w:rFonts w:cs="Arial"/>
          <w:color w:val="000000"/>
          <w:vertAlign w:val="subscript"/>
        </w:rPr>
        <w:t>OIL</w:t>
      </w:r>
      <w:r>
        <w:rPr>
          <w:rFonts w:cs="Arial"/>
          <w:color w:val="000000"/>
          <w:w w:val="0"/>
        </w:rPr>
        <w:t>]</w:t>
      </w:r>
    </w:p>
    <w:p w:rsidRPr="00580466" w:rsidR="00D96326" w:rsidP="00D96326" w:rsidRDefault="00D96326" w14:paraId="0E16F978" w14:textId="77777777">
      <w:pPr>
        <w:pStyle w:val="zG02"/>
        <w:numPr>
          <w:ilvl w:val="0"/>
          <w:numId w:val="0"/>
        </w:numPr>
        <w:rPr>
          <w:w w:val="0"/>
        </w:rPr>
      </w:pPr>
      <w:r>
        <w:rPr>
          <w:w w:val="0"/>
        </w:rPr>
        <w:t xml:space="preserve">The </w:t>
      </w:r>
      <w:r>
        <w:t>Monthly Startup Charge</w:t>
      </w:r>
      <w:r>
        <w:rPr>
          <w:w w:val="0"/>
        </w:rPr>
        <w:t xml:space="preserve"> will be the sum of two components of Startup Charges during a given Month: (</w:t>
      </w:r>
      <w:proofErr w:type="spellStart"/>
      <w:r>
        <w:rPr>
          <w:w w:val="0"/>
        </w:rPr>
        <w:t>i</w:t>
      </w:r>
      <w:proofErr w:type="spellEnd"/>
      <w:r>
        <w:rPr>
          <w:w w:val="0"/>
        </w:rPr>
        <w:t xml:space="preserve">) a fuel cost component associated with each Startup Event; </w:t>
      </w:r>
      <w:r>
        <w:rPr>
          <w:i/>
          <w:iCs/>
          <w:w w:val="0"/>
        </w:rPr>
        <w:t>plus</w:t>
      </w:r>
      <w:r>
        <w:rPr>
          <w:w w:val="0"/>
        </w:rPr>
        <w:t xml:space="preserve"> (ii) an O&amp;M cost component associated with each Startup Event.</w:t>
      </w:r>
    </w:p>
    <w:p w:rsidRPr="00396F9B" w:rsidR="00D96326" w:rsidP="00D96326" w:rsidRDefault="00D96326" w14:paraId="226D29D7" w14:textId="77777777">
      <w:pPr>
        <w:suppressAutoHyphens/>
        <w:spacing w:after="240"/>
        <w:ind w:firstLine="1440"/>
        <w:rPr>
          <w:rFonts w:cs="Arial"/>
          <w:color w:val="000000"/>
          <w:w w:val="0"/>
        </w:rPr>
      </w:pPr>
      <w:r>
        <w:rPr>
          <w:rFonts w:cs="Arial"/>
          <w:color w:val="000000"/>
          <w:w w:val="0"/>
        </w:rPr>
        <w:t>Where:</w:t>
      </w:r>
    </w:p>
    <w:p w:rsidRPr="00396F9B" w:rsidR="00D96326" w:rsidP="00D96326" w:rsidRDefault="00D96326" w14:paraId="50EAEE41" w14:textId="77777777">
      <w:pPr>
        <w:tabs>
          <w:tab w:val="left" w:pos="720"/>
          <w:tab w:val="left" w:pos="1440"/>
          <w:tab w:val="left" w:pos="2160"/>
          <w:tab w:val="left" w:pos="2880"/>
        </w:tabs>
        <w:suppressAutoHyphens/>
        <w:ind w:firstLine="1440"/>
        <w:rPr>
          <w:rFonts w:cs="Arial"/>
        </w:rPr>
      </w:pPr>
      <w:r>
        <w:rPr>
          <w:rFonts w:cs="Arial"/>
          <w:b/>
          <w:color w:val="000000"/>
          <w:w w:val="0"/>
        </w:rPr>
        <w:t>∑</w:t>
      </w:r>
      <w:r>
        <w:rPr>
          <w:rFonts w:cs="Arial"/>
        </w:rPr>
        <w:t>=</w:t>
      </w:r>
      <w:r>
        <w:rPr>
          <w:rFonts w:cs="Arial"/>
        </w:rPr>
        <w:tab/>
      </w:r>
      <w:r>
        <w:rPr>
          <w:rFonts w:cs="Arial"/>
        </w:rPr>
        <w:tab/>
        <w:t>Summation from startup 1 to startup N.</w:t>
      </w:r>
    </w:p>
    <w:p w:rsidRPr="003A5D86" w:rsidR="00D96326" w:rsidP="00D96326" w:rsidRDefault="00D96326" w14:paraId="5FC30296" w14:textId="3D81A528">
      <w:pPr>
        <w:tabs>
          <w:tab w:val="left" w:pos="720"/>
          <w:tab w:val="left" w:pos="1440"/>
          <w:tab w:val="left" w:pos="2160"/>
          <w:tab w:val="left" w:pos="2880"/>
        </w:tabs>
        <w:suppressAutoHyphens/>
        <w:ind w:left="2880" w:hanging="1440"/>
        <w:rPr>
          <w:rFonts w:cs="Arial"/>
          <w:color w:val="000000"/>
          <w:w w:val="0"/>
        </w:rPr>
      </w:pPr>
      <w:r>
        <w:rPr>
          <w:rFonts w:cs="Arial"/>
          <w:b/>
          <w:color w:val="000000"/>
          <w:w w:val="0"/>
        </w:rPr>
        <w:t>FSR</w:t>
      </w:r>
      <w:r>
        <w:rPr>
          <w:rFonts w:cs="Arial"/>
          <w:b/>
          <w:color w:val="000000"/>
          <w:vertAlign w:val="subscript"/>
        </w:rPr>
        <w:t>GAS</w:t>
      </w:r>
      <w:r>
        <w:rPr>
          <w:rFonts w:cs="Arial"/>
          <w:color w:val="000000"/>
          <w:w w:val="0"/>
        </w:rPr>
        <w:t xml:space="preserve"> =</w:t>
      </w:r>
      <w:r>
        <w:rPr>
          <w:rFonts w:cs="Arial"/>
          <w:color w:val="000000"/>
          <w:w w:val="0"/>
        </w:rPr>
        <w:tab/>
        <w:t>Fuel Startup Rate (in $/Startup Event)</w:t>
      </w:r>
      <w:r>
        <w:rPr>
          <w:rFonts w:cs="Arial"/>
        </w:rPr>
        <w:t xml:space="preserve"> when dispatched </w:t>
      </w:r>
      <w:r>
        <w:rPr>
          <w:rFonts w:cs="Arial"/>
          <w:color w:val="000000"/>
          <w:w w:val="0"/>
        </w:rPr>
        <w:t>on Natural Gas, as shown in Table C-1 (</w:t>
      </w:r>
      <w:r>
        <w:rPr>
          <w:rFonts w:cs="Arial"/>
          <w:i/>
          <w:iCs/>
          <w:color w:val="000000"/>
          <w:w w:val="0"/>
        </w:rPr>
        <w:t>Startup Rates ($/Startup Event) for Operation on Natural Gas</w:t>
      </w:r>
      <w:r>
        <w:rPr>
          <w:rFonts w:cs="Arial"/>
          <w:color w:val="000000"/>
          <w:w w:val="0"/>
        </w:rPr>
        <w:t>).</w:t>
      </w:r>
    </w:p>
    <w:p w:rsidRPr="003A5D86" w:rsidR="00D96326" w:rsidP="00D96326" w:rsidRDefault="00D96326" w14:paraId="57471F90" w14:textId="27C51604">
      <w:pPr>
        <w:tabs>
          <w:tab w:val="left" w:pos="2880"/>
        </w:tabs>
        <w:suppressAutoHyphens/>
        <w:ind w:left="2880" w:hanging="1440"/>
        <w:rPr>
          <w:rFonts w:cs="Arial"/>
          <w:color w:val="000000"/>
          <w:w w:val="0"/>
        </w:rPr>
      </w:pPr>
      <w:r>
        <w:rPr>
          <w:rFonts w:cs="Arial"/>
          <w:b/>
          <w:color w:val="000000"/>
          <w:w w:val="0"/>
        </w:rPr>
        <w:t>FSR</w:t>
      </w:r>
      <w:r>
        <w:rPr>
          <w:rFonts w:cs="Arial"/>
          <w:b/>
          <w:color w:val="000000"/>
          <w:vertAlign w:val="subscript"/>
        </w:rPr>
        <w:t>OIL</w:t>
      </w:r>
      <w:r>
        <w:rPr>
          <w:rFonts w:cs="Arial"/>
          <w:b/>
          <w:color w:val="000000"/>
          <w:w w:val="0"/>
        </w:rPr>
        <w:t xml:space="preserve"> </w:t>
      </w:r>
      <w:r>
        <w:rPr>
          <w:rFonts w:cs="Arial"/>
          <w:color w:val="000000"/>
          <w:w w:val="0"/>
        </w:rPr>
        <w:t>=</w:t>
      </w:r>
      <w:r>
        <w:rPr>
          <w:rFonts w:cs="Arial"/>
          <w:color w:val="000000"/>
          <w:w w:val="0"/>
        </w:rPr>
        <w:tab/>
        <w:t>Fuel Startup Rate (in $/Startup Event)</w:t>
      </w:r>
      <w:r>
        <w:rPr>
          <w:rFonts w:cs="Arial"/>
        </w:rPr>
        <w:t xml:space="preserve"> when dispatched </w:t>
      </w:r>
      <w:r>
        <w:rPr>
          <w:rFonts w:cs="Arial"/>
          <w:color w:val="000000"/>
          <w:w w:val="0"/>
        </w:rPr>
        <w:t>on Fuel Oil, as shown in Table C-2 (</w:t>
      </w:r>
      <w:r>
        <w:rPr>
          <w:rFonts w:cs="Arial"/>
          <w:i/>
          <w:iCs/>
          <w:color w:val="000000"/>
          <w:w w:val="0"/>
        </w:rPr>
        <w:t>Startup Rates ($/Startup Event) for Operation on Fuel Oil</w:t>
      </w:r>
      <w:r>
        <w:rPr>
          <w:rFonts w:cs="Arial"/>
          <w:color w:val="000000"/>
          <w:w w:val="0"/>
        </w:rPr>
        <w:t>).</w:t>
      </w:r>
    </w:p>
    <w:p w:rsidRPr="003A5D86" w:rsidR="00D96326" w:rsidP="00D96326" w:rsidRDefault="00D96326" w14:paraId="5E92C6CE" w14:textId="10CD15A8">
      <w:pPr>
        <w:tabs>
          <w:tab w:val="left" w:pos="2880"/>
        </w:tabs>
        <w:suppressAutoHyphens/>
        <w:ind w:left="2880" w:hanging="1440"/>
        <w:rPr>
          <w:rFonts w:cs="Arial"/>
          <w:color w:val="000000"/>
          <w:w w:val="0"/>
        </w:rPr>
      </w:pPr>
      <w:r>
        <w:rPr>
          <w:rFonts w:cs="Arial"/>
          <w:b/>
          <w:color w:val="000000"/>
          <w:w w:val="0"/>
        </w:rPr>
        <w:t>O&amp;MSR</w:t>
      </w:r>
      <w:r>
        <w:rPr>
          <w:rFonts w:cs="Arial"/>
          <w:b/>
          <w:color w:val="000000"/>
          <w:vertAlign w:val="subscript"/>
        </w:rPr>
        <w:t>GAS</w:t>
      </w:r>
      <w:r>
        <w:rPr>
          <w:rFonts w:cs="Arial"/>
          <w:color w:val="000000"/>
          <w:w w:val="0"/>
        </w:rPr>
        <w:t xml:space="preserve"> = O&amp;M Startup Rate (in $/Startup Event)</w:t>
      </w:r>
      <w:r>
        <w:rPr>
          <w:rFonts w:cs="Arial"/>
        </w:rPr>
        <w:t xml:space="preserve"> when dispatched </w:t>
      </w:r>
      <w:r>
        <w:rPr>
          <w:rFonts w:cs="Arial"/>
          <w:color w:val="000000"/>
          <w:w w:val="0"/>
        </w:rPr>
        <w:t>on Natural Gas, as shown in Table C-1 (</w:t>
      </w:r>
      <w:r>
        <w:rPr>
          <w:rFonts w:cs="Arial"/>
          <w:i/>
          <w:iCs/>
          <w:color w:val="000000"/>
          <w:w w:val="0"/>
        </w:rPr>
        <w:t>Startup Rates ($/Startup Event) for Operation on Natural Gas</w:t>
      </w:r>
      <w:r>
        <w:rPr>
          <w:rFonts w:cs="Arial"/>
          <w:color w:val="000000"/>
          <w:w w:val="0"/>
        </w:rPr>
        <w:t>).</w:t>
      </w:r>
    </w:p>
    <w:p w:rsidRPr="003A5D86" w:rsidR="00D96326" w:rsidP="00D96326" w:rsidRDefault="00D96326" w14:paraId="3FE1B177" w14:textId="5DC2B1B7">
      <w:pPr>
        <w:tabs>
          <w:tab w:val="left" w:pos="2880"/>
        </w:tabs>
        <w:suppressAutoHyphens/>
        <w:ind w:left="2880" w:hanging="1440"/>
        <w:rPr>
          <w:rFonts w:cs="Arial"/>
          <w:color w:val="000000"/>
          <w:w w:val="0"/>
        </w:rPr>
      </w:pPr>
      <w:r>
        <w:rPr>
          <w:rFonts w:cs="Arial"/>
          <w:b/>
          <w:color w:val="000000"/>
          <w:w w:val="0"/>
        </w:rPr>
        <w:t>O&amp;MSR</w:t>
      </w:r>
      <w:r>
        <w:rPr>
          <w:rFonts w:cs="Arial"/>
          <w:b/>
          <w:color w:val="000000"/>
          <w:vertAlign w:val="subscript"/>
        </w:rPr>
        <w:t>OIL</w:t>
      </w:r>
      <w:r>
        <w:rPr>
          <w:rFonts w:cs="Arial"/>
          <w:color w:val="000000"/>
          <w:w w:val="0"/>
        </w:rPr>
        <w:t xml:space="preserve"> = O&amp;M Startup Rate (in $/Startup Event)</w:t>
      </w:r>
      <w:r>
        <w:rPr>
          <w:rFonts w:cs="Arial"/>
        </w:rPr>
        <w:t xml:space="preserve"> when dispatched </w:t>
      </w:r>
      <w:r>
        <w:rPr>
          <w:rFonts w:cs="Arial"/>
          <w:color w:val="000000"/>
          <w:w w:val="0"/>
        </w:rPr>
        <w:t>on Fuel Oil, as shown in Table C-2 (</w:t>
      </w:r>
      <w:r>
        <w:rPr>
          <w:rFonts w:cs="Arial"/>
          <w:i/>
          <w:iCs/>
          <w:color w:val="000000"/>
          <w:w w:val="0"/>
        </w:rPr>
        <w:t>Startup Rates ($/Startup Event) for Operation on Fuel Oil</w:t>
      </w:r>
      <w:r>
        <w:rPr>
          <w:rFonts w:cs="Arial"/>
          <w:color w:val="000000"/>
          <w:w w:val="0"/>
        </w:rPr>
        <w:t>).</w:t>
      </w:r>
    </w:p>
    <w:p w:rsidRPr="003A5D86" w:rsidR="00D96326" w:rsidP="00D96326" w:rsidRDefault="00D96326" w14:paraId="5061F9E5" w14:textId="77777777">
      <w:pPr>
        <w:tabs>
          <w:tab w:val="left" w:pos="2880"/>
        </w:tabs>
        <w:suppressAutoHyphens/>
        <w:ind w:left="2880" w:hanging="1440"/>
        <w:rPr>
          <w:rFonts w:cs="Arial"/>
          <w:color w:val="000000"/>
          <w:w w:val="0"/>
        </w:rPr>
      </w:pPr>
    </w:p>
    <w:p w:rsidRPr="00580466" w:rsidR="00D96326" w:rsidP="00D96326" w:rsidRDefault="00D96326" w14:paraId="59BCB3F6" w14:textId="569269F2">
      <w:pPr>
        <w:autoSpaceDE w:val="0"/>
        <w:autoSpaceDN w:val="0"/>
        <w:adjustRightInd w:val="0"/>
        <w:spacing w:after="0"/>
        <w:rPr>
          <w:rFonts w:cs="Arial" w:eastAsiaTheme="minorEastAsia"/>
          <w:w w:val="0"/>
          <w:kern w:val="14"/>
        </w:rPr>
      </w:pPr>
      <w:r>
        <w:rPr>
          <w:rFonts w:cs="Arial" w:eastAsiaTheme="minorEastAsia"/>
          <w:w w:val="0"/>
          <w:kern w:val="14"/>
        </w:rPr>
        <w:t xml:space="preserve">For purposes of determining </w:t>
      </w:r>
      <w:r>
        <w:rPr>
          <w:rFonts w:cs="Arial" w:eastAsiaTheme="minorEastAsia"/>
          <w:kern w:val="14"/>
        </w:rPr>
        <w:t>Monthly Startup Charge</w:t>
      </w:r>
      <w:r>
        <w:rPr>
          <w:rFonts w:cs="Arial" w:eastAsiaTheme="minorEastAsia"/>
          <w:w w:val="0"/>
          <w:kern w:val="14"/>
        </w:rPr>
        <w:t>, a “</w:t>
      </w:r>
      <w:r>
        <w:rPr>
          <w:rFonts w:cs="Arial" w:eastAsiaTheme="minorEastAsia"/>
          <w:b/>
          <w:bCs/>
          <w:w w:val="0"/>
          <w:kern w:val="14"/>
        </w:rPr>
        <w:t>Startup Event</w:t>
      </w:r>
      <w:r>
        <w:rPr>
          <w:rFonts w:cs="Arial" w:eastAsiaTheme="minorEastAsia"/>
          <w:w w:val="0"/>
          <w:kern w:val="14"/>
        </w:rPr>
        <w:t>” means: a charge created by a change in the output of a Unit from 0 MWh to output greater than 0 MWh in accordance with GPC’s Scheduling Instructions</w:t>
      </w:r>
      <w:r>
        <w:rPr>
          <w:rFonts w:cs="Arial" w:eastAsiaTheme="minorEastAsia"/>
          <w:b/>
          <w:i/>
          <w:w w:val="0"/>
          <w:kern w:val="14"/>
        </w:rPr>
        <w:t xml:space="preserve">. </w:t>
      </w:r>
      <w:r>
        <w:rPr>
          <w:rFonts w:cs="Arial" w:eastAsiaTheme="minorEastAsia"/>
          <w:w w:val="0"/>
          <w:kern w:val="14"/>
        </w:rPr>
        <w:t>Startup Events will be paid according to the Tables C-1 and C-2.</w:t>
      </w:r>
      <w:r>
        <w:rPr>
          <w:rFonts w:cs="Arial" w:eastAsiaTheme="minorEastAsia"/>
          <w:b/>
          <w:bCs/>
          <w:i/>
          <w:iCs/>
          <w:w w:val="0"/>
          <w:kern w:val="14"/>
        </w:rPr>
        <w:t xml:space="preserve"> </w:t>
      </w:r>
      <w:r>
        <w:rPr>
          <w:rFonts w:cs="Arial" w:eastAsiaTheme="minorEastAsia"/>
          <w:w w:val="0"/>
          <w:kern w:val="14"/>
        </w:rPr>
        <w:t xml:space="preserve">Additionally, PPA Sections </w:t>
      </w:r>
      <w:r>
        <w:rPr>
          <w:rFonts w:cs="Arial" w:eastAsiaTheme="minorEastAsia"/>
        </w:rPr>
        <w:t>12.2.3(</w:t>
      </w:r>
      <w:proofErr w:type="spellStart"/>
      <w:r>
        <w:rPr>
          <w:rFonts w:cs="Arial" w:eastAsiaTheme="minorEastAsia"/>
        </w:rPr>
        <w:t>i</w:t>
      </w:r>
      <w:proofErr w:type="spellEnd"/>
      <w:r>
        <w:rPr>
          <w:rFonts w:cs="Arial" w:eastAsiaTheme="minorEastAsia"/>
        </w:rPr>
        <w:t>)</w:t>
      </w:r>
      <w:r>
        <w:rPr>
          <w:rFonts w:cs="Arial" w:eastAsiaTheme="minorEastAsia"/>
          <w:w w:val="0"/>
          <w:kern w:val="14"/>
        </w:rPr>
        <w:t xml:space="preserve"> (</w:t>
      </w:r>
      <w:r>
        <w:rPr>
          <w:rFonts w:cs="Arial"/>
          <w:i/>
          <w:iCs/>
        </w:rPr>
        <w:t>Day-Ahead Scheduling Instructions and Deadlines</w:t>
      </w:r>
      <w:r>
        <w:rPr>
          <w:rFonts w:cs="Arial" w:eastAsiaTheme="minorEastAsia"/>
          <w:w w:val="0"/>
          <w:kern w:val="14"/>
        </w:rPr>
        <w:t>) and 12.</w:t>
      </w:r>
      <w:r>
        <w:rPr>
          <w:rFonts w:cs="Arial" w:eastAsiaTheme="minorEastAsia"/>
          <w:kern w:val="14"/>
        </w:rPr>
        <w:t>3 (</w:t>
      </w:r>
      <w:r>
        <w:rPr>
          <w:rFonts w:cs="Arial" w:eastAsiaTheme="minorEastAsia"/>
          <w:i/>
          <w:iCs/>
          <w:kern w:val="14"/>
        </w:rPr>
        <w:t>AGC</w:t>
      </w:r>
      <w:r>
        <w:rPr>
          <w:rFonts w:cs="Arial" w:eastAsiaTheme="minorEastAsia"/>
          <w:kern w:val="14"/>
        </w:rPr>
        <w:t>)</w:t>
      </w:r>
      <w:r>
        <w:rPr>
          <w:rFonts w:cs="Arial" w:eastAsiaTheme="minorEastAsia"/>
          <w:i/>
          <w:iCs/>
          <w:kern w:val="14"/>
        </w:rPr>
        <w:t xml:space="preserve"> </w:t>
      </w:r>
      <w:r>
        <w:rPr>
          <w:rFonts w:cs="Arial" w:eastAsiaTheme="minorEastAsia"/>
          <w:kern w:val="14"/>
        </w:rPr>
        <w:t>will</w:t>
      </w:r>
      <w:r>
        <w:rPr>
          <w:rFonts w:cs="Arial" w:eastAsiaTheme="minorEastAsia"/>
          <w:w w:val="0"/>
          <w:kern w:val="14"/>
        </w:rPr>
        <w:t xml:space="preserve"> govern the number of Startup Events assessed to GPC when Seller’s operation of a Unit deviates from GPC’s </w:t>
      </w:r>
      <w:r>
        <w:rPr>
          <w:rFonts w:cs="Arial" w:eastAsiaTheme="minorEastAsia"/>
          <w:w w:val="0"/>
          <w:kern w:val="14"/>
        </w:rPr>
        <w:lastRenderedPageBreak/>
        <w:t>Schedule. The Monthly Startup Charge for each applicable Unit will be added together to determine the total Monthly Startup Charges.</w:t>
      </w:r>
    </w:p>
    <w:p w:rsidRPr="00580466" w:rsidR="00D96326" w:rsidP="00D96326" w:rsidRDefault="00D96326" w14:paraId="3750C22E" w14:textId="616B7A23">
      <w:pPr>
        <w:autoSpaceDE w:val="0"/>
        <w:autoSpaceDN w:val="0"/>
        <w:adjustRightInd w:val="0"/>
        <w:spacing w:after="0"/>
        <w:rPr>
          <w:rFonts w:cs="Arial" w:eastAsiaTheme="minorEastAsia"/>
          <w:w w:val="0"/>
          <w:kern w:val="14"/>
        </w:rPr>
      </w:pPr>
      <w:r>
        <w:rPr>
          <w:rFonts w:cs="Arial" w:eastAsiaTheme="minorEastAsia"/>
          <w:w w:val="0"/>
          <w:kern w:val="14"/>
        </w:rPr>
        <w:t xml:space="preserve">Energy produced by Seller and delivered to GPC from synchronization to </w:t>
      </w:r>
      <w:r>
        <w:rPr>
          <w:rFonts w:cs="Arial" w:eastAsiaTheme="minorEastAsia"/>
          <w:kern w:val="14"/>
        </w:rPr>
        <w:t>Minimum Capacity and from Minimum Capacity to offline</w:t>
      </w:r>
      <w:r>
        <w:rPr>
          <w:rFonts w:cs="Arial" w:eastAsiaTheme="minorEastAsia"/>
          <w:w w:val="0"/>
          <w:kern w:val="14"/>
        </w:rPr>
        <w:t xml:space="preserve"> will be paid for at the Guaranteed Heat Rate applicable at </w:t>
      </w:r>
      <w:r>
        <w:rPr>
          <w:rFonts w:cs="Arial" w:eastAsiaTheme="minorEastAsia"/>
          <w:kern w:val="14"/>
        </w:rPr>
        <w:t>Minimum Capacity</w:t>
      </w:r>
      <w:r>
        <w:rPr>
          <w:rFonts w:cs="Arial" w:eastAsiaTheme="minorEastAsia"/>
          <w:w w:val="0"/>
          <w:kern w:val="14"/>
        </w:rPr>
        <w:t xml:space="preserve">. Energy produced from Minimum Capacity to Base Operating Mode and from Base Operating Mode, such periods defined as Ramping, will be paid for at the Guaranteed Heat Rate applicable to average MWs during the Ramping. </w:t>
      </w:r>
    </w:p>
    <w:p w:rsidRPr="00396F9B" w:rsidR="00D96326" w:rsidP="00D96326" w:rsidRDefault="00D96326" w14:paraId="30362213" w14:textId="77777777">
      <w:pPr>
        <w:suppressAutoHyphens/>
        <w:ind w:left="720"/>
        <w:rPr>
          <w:rFonts w:cs="Arial"/>
          <w:w w:val="0"/>
        </w:rPr>
      </w:pPr>
    </w:p>
    <w:tbl>
      <w:tblPr>
        <w:tblW w:w="473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Look w:val="0000" w:firstRow="0" w:lastRow="0" w:firstColumn="0" w:lastColumn="0" w:noHBand="0" w:noVBand="0"/>
      </w:tblPr>
      <w:tblGrid>
        <w:gridCol w:w="1206"/>
        <w:gridCol w:w="1206"/>
        <w:gridCol w:w="2321"/>
      </w:tblGrid>
      <w:tr w:rsidRPr="00580466" w:rsidR="007173B9" w:rsidTr="007173B9" w14:paraId="2829D827" w14:textId="77777777">
        <w:trPr>
          <w:trHeight w:val="370"/>
          <w:jc w:val="center"/>
        </w:trPr>
        <w:tc>
          <w:tcPr>
            <w:tcW w:w="4733" w:type="dxa"/>
            <w:gridSpan w:val="3"/>
            <w:tcBorders>
              <w:top w:val="single" w:color="auto" w:sz="12" w:space="0"/>
              <w:left w:val="single" w:color="auto" w:sz="12" w:space="0"/>
              <w:bottom w:val="single" w:color="auto" w:sz="4" w:space="0"/>
              <w:right w:val="single" w:color="auto" w:sz="12" w:space="0"/>
            </w:tcBorders>
            <w:shd w:val="clear" w:color="auto" w:fill="D9D9D9" w:themeFill="background1" w:themeFillShade="D9"/>
          </w:tcPr>
          <w:p w:rsidRPr="007173B9" w:rsidR="007173B9" w:rsidP="007173B9" w:rsidRDefault="007173B9" w14:paraId="400558BB" w14:textId="0B7A7E13">
            <w:pPr>
              <w:widowControl w:val="0"/>
              <w:autoSpaceDE w:val="0"/>
              <w:autoSpaceDN w:val="0"/>
              <w:adjustRightInd w:val="0"/>
              <w:spacing w:after="0"/>
              <w:jc w:val="center"/>
              <w:rPr>
                <w:rFonts w:cs="Arial"/>
                <w:b/>
                <w:bCs/>
                <w:color w:val="000000"/>
                <w:w w:val="0"/>
                <w:highlight w:val="yellow"/>
              </w:rPr>
            </w:pPr>
            <w:r>
              <w:rPr>
                <w:rFonts w:cs="Arial"/>
                <w:b/>
                <w:color w:val="000000"/>
                <w:w w:val="0"/>
              </w:rPr>
              <w:t>Table C-1</w:t>
            </w:r>
          </w:p>
        </w:tc>
      </w:tr>
      <w:tr w:rsidRPr="00580466" w:rsidR="007173B9" w:rsidTr="007173B9" w14:paraId="6BFBB708" w14:textId="77777777">
        <w:trPr>
          <w:trHeight w:val="370"/>
          <w:jc w:val="center"/>
        </w:trPr>
        <w:tc>
          <w:tcPr>
            <w:tcW w:w="4733" w:type="dxa"/>
            <w:gridSpan w:val="3"/>
            <w:tcBorders>
              <w:top w:val="single" w:color="auto" w:sz="12" w:space="0"/>
              <w:left w:val="single" w:color="auto" w:sz="12" w:space="0"/>
              <w:bottom w:val="single" w:color="auto" w:sz="4" w:space="0"/>
              <w:right w:val="single" w:color="auto" w:sz="12" w:space="0"/>
            </w:tcBorders>
            <w:shd w:val="clear" w:color="auto" w:fill="F2F2F2" w:themeFill="background1" w:themeFillShade="F2"/>
          </w:tcPr>
          <w:p w:rsidRPr="007173B9" w:rsidR="007173B9" w:rsidP="007173B9" w:rsidRDefault="007173B9" w14:paraId="56F76572" w14:textId="3E2B6FF6">
            <w:pPr>
              <w:widowControl w:val="0"/>
              <w:autoSpaceDE w:val="0"/>
              <w:autoSpaceDN w:val="0"/>
              <w:adjustRightInd w:val="0"/>
              <w:spacing w:after="0"/>
              <w:jc w:val="center"/>
              <w:rPr>
                <w:rFonts w:cs="Arial" w:eastAsiaTheme="minorEastAsia"/>
                <w:b/>
                <w:bCs/>
                <w:spacing w:val="-6"/>
                <w:kern w:val="14"/>
              </w:rPr>
            </w:pPr>
            <w:r>
              <w:rPr>
                <w:rFonts w:cs="Arial"/>
                <w:b/>
                <w:color w:val="000000"/>
                <w:w w:val="0"/>
              </w:rPr>
              <w:t xml:space="preserve">Startup Rates ($/Startup Event) for </w:t>
            </w:r>
            <w:r>
              <w:rPr>
                <w:rFonts w:cs="Arial"/>
                <w:b/>
                <w:bCs/>
                <w:color w:val="000000"/>
                <w:w w:val="0"/>
              </w:rPr>
              <w:t xml:space="preserve">each Startup Event for </w:t>
            </w:r>
            <w:r>
              <w:rPr>
                <w:rFonts w:cs="Arial"/>
                <w:b/>
                <w:color w:val="000000"/>
                <w:w w:val="0"/>
              </w:rPr>
              <w:t>Operation on Natural Gas</w:t>
            </w:r>
          </w:p>
        </w:tc>
      </w:tr>
      <w:tr w:rsidRPr="00580466" w:rsidR="00D96326" w14:paraId="5D3E18EE" w14:textId="77777777">
        <w:trPr>
          <w:trHeight w:val="370"/>
          <w:jc w:val="center"/>
        </w:trPr>
        <w:tc>
          <w:tcPr>
            <w:tcW w:w="1206" w:type="dxa"/>
            <w:vMerge w:val="restart"/>
            <w:tcBorders>
              <w:top w:val="single" w:color="auto" w:sz="12" w:space="0"/>
              <w:left w:val="single" w:color="auto" w:sz="12" w:space="0"/>
              <w:bottom w:val="single" w:color="auto" w:sz="4" w:space="0"/>
              <w:right w:val="single" w:color="auto" w:sz="4" w:space="0"/>
            </w:tcBorders>
          </w:tcPr>
          <w:p w:rsidRPr="00580466" w:rsidR="00D96326" w:rsidRDefault="00D96326" w14:paraId="18FCD21D" w14:textId="2F5565F1">
            <w:pPr>
              <w:widowControl w:val="0"/>
              <w:autoSpaceDE w:val="0"/>
              <w:autoSpaceDN w:val="0"/>
              <w:adjustRightInd w:val="0"/>
              <w:spacing w:after="0"/>
              <w:rPr>
                <w:rFonts w:cs="Arial" w:eastAsiaTheme="minorEastAsia"/>
                <w:spacing w:val="-6"/>
                <w:w w:val="0"/>
                <w:kern w:val="14"/>
              </w:rPr>
            </w:pPr>
            <w:r>
              <w:rPr>
                <w:rFonts w:cs="Arial" w:eastAsiaTheme="minorEastAsia"/>
                <w:spacing w:val="-6"/>
                <w:w w:val="0"/>
                <w:kern w:val="14"/>
              </w:rPr>
              <w:t>Fuel Startup Rate ($/Startup Event)</w:t>
            </w:r>
          </w:p>
        </w:tc>
        <w:tc>
          <w:tcPr>
            <w:tcW w:w="1206" w:type="dxa"/>
            <w:tcBorders>
              <w:top w:val="single" w:color="auto" w:sz="12" w:space="0"/>
              <w:left w:val="single" w:color="auto" w:sz="4" w:space="0"/>
              <w:bottom w:val="single" w:color="auto" w:sz="4" w:space="0"/>
              <w:right w:val="single" w:color="auto" w:sz="12" w:space="0"/>
            </w:tcBorders>
          </w:tcPr>
          <w:p w:rsidRPr="00580466" w:rsidR="00D96326" w:rsidRDefault="00D96326" w14:paraId="361573AF" w14:textId="77777777">
            <w:pPr>
              <w:widowControl w:val="0"/>
              <w:autoSpaceDE w:val="0"/>
              <w:autoSpaceDN w:val="0"/>
              <w:adjustRightInd w:val="0"/>
              <w:spacing w:after="0"/>
              <w:rPr>
                <w:rFonts w:cs="Arial" w:eastAsiaTheme="minorEastAsia"/>
                <w:spacing w:val="-6"/>
                <w:w w:val="0"/>
                <w:kern w:val="14"/>
              </w:rPr>
            </w:pPr>
            <w:r>
              <w:rPr>
                <w:rFonts w:cs="Arial" w:eastAsiaTheme="minorEastAsia"/>
                <w:spacing w:val="-6"/>
                <w:w w:val="0"/>
                <w:kern w:val="14"/>
              </w:rPr>
              <w:t>Hot</w:t>
            </w:r>
          </w:p>
        </w:tc>
        <w:tc>
          <w:tcPr>
            <w:tcW w:w="2321" w:type="dxa"/>
            <w:tcBorders>
              <w:top w:val="single" w:color="auto" w:sz="12" w:space="0"/>
              <w:left w:val="single" w:color="auto" w:sz="12" w:space="0"/>
              <w:bottom w:val="single" w:color="auto" w:sz="4" w:space="0"/>
              <w:right w:val="single" w:color="auto" w:sz="12" w:space="0"/>
            </w:tcBorders>
          </w:tcPr>
          <w:p w:rsidRPr="00580466" w:rsidR="00D96326" w:rsidRDefault="003A5D86" w14:paraId="7003CF8C" w14:textId="1E98B2F2">
            <w:pPr>
              <w:widowControl w:val="0"/>
              <w:autoSpaceDE w:val="0"/>
              <w:autoSpaceDN w:val="0"/>
              <w:adjustRightInd w:val="0"/>
              <w:spacing w:after="0"/>
              <w:rPr>
                <w:rFonts w:cs="Arial" w:eastAsiaTheme="minorEastAsia"/>
                <w:spacing w:val="-6"/>
                <w:w w:val="0"/>
                <w:kern w:val="14"/>
              </w:rPr>
            </w:pPr>
            <w:r>
              <w:rPr>
                <w:rFonts w:eastAsia="Times New Roman" w:cs="Arial"/>
                <w:highlight w:val="yellow"/>
              </w:rPr>
              <w:t>#Value</w:t>
            </w:r>
          </w:p>
        </w:tc>
      </w:tr>
      <w:tr w:rsidRPr="00580466" w:rsidR="00D96326" w:rsidTr="5627033A" w14:paraId="44BF6BE8" w14:textId="77777777">
        <w:trPr>
          <w:trHeight w:val="370"/>
          <w:jc w:val="center"/>
        </w:trPr>
        <w:tc>
          <w:tcPr>
            <w:tcW w:w="1206" w:type="dxa"/>
            <w:vMerge/>
          </w:tcPr>
          <w:p w:rsidRPr="00580466" w:rsidR="00D96326" w:rsidRDefault="00D96326" w14:paraId="324F5208" w14:textId="77777777">
            <w:pPr>
              <w:widowControl w:val="0"/>
              <w:autoSpaceDE w:val="0"/>
              <w:autoSpaceDN w:val="0"/>
              <w:adjustRightInd w:val="0"/>
              <w:spacing w:after="0"/>
              <w:rPr>
                <w:rFonts w:cs="Arial" w:eastAsiaTheme="minorEastAsia"/>
                <w:spacing w:val="-6"/>
                <w:w w:val="0"/>
                <w:kern w:val="14"/>
              </w:rPr>
            </w:pPr>
          </w:p>
        </w:tc>
        <w:tc>
          <w:tcPr>
            <w:tcW w:w="1206" w:type="dxa"/>
            <w:tcBorders>
              <w:top w:val="single" w:color="auto" w:sz="4" w:space="0"/>
              <w:left w:val="single" w:color="auto" w:sz="4" w:space="0"/>
              <w:bottom w:val="single" w:color="auto" w:sz="4" w:space="0"/>
              <w:right w:val="single" w:color="auto" w:sz="12" w:space="0"/>
            </w:tcBorders>
          </w:tcPr>
          <w:p w:rsidRPr="00580466" w:rsidR="00D96326" w:rsidRDefault="00D96326" w14:paraId="280AC224" w14:textId="77777777">
            <w:pPr>
              <w:widowControl w:val="0"/>
              <w:autoSpaceDE w:val="0"/>
              <w:autoSpaceDN w:val="0"/>
              <w:adjustRightInd w:val="0"/>
              <w:spacing w:after="0"/>
              <w:rPr>
                <w:rFonts w:cs="Arial" w:eastAsiaTheme="minorEastAsia"/>
                <w:spacing w:val="-6"/>
                <w:w w:val="0"/>
                <w:kern w:val="14"/>
              </w:rPr>
            </w:pPr>
            <w:r>
              <w:rPr>
                <w:rFonts w:cs="Arial" w:eastAsiaTheme="minorEastAsia"/>
                <w:spacing w:val="-6"/>
                <w:w w:val="0"/>
                <w:kern w:val="14"/>
              </w:rPr>
              <w:t>Warm</w:t>
            </w:r>
          </w:p>
        </w:tc>
        <w:tc>
          <w:tcPr>
            <w:tcW w:w="2321" w:type="dxa"/>
            <w:tcBorders>
              <w:top w:val="single" w:color="auto" w:sz="4" w:space="0"/>
              <w:left w:val="single" w:color="auto" w:sz="12" w:space="0"/>
              <w:bottom w:val="single" w:color="auto" w:sz="4" w:space="0"/>
              <w:right w:val="single" w:color="auto" w:sz="12" w:space="0"/>
            </w:tcBorders>
          </w:tcPr>
          <w:p w:rsidRPr="00580466" w:rsidR="00D96326" w:rsidRDefault="00CB241B" w14:paraId="3FC6B2A0" w14:textId="42F89ADC">
            <w:pPr>
              <w:widowControl w:val="0"/>
              <w:autoSpaceDE w:val="0"/>
              <w:autoSpaceDN w:val="0"/>
              <w:adjustRightInd w:val="0"/>
              <w:spacing w:after="0"/>
              <w:rPr>
                <w:rFonts w:cs="Arial" w:eastAsiaTheme="minorEastAsia"/>
                <w:spacing w:val="-6"/>
                <w:w w:val="0"/>
                <w:kern w:val="14"/>
              </w:rPr>
            </w:pPr>
            <w:r>
              <w:rPr>
                <w:rFonts w:eastAsia="Times New Roman" w:cs="Arial"/>
                <w:highlight w:val="yellow"/>
              </w:rPr>
              <w:t>#Value</w:t>
            </w:r>
          </w:p>
        </w:tc>
      </w:tr>
      <w:tr w:rsidRPr="00580466" w:rsidR="00D96326" w:rsidTr="5627033A" w14:paraId="714DC66B" w14:textId="77777777">
        <w:trPr>
          <w:trHeight w:val="370"/>
          <w:jc w:val="center"/>
        </w:trPr>
        <w:tc>
          <w:tcPr>
            <w:tcW w:w="1206" w:type="dxa"/>
            <w:vMerge/>
          </w:tcPr>
          <w:p w:rsidRPr="00580466" w:rsidR="00D96326" w:rsidRDefault="00D96326" w14:paraId="7E9B7D91" w14:textId="77777777">
            <w:pPr>
              <w:widowControl w:val="0"/>
              <w:autoSpaceDE w:val="0"/>
              <w:autoSpaceDN w:val="0"/>
              <w:adjustRightInd w:val="0"/>
              <w:spacing w:after="0"/>
              <w:rPr>
                <w:rFonts w:cs="Arial" w:eastAsiaTheme="minorEastAsia"/>
                <w:spacing w:val="-6"/>
                <w:w w:val="0"/>
                <w:kern w:val="14"/>
              </w:rPr>
            </w:pPr>
          </w:p>
        </w:tc>
        <w:tc>
          <w:tcPr>
            <w:tcW w:w="1206" w:type="dxa"/>
            <w:tcBorders>
              <w:top w:val="single" w:color="auto" w:sz="4" w:space="0"/>
              <w:left w:val="single" w:color="auto" w:sz="4" w:space="0"/>
              <w:bottom w:val="single" w:color="auto" w:sz="12" w:space="0"/>
              <w:right w:val="single" w:color="auto" w:sz="12" w:space="0"/>
            </w:tcBorders>
          </w:tcPr>
          <w:p w:rsidRPr="00580466" w:rsidR="00D96326" w:rsidRDefault="00D96326" w14:paraId="2E2D1F29" w14:textId="77777777">
            <w:pPr>
              <w:widowControl w:val="0"/>
              <w:autoSpaceDE w:val="0"/>
              <w:autoSpaceDN w:val="0"/>
              <w:adjustRightInd w:val="0"/>
              <w:spacing w:after="0"/>
              <w:rPr>
                <w:rFonts w:cs="Arial" w:eastAsiaTheme="minorEastAsia"/>
                <w:spacing w:val="-6"/>
                <w:w w:val="0"/>
                <w:kern w:val="14"/>
              </w:rPr>
            </w:pPr>
            <w:r>
              <w:rPr>
                <w:rFonts w:cs="Arial" w:eastAsiaTheme="minorEastAsia"/>
                <w:spacing w:val="-6"/>
                <w:w w:val="0"/>
                <w:kern w:val="14"/>
              </w:rPr>
              <w:t>Cold</w:t>
            </w:r>
          </w:p>
        </w:tc>
        <w:tc>
          <w:tcPr>
            <w:tcW w:w="2321" w:type="dxa"/>
            <w:tcBorders>
              <w:top w:val="single" w:color="auto" w:sz="4" w:space="0"/>
              <w:left w:val="single" w:color="auto" w:sz="12" w:space="0"/>
              <w:bottom w:val="single" w:color="auto" w:sz="12" w:space="0"/>
              <w:right w:val="single" w:color="auto" w:sz="12" w:space="0"/>
            </w:tcBorders>
          </w:tcPr>
          <w:p w:rsidRPr="00580466" w:rsidR="00D96326" w:rsidRDefault="00CB241B" w14:paraId="14112890" w14:textId="2BD91389">
            <w:pPr>
              <w:widowControl w:val="0"/>
              <w:autoSpaceDE w:val="0"/>
              <w:autoSpaceDN w:val="0"/>
              <w:adjustRightInd w:val="0"/>
              <w:spacing w:after="0"/>
              <w:rPr>
                <w:rFonts w:cs="Arial" w:eastAsiaTheme="minorEastAsia"/>
                <w:spacing w:val="-6"/>
                <w:w w:val="0"/>
                <w:kern w:val="14"/>
              </w:rPr>
            </w:pPr>
            <w:r>
              <w:rPr>
                <w:rFonts w:eastAsia="Times New Roman" w:cs="Arial"/>
                <w:highlight w:val="yellow"/>
              </w:rPr>
              <w:t>#Value</w:t>
            </w:r>
          </w:p>
        </w:tc>
      </w:tr>
      <w:tr w:rsidRPr="00580466" w:rsidR="00D96326" w14:paraId="7645D111" w14:textId="77777777">
        <w:trPr>
          <w:jc w:val="center"/>
        </w:trPr>
        <w:tc>
          <w:tcPr>
            <w:tcW w:w="2412" w:type="dxa"/>
            <w:gridSpan w:val="2"/>
            <w:tcBorders>
              <w:top w:val="single" w:color="auto" w:sz="12" w:space="0"/>
              <w:left w:val="single" w:color="auto" w:sz="12" w:space="0"/>
              <w:bottom w:val="single" w:color="auto" w:sz="12" w:space="0"/>
              <w:right w:val="single" w:color="auto" w:sz="12" w:space="0"/>
            </w:tcBorders>
          </w:tcPr>
          <w:p w:rsidRPr="00580466" w:rsidR="00D96326" w:rsidRDefault="00D96326" w14:paraId="4FC1FA38" w14:textId="7A348851">
            <w:pPr>
              <w:widowControl w:val="0"/>
              <w:autoSpaceDE w:val="0"/>
              <w:autoSpaceDN w:val="0"/>
              <w:adjustRightInd w:val="0"/>
              <w:spacing w:after="0"/>
              <w:rPr>
                <w:rFonts w:cs="Arial" w:eastAsiaTheme="minorEastAsia"/>
                <w:spacing w:val="-6"/>
                <w:w w:val="0"/>
                <w:kern w:val="14"/>
              </w:rPr>
            </w:pPr>
            <w:r>
              <w:rPr>
                <w:rFonts w:cs="Arial" w:eastAsiaTheme="minorEastAsia"/>
                <w:spacing w:val="-6"/>
                <w:w w:val="0"/>
                <w:kern w:val="14"/>
              </w:rPr>
              <w:t>O&amp;M Startup Rate ($/Startup Event)</w:t>
            </w:r>
          </w:p>
        </w:tc>
        <w:tc>
          <w:tcPr>
            <w:tcW w:w="2321" w:type="dxa"/>
            <w:tcBorders>
              <w:top w:val="single" w:color="auto" w:sz="12" w:space="0"/>
              <w:left w:val="single" w:color="auto" w:sz="12" w:space="0"/>
              <w:bottom w:val="single" w:color="auto" w:sz="12" w:space="0"/>
              <w:right w:val="single" w:color="auto" w:sz="12" w:space="0"/>
            </w:tcBorders>
          </w:tcPr>
          <w:p w:rsidRPr="00580466" w:rsidR="00D96326" w:rsidRDefault="00CB241B" w14:paraId="5FA92037" w14:textId="41CF2D7C">
            <w:pPr>
              <w:widowControl w:val="0"/>
              <w:autoSpaceDE w:val="0"/>
              <w:autoSpaceDN w:val="0"/>
              <w:adjustRightInd w:val="0"/>
              <w:spacing w:after="0"/>
              <w:rPr>
                <w:rFonts w:cs="Arial" w:eastAsiaTheme="minorEastAsia"/>
                <w:spacing w:val="-6"/>
                <w:w w:val="0"/>
                <w:kern w:val="14"/>
              </w:rPr>
            </w:pPr>
            <w:r>
              <w:rPr>
                <w:rFonts w:eastAsia="Times New Roman" w:cs="Arial"/>
                <w:highlight w:val="yellow"/>
              </w:rPr>
              <w:t>#Value</w:t>
            </w:r>
          </w:p>
        </w:tc>
      </w:tr>
    </w:tbl>
    <w:p w:rsidRPr="00396F9B" w:rsidR="00D96326" w:rsidP="00D96326" w:rsidRDefault="00D96326" w14:paraId="15A74FFD" w14:textId="77777777">
      <w:pPr>
        <w:spacing w:after="240"/>
        <w:ind w:left="1440"/>
        <w:jc w:val="center"/>
        <w:outlineLvl w:val="0"/>
        <w:rPr>
          <w:rFonts w:cs="Arial"/>
          <w:color w:val="000000"/>
          <w:w w:val="0"/>
        </w:rPr>
      </w:pPr>
    </w:p>
    <w:tbl>
      <w:tblPr>
        <w:tblW w:w="473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Look w:val="0000" w:firstRow="0" w:lastRow="0" w:firstColumn="0" w:lastColumn="0" w:noHBand="0" w:noVBand="0"/>
      </w:tblPr>
      <w:tblGrid>
        <w:gridCol w:w="1206"/>
        <w:gridCol w:w="1206"/>
        <w:gridCol w:w="2321"/>
      </w:tblGrid>
      <w:tr w:rsidRPr="00580466" w:rsidR="007173B9" w:rsidTr="007173B9" w14:paraId="782108B6" w14:textId="77777777">
        <w:trPr>
          <w:trHeight w:val="370"/>
          <w:jc w:val="center"/>
        </w:trPr>
        <w:tc>
          <w:tcPr>
            <w:tcW w:w="4733" w:type="dxa"/>
            <w:gridSpan w:val="3"/>
            <w:tcBorders>
              <w:top w:val="single" w:color="auto" w:sz="12" w:space="0"/>
              <w:left w:val="single" w:color="auto" w:sz="12" w:space="0"/>
              <w:bottom w:val="single" w:color="auto" w:sz="4" w:space="0"/>
              <w:right w:val="single" w:color="auto" w:sz="12" w:space="0"/>
            </w:tcBorders>
            <w:shd w:val="clear" w:color="auto" w:fill="D9D9D9" w:themeFill="background1" w:themeFillShade="D9"/>
          </w:tcPr>
          <w:p w:rsidRPr="00580466" w:rsidR="007173B9" w:rsidP="007173B9" w:rsidRDefault="007173B9" w14:paraId="26A3E1FA" w14:textId="617E76A3">
            <w:pPr>
              <w:widowControl w:val="0"/>
              <w:autoSpaceDE w:val="0"/>
              <w:autoSpaceDN w:val="0"/>
              <w:adjustRightInd w:val="0"/>
              <w:spacing w:after="0"/>
              <w:jc w:val="center"/>
              <w:rPr>
                <w:rFonts w:cs="Arial" w:eastAsiaTheme="minorEastAsia"/>
                <w:b/>
                <w:i/>
                <w:spacing w:val="-6"/>
                <w:kern w:val="14"/>
              </w:rPr>
            </w:pPr>
            <w:r>
              <w:rPr>
                <w:rFonts w:cs="Arial"/>
                <w:b/>
                <w:color w:val="000000"/>
                <w:w w:val="0"/>
              </w:rPr>
              <w:t>Table C-2</w:t>
            </w:r>
          </w:p>
        </w:tc>
      </w:tr>
      <w:tr w:rsidRPr="00580466" w:rsidR="007173B9" w:rsidTr="007173B9" w14:paraId="5B294576" w14:textId="77777777">
        <w:trPr>
          <w:trHeight w:val="370"/>
          <w:jc w:val="center"/>
        </w:trPr>
        <w:tc>
          <w:tcPr>
            <w:tcW w:w="4733" w:type="dxa"/>
            <w:gridSpan w:val="3"/>
            <w:tcBorders>
              <w:top w:val="single" w:color="auto" w:sz="12" w:space="0"/>
              <w:left w:val="single" w:color="auto" w:sz="12" w:space="0"/>
              <w:bottom w:val="single" w:color="auto" w:sz="4" w:space="0"/>
              <w:right w:val="single" w:color="auto" w:sz="12" w:space="0"/>
            </w:tcBorders>
            <w:shd w:val="clear" w:color="auto" w:fill="F2F2F2" w:themeFill="background1" w:themeFillShade="F2"/>
          </w:tcPr>
          <w:p w:rsidRPr="00580466" w:rsidR="007173B9" w:rsidP="007173B9" w:rsidRDefault="007173B9" w14:paraId="753A5DB1" w14:textId="7CF9543C">
            <w:pPr>
              <w:widowControl w:val="0"/>
              <w:autoSpaceDE w:val="0"/>
              <w:autoSpaceDN w:val="0"/>
              <w:adjustRightInd w:val="0"/>
              <w:spacing w:after="0"/>
              <w:jc w:val="center"/>
              <w:rPr>
                <w:rFonts w:cs="Arial" w:eastAsiaTheme="minorEastAsia"/>
                <w:b/>
                <w:i/>
                <w:spacing w:val="-6"/>
                <w:kern w:val="14"/>
              </w:rPr>
            </w:pPr>
            <w:r>
              <w:rPr>
                <w:rFonts w:cs="Arial"/>
                <w:b/>
                <w:color w:val="000000"/>
                <w:w w:val="0"/>
              </w:rPr>
              <w:t xml:space="preserve">Startup Rates ($/Startup Event) for </w:t>
            </w:r>
            <w:r>
              <w:rPr>
                <w:rFonts w:cs="Arial"/>
                <w:b/>
                <w:bCs/>
                <w:color w:val="000000"/>
                <w:w w:val="0"/>
              </w:rPr>
              <w:t xml:space="preserve">each Startup Event for </w:t>
            </w:r>
            <w:r>
              <w:rPr>
                <w:rFonts w:cs="Arial"/>
                <w:b/>
                <w:color w:val="000000"/>
                <w:w w:val="0"/>
              </w:rPr>
              <w:t>Operation on Fuel Oil</w:t>
            </w:r>
          </w:p>
        </w:tc>
      </w:tr>
      <w:tr w:rsidRPr="00580466" w:rsidR="00D96326" w14:paraId="569CAFB5" w14:textId="77777777">
        <w:trPr>
          <w:trHeight w:val="370"/>
          <w:jc w:val="center"/>
        </w:trPr>
        <w:tc>
          <w:tcPr>
            <w:tcW w:w="1206" w:type="dxa"/>
            <w:vMerge w:val="restart"/>
            <w:tcBorders>
              <w:top w:val="single" w:color="auto" w:sz="12" w:space="0"/>
              <w:left w:val="single" w:color="auto" w:sz="12" w:space="0"/>
              <w:bottom w:val="single" w:color="auto" w:sz="4" w:space="0"/>
              <w:right w:val="single" w:color="auto" w:sz="4" w:space="0"/>
            </w:tcBorders>
          </w:tcPr>
          <w:p w:rsidRPr="00580466" w:rsidR="00D96326" w:rsidRDefault="00D96326" w14:paraId="4654B774" w14:textId="4C5E8D5A">
            <w:pPr>
              <w:widowControl w:val="0"/>
              <w:autoSpaceDE w:val="0"/>
              <w:autoSpaceDN w:val="0"/>
              <w:adjustRightInd w:val="0"/>
              <w:spacing w:after="0"/>
              <w:rPr>
                <w:rFonts w:cs="Arial" w:eastAsiaTheme="minorEastAsia"/>
                <w:spacing w:val="-6"/>
                <w:w w:val="0"/>
                <w:kern w:val="14"/>
              </w:rPr>
            </w:pPr>
            <w:r>
              <w:rPr>
                <w:rFonts w:cs="Arial" w:eastAsiaTheme="minorEastAsia"/>
                <w:spacing w:val="-6"/>
                <w:w w:val="0"/>
                <w:kern w:val="14"/>
              </w:rPr>
              <w:t>Fuel Startup Rate ($/Startup Event)</w:t>
            </w:r>
          </w:p>
        </w:tc>
        <w:tc>
          <w:tcPr>
            <w:tcW w:w="1206" w:type="dxa"/>
            <w:tcBorders>
              <w:top w:val="single" w:color="auto" w:sz="12" w:space="0"/>
              <w:left w:val="single" w:color="auto" w:sz="4" w:space="0"/>
              <w:bottom w:val="single" w:color="auto" w:sz="4" w:space="0"/>
              <w:right w:val="single" w:color="auto" w:sz="12" w:space="0"/>
            </w:tcBorders>
          </w:tcPr>
          <w:p w:rsidRPr="00580466" w:rsidR="00D96326" w:rsidRDefault="00D96326" w14:paraId="3B0EACDD" w14:textId="77777777">
            <w:pPr>
              <w:widowControl w:val="0"/>
              <w:autoSpaceDE w:val="0"/>
              <w:autoSpaceDN w:val="0"/>
              <w:adjustRightInd w:val="0"/>
              <w:spacing w:after="0"/>
              <w:rPr>
                <w:rFonts w:cs="Arial" w:eastAsiaTheme="minorEastAsia"/>
                <w:spacing w:val="-6"/>
                <w:w w:val="0"/>
                <w:kern w:val="14"/>
              </w:rPr>
            </w:pPr>
            <w:r>
              <w:rPr>
                <w:rFonts w:cs="Arial" w:eastAsiaTheme="minorEastAsia"/>
                <w:spacing w:val="-6"/>
                <w:w w:val="0"/>
                <w:kern w:val="14"/>
              </w:rPr>
              <w:t>Hot</w:t>
            </w:r>
          </w:p>
        </w:tc>
        <w:tc>
          <w:tcPr>
            <w:tcW w:w="2321" w:type="dxa"/>
            <w:tcBorders>
              <w:top w:val="single" w:color="auto" w:sz="12" w:space="0"/>
              <w:left w:val="single" w:color="auto" w:sz="12" w:space="0"/>
              <w:bottom w:val="single" w:color="auto" w:sz="4" w:space="0"/>
              <w:right w:val="single" w:color="auto" w:sz="12" w:space="0"/>
            </w:tcBorders>
          </w:tcPr>
          <w:p w:rsidRPr="00580466" w:rsidR="00D96326" w:rsidRDefault="00CB241B" w14:paraId="3D0A7E51" w14:textId="5301FEF0">
            <w:pPr>
              <w:widowControl w:val="0"/>
              <w:autoSpaceDE w:val="0"/>
              <w:autoSpaceDN w:val="0"/>
              <w:adjustRightInd w:val="0"/>
              <w:spacing w:after="0"/>
              <w:rPr>
                <w:rFonts w:cs="Arial" w:eastAsiaTheme="minorEastAsia"/>
                <w:spacing w:val="-6"/>
                <w:w w:val="0"/>
                <w:kern w:val="14"/>
              </w:rPr>
            </w:pPr>
            <w:r>
              <w:rPr>
                <w:rFonts w:eastAsia="Times New Roman" w:cs="Arial"/>
                <w:highlight w:val="yellow"/>
              </w:rPr>
              <w:t>#Value</w:t>
            </w:r>
          </w:p>
        </w:tc>
      </w:tr>
      <w:tr w:rsidRPr="00580466" w:rsidR="00D96326" w:rsidTr="5627033A" w14:paraId="116481E9" w14:textId="77777777">
        <w:trPr>
          <w:trHeight w:val="370"/>
          <w:jc w:val="center"/>
        </w:trPr>
        <w:tc>
          <w:tcPr>
            <w:tcW w:w="1206" w:type="dxa"/>
            <w:vMerge/>
          </w:tcPr>
          <w:p w:rsidRPr="00580466" w:rsidR="00D96326" w:rsidRDefault="00D96326" w14:paraId="540D9B21" w14:textId="77777777">
            <w:pPr>
              <w:widowControl w:val="0"/>
              <w:autoSpaceDE w:val="0"/>
              <w:autoSpaceDN w:val="0"/>
              <w:adjustRightInd w:val="0"/>
              <w:spacing w:after="0"/>
              <w:rPr>
                <w:rFonts w:cs="Arial" w:eastAsiaTheme="minorEastAsia"/>
                <w:spacing w:val="-6"/>
                <w:w w:val="0"/>
                <w:kern w:val="14"/>
              </w:rPr>
            </w:pPr>
          </w:p>
        </w:tc>
        <w:tc>
          <w:tcPr>
            <w:tcW w:w="1206" w:type="dxa"/>
            <w:tcBorders>
              <w:top w:val="single" w:color="auto" w:sz="4" w:space="0"/>
              <w:left w:val="single" w:color="auto" w:sz="4" w:space="0"/>
              <w:bottom w:val="single" w:color="auto" w:sz="4" w:space="0"/>
              <w:right w:val="single" w:color="auto" w:sz="12" w:space="0"/>
            </w:tcBorders>
          </w:tcPr>
          <w:p w:rsidRPr="00580466" w:rsidR="00D96326" w:rsidRDefault="00D96326" w14:paraId="29051BCE" w14:textId="77777777">
            <w:pPr>
              <w:widowControl w:val="0"/>
              <w:autoSpaceDE w:val="0"/>
              <w:autoSpaceDN w:val="0"/>
              <w:adjustRightInd w:val="0"/>
              <w:spacing w:after="0"/>
              <w:rPr>
                <w:rFonts w:cs="Arial" w:eastAsiaTheme="minorEastAsia"/>
                <w:spacing w:val="-6"/>
                <w:w w:val="0"/>
                <w:kern w:val="14"/>
              </w:rPr>
            </w:pPr>
            <w:r>
              <w:rPr>
                <w:rFonts w:cs="Arial" w:eastAsiaTheme="minorEastAsia"/>
                <w:spacing w:val="-6"/>
                <w:w w:val="0"/>
                <w:kern w:val="14"/>
              </w:rPr>
              <w:t>Warm</w:t>
            </w:r>
          </w:p>
        </w:tc>
        <w:tc>
          <w:tcPr>
            <w:tcW w:w="2321" w:type="dxa"/>
            <w:tcBorders>
              <w:top w:val="single" w:color="auto" w:sz="4" w:space="0"/>
              <w:left w:val="single" w:color="auto" w:sz="12" w:space="0"/>
              <w:bottom w:val="single" w:color="auto" w:sz="4" w:space="0"/>
              <w:right w:val="single" w:color="auto" w:sz="12" w:space="0"/>
            </w:tcBorders>
          </w:tcPr>
          <w:p w:rsidRPr="00580466" w:rsidR="00D96326" w:rsidRDefault="00CB241B" w14:paraId="44086702" w14:textId="62D4CE7B">
            <w:pPr>
              <w:widowControl w:val="0"/>
              <w:autoSpaceDE w:val="0"/>
              <w:autoSpaceDN w:val="0"/>
              <w:adjustRightInd w:val="0"/>
              <w:spacing w:after="0"/>
              <w:rPr>
                <w:rFonts w:cs="Arial" w:eastAsiaTheme="minorEastAsia"/>
                <w:spacing w:val="-6"/>
                <w:w w:val="0"/>
                <w:kern w:val="14"/>
              </w:rPr>
            </w:pPr>
            <w:r>
              <w:rPr>
                <w:rFonts w:eastAsia="Times New Roman" w:cs="Arial"/>
                <w:highlight w:val="yellow"/>
              </w:rPr>
              <w:t>#Value</w:t>
            </w:r>
          </w:p>
        </w:tc>
      </w:tr>
      <w:tr w:rsidRPr="00580466" w:rsidR="00D96326" w:rsidTr="5627033A" w14:paraId="7350A8F4" w14:textId="77777777">
        <w:trPr>
          <w:trHeight w:val="370"/>
          <w:jc w:val="center"/>
        </w:trPr>
        <w:tc>
          <w:tcPr>
            <w:tcW w:w="1206" w:type="dxa"/>
            <w:vMerge/>
          </w:tcPr>
          <w:p w:rsidRPr="00580466" w:rsidR="00D96326" w:rsidRDefault="00D96326" w14:paraId="57D87460" w14:textId="77777777">
            <w:pPr>
              <w:widowControl w:val="0"/>
              <w:autoSpaceDE w:val="0"/>
              <w:autoSpaceDN w:val="0"/>
              <w:adjustRightInd w:val="0"/>
              <w:spacing w:after="0"/>
              <w:rPr>
                <w:rFonts w:cs="Arial" w:eastAsiaTheme="minorEastAsia"/>
                <w:spacing w:val="-6"/>
                <w:w w:val="0"/>
                <w:kern w:val="14"/>
              </w:rPr>
            </w:pPr>
          </w:p>
        </w:tc>
        <w:tc>
          <w:tcPr>
            <w:tcW w:w="1206" w:type="dxa"/>
            <w:tcBorders>
              <w:top w:val="single" w:color="auto" w:sz="4" w:space="0"/>
              <w:left w:val="single" w:color="auto" w:sz="4" w:space="0"/>
              <w:bottom w:val="single" w:color="auto" w:sz="12" w:space="0"/>
              <w:right w:val="single" w:color="auto" w:sz="12" w:space="0"/>
            </w:tcBorders>
          </w:tcPr>
          <w:p w:rsidRPr="00580466" w:rsidR="00D96326" w:rsidRDefault="00D96326" w14:paraId="25F57193" w14:textId="77777777">
            <w:pPr>
              <w:widowControl w:val="0"/>
              <w:autoSpaceDE w:val="0"/>
              <w:autoSpaceDN w:val="0"/>
              <w:adjustRightInd w:val="0"/>
              <w:spacing w:after="0"/>
              <w:rPr>
                <w:rFonts w:cs="Arial" w:eastAsiaTheme="minorEastAsia"/>
                <w:spacing w:val="-6"/>
                <w:w w:val="0"/>
                <w:kern w:val="14"/>
              </w:rPr>
            </w:pPr>
            <w:r>
              <w:rPr>
                <w:rFonts w:cs="Arial" w:eastAsiaTheme="minorEastAsia"/>
                <w:spacing w:val="-6"/>
                <w:w w:val="0"/>
                <w:kern w:val="14"/>
              </w:rPr>
              <w:t>Cold</w:t>
            </w:r>
          </w:p>
        </w:tc>
        <w:tc>
          <w:tcPr>
            <w:tcW w:w="2321" w:type="dxa"/>
            <w:tcBorders>
              <w:top w:val="single" w:color="auto" w:sz="4" w:space="0"/>
              <w:left w:val="single" w:color="auto" w:sz="12" w:space="0"/>
              <w:bottom w:val="single" w:color="auto" w:sz="12" w:space="0"/>
              <w:right w:val="single" w:color="auto" w:sz="12" w:space="0"/>
            </w:tcBorders>
          </w:tcPr>
          <w:p w:rsidRPr="00580466" w:rsidR="00D96326" w:rsidRDefault="00CB241B" w14:paraId="5412E10E" w14:textId="01C42792">
            <w:pPr>
              <w:widowControl w:val="0"/>
              <w:autoSpaceDE w:val="0"/>
              <w:autoSpaceDN w:val="0"/>
              <w:adjustRightInd w:val="0"/>
              <w:spacing w:after="0"/>
              <w:rPr>
                <w:rFonts w:cs="Arial" w:eastAsiaTheme="minorEastAsia"/>
                <w:spacing w:val="-6"/>
                <w:w w:val="0"/>
                <w:kern w:val="14"/>
              </w:rPr>
            </w:pPr>
            <w:r>
              <w:rPr>
                <w:rFonts w:eastAsia="Times New Roman" w:cs="Arial"/>
                <w:highlight w:val="yellow"/>
              </w:rPr>
              <w:t>#Value</w:t>
            </w:r>
          </w:p>
        </w:tc>
      </w:tr>
      <w:tr w:rsidRPr="00580466" w:rsidR="00D96326" w14:paraId="09D29052" w14:textId="77777777">
        <w:trPr>
          <w:jc w:val="center"/>
        </w:trPr>
        <w:tc>
          <w:tcPr>
            <w:tcW w:w="2412" w:type="dxa"/>
            <w:gridSpan w:val="2"/>
            <w:tcBorders>
              <w:top w:val="single" w:color="auto" w:sz="12" w:space="0"/>
              <w:left w:val="single" w:color="auto" w:sz="12" w:space="0"/>
              <w:bottom w:val="single" w:color="auto" w:sz="12" w:space="0"/>
              <w:right w:val="single" w:color="auto" w:sz="12" w:space="0"/>
            </w:tcBorders>
          </w:tcPr>
          <w:p w:rsidRPr="00580466" w:rsidR="00D96326" w:rsidRDefault="00D96326" w14:paraId="786E94CB" w14:textId="62618E55">
            <w:pPr>
              <w:widowControl w:val="0"/>
              <w:autoSpaceDE w:val="0"/>
              <w:autoSpaceDN w:val="0"/>
              <w:adjustRightInd w:val="0"/>
              <w:spacing w:after="0"/>
              <w:rPr>
                <w:rFonts w:cs="Arial" w:eastAsiaTheme="minorEastAsia"/>
                <w:spacing w:val="-6"/>
                <w:w w:val="0"/>
                <w:kern w:val="14"/>
              </w:rPr>
            </w:pPr>
            <w:r>
              <w:rPr>
                <w:rFonts w:cs="Arial" w:eastAsiaTheme="minorEastAsia"/>
                <w:spacing w:val="-6"/>
                <w:w w:val="0"/>
                <w:kern w:val="14"/>
              </w:rPr>
              <w:t>O&amp;M Startup Rate ($/Startup Event)</w:t>
            </w:r>
          </w:p>
        </w:tc>
        <w:tc>
          <w:tcPr>
            <w:tcW w:w="2321" w:type="dxa"/>
            <w:tcBorders>
              <w:top w:val="single" w:color="auto" w:sz="12" w:space="0"/>
              <w:left w:val="single" w:color="auto" w:sz="12" w:space="0"/>
              <w:bottom w:val="single" w:color="auto" w:sz="12" w:space="0"/>
              <w:right w:val="single" w:color="auto" w:sz="12" w:space="0"/>
            </w:tcBorders>
          </w:tcPr>
          <w:p w:rsidRPr="00580466" w:rsidR="00D96326" w:rsidRDefault="00CB241B" w14:paraId="454F2F33" w14:textId="658A1BB8">
            <w:pPr>
              <w:widowControl w:val="0"/>
              <w:autoSpaceDE w:val="0"/>
              <w:autoSpaceDN w:val="0"/>
              <w:adjustRightInd w:val="0"/>
              <w:spacing w:after="0"/>
              <w:rPr>
                <w:rFonts w:cs="Arial" w:eastAsiaTheme="minorEastAsia"/>
                <w:spacing w:val="-6"/>
                <w:w w:val="0"/>
                <w:kern w:val="14"/>
              </w:rPr>
            </w:pPr>
            <w:r>
              <w:rPr>
                <w:rFonts w:eastAsia="Times New Roman" w:cs="Arial"/>
                <w:highlight w:val="yellow"/>
              </w:rPr>
              <w:t>#Value</w:t>
            </w:r>
          </w:p>
        </w:tc>
      </w:tr>
    </w:tbl>
    <w:p w:rsidRPr="003A5D86" w:rsidR="00D96326" w:rsidP="00D96326" w:rsidRDefault="00D96326" w14:paraId="13291FAD" w14:textId="1D2589B0">
      <w:pPr>
        <w:pStyle w:val="zG02"/>
        <w:rPr>
          <w:w w:val="0"/>
        </w:rPr>
      </w:pPr>
      <w:r>
        <w:rPr>
          <w:b/>
        </w:rPr>
        <w:t xml:space="preserve">Monthly Fuel Adjustment. </w:t>
      </w:r>
      <w:bookmarkStart w:name="_DV_C1337" w:id="421"/>
      <w:r>
        <w:t xml:space="preserve">If Seller delivers energy from the </w:t>
      </w:r>
      <w:r w:rsidR="001B2694">
        <w:t xml:space="preserve">Facility </w:t>
      </w:r>
      <w:r>
        <w:t xml:space="preserve">in accordance with </w:t>
      </w:r>
      <w:r>
        <w:rPr>
          <w:w w:val="0"/>
        </w:rPr>
        <w:t>GPC</w:t>
      </w:r>
      <w:r>
        <w:t xml:space="preserve">’s Schedule or in response to an AGC signal provided by </w:t>
      </w:r>
      <w:r>
        <w:rPr>
          <w:w w:val="0"/>
        </w:rPr>
        <w:t>GPC</w:t>
      </w:r>
      <w:r>
        <w:t xml:space="preserve"> (if the </w:t>
      </w:r>
      <w:r w:rsidR="001B2694">
        <w:t xml:space="preserve">Facility </w:t>
      </w:r>
      <w:r>
        <w:t xml:space="preserve">is capable of operating on AGC), </w:t>
      </w:r>
      <w:r>
        <w:rPr>
          <w:w w:val="0"/>
        </w:rPr>
        <w:t>GPC</w:t>
      </w:r>
      <w:r>
        <w:t xml:space="preserve"> will determine the Daily Guaranteed Fuel quantity by multiplying the Guaranteed Heat Rate of the Scheduled amount or the AGC instructed output (if the </w:t>
      </w:r>
      <w:r w:rsidR="00FD7DF2">
        <w:t xml:space="preserve">Facility </w:t>
      </w:r>
      <w:r>
        <w:t>is capable of operating on AGC), as the case may be, in accordance with Exhibit F (</w:t>
      </w:r>
      <w:r>
        <w:rPr>
          <w:i/>
          <w:iCs/>
        </w:rPr>
        <w:t>Guaranteed Heat Rates</w:t>
      </w:r>
      <w:r>
        <w:t>) and PPA Part 12 (</w:t>
      </w:r>
      <w:r>
        <w:rPr>
          <w:i/>
          <w:iCs/>
        </w:rPr>
        <w:t>Energy Scheduling and Transmission</w:t>
      </w:r>
      <w:r>
        <w:t xml:space="preserve">) by the amount of energy that was delivered to </w:t>
      </w:r>
      <w:r>
        <w:rPr>
          <w:w w:val="0"/>
        </w:rPr>
        <w:t>GPC</w:t>
      </w:r>
      <w:r>
        <w:t xml:space="preserve">. The Operating Representatives will develop procedures for determining energy produced and delivered in accordance with </w:t>
      </w:r>
      <w:r>
        <w:rPr>
          <w:w w:val="0"/>
        </w:rPr>
        <w:t>GPC</w:t>
      </w:r>
      <w:r>
        <w:t>’s Schedule during ramping of the Unit</w:t>
      </w:r>
      <w:r w:rsidR="00FD7DF2">
        <w:t>(s)</w:t>
      </w:r>
      <w:r>
        <w:t>, including (</w:t>
      </w:r>
      <w:proofErr w:type="spellStart"/>
      <w:r>
        <w:t>i</w:t>
      </w:r>
      <w:proofErr w:type="spellEnd"/>
      <w:r>
        <w:t xml:space="preserve">) from synchronization to Minimum Capacity (Startup Energy), and (ii) from Minimum Capacity to Base Operating Mode. The ramping energy will be </w:t>
      </w:r>
      <w:r>
        <w:rPr>
          <w:i/>
          <w:iCs/>
        </w:rPr>
        <w:t>multiplied by</w:t>
      </w:r>
      <w:r>
        <w:t xml:space="preserve"> the appropriate GHR in accordance with Exhibit F to determine the Daily Guaranteed Fuel quantity during ramping. The GHR for ramping from synchronization to Minimum Capacity will be the GHR for Minimum Capacity.</w:t>
      </w:r>
      <w:r>
        <w:rPr>
          <w:rFonts w:eastAsia="MS Mincho"/>
          <w:color w:val="0000FF"/>
          <w:w w:val="0"/>
          <w:u w:val="double"/>
        </w:rPr>
        <w:t xml:space="preserve"> </w:t>
      </w:r>
      <w:bookmarkEnd w:id="421"/>
    </w:p>
    <w:p w:rsidRPr="00580466" w:rsidR="00D96326" w:rsidP="00D96326" w:rsidRDefault="00D96326" w14:paraId="2BB0E725" w14:textId="73974454">
      <w:pPr>
        <w:autoSpaceDE w:val="0"/>
        <w:autoSpaceDN w:val="0"/>
        <w:adjustRightInd w:val="0"/>
        <w:spacing w:after="0"/>
        <w:rPr>
          <w:rFonts w:cs="Arial" w:eastAsiaTheme="minorEastAsia"/>
          <w:w w:val="0"/>
          <w:kern w:val="14"/>
        </w:rPr>
      </w:pPr>
      <w:bookmarkStart w:name="_DV_X1416" w:id="422"/>
      <w:bookmarkStart w:name="_DV_C1338" w:id="423"/>
      <w:r>
        <w:rPr>
          <w:rFonts w:eastAsia="MS Mincho" w:cs="Arial"/>
          <w:w w:val="0"/>
          <w:kern w:val="14"/>
        </w:rPr>
        <w:t xml:space="preserve">If the actual heat rate is different than the applicable GHR, then a Monthly </w:t>
      </w:r>
      <w:bookmarkStart w:name="_DV_C1339" w:id="424"/>
      <w:bookmarkEnd w:id="422"/>
      <w:bookmarkEnd w:id="423"/>
      <w:r>
        <w:rPr>
          <w:rFonts w:eastAsia="MS Mincho" w:cs="Arial"/>
          <w:w w:val="0"/>
          <w:kern w:val="14"/>
        </w:rPr>
        <w:t xml:space="preserve">Fuel Adjustment will be made to </w:t>
      </w:r>
      <w:r>
        <w:rPr>
          <w:rFonts w:cs="Arial" w:eastAsiaTheme="minorEastAsia"/>
          <w:w w:val="0"/>
          <w:kern w:val="14"/>
        </w:rPr>
        <w:t>GPC</w:t>
      </w:r>
      <w:r>
        <w:rPr>
          <w:rFonts w:eastAsia="MS Mincho" w:cs="Arial"/>
          <w:w w:val="0"/>
          <w:kern w:val="14"/>
        </w:rPr>
        <w:t>’s next invoice.</w:t>
      </w:r>
      <w:bookmarkEnd w:id="424"/>
    </w:p>
    <w:p w:rsidRPr="00580466" w:rsidR="00D96326" w:rsidP="00D96326" w:rsidRDefault="00D96326" w14:paraId="3CA0523B" w14:textId="77777777">
      <w:pPr>
        <w:tabs>
          <w:tab w:val="left" w:pos="1440"/>
          <w:tab w:val="left" w:pos="2160"/>
          <w:tab w:val="left" w:pos="2880"/>
        </w:tabs>
        <w:rPr>
          <w:rFonts w:eastAsia="MS Mincho" w:cs="Arial"/>
          <w:bCs/>
          <w:i/>
          <w:iCs/>
          <w:w w:val="0"/>
        </w:rPr>
      </w:pPr>
    </w:p>
    <w:p w:rsidRPr="00580466" w:rsidR="00D96326" w:rsidP="00D96326" w:rsidRDefault="00D96326" w14:paraId="6D7F6877" w14:textId="10E331B0">
      <w:pPr>
        <w:pStyle w:val="zG03"/>
        <w:rPr>
          <w:w w:val="0"/>
        </w:rPr>
      </w:pPr>
      <w:bookmarkStart w:name="_DV_C1340" w:id="425"/>
      <w:r>
        <w:rPr>
          <w:b/>
          <w:w w:val="0"/>
        </w:rPr>
        <w:t>Monthly Fuel Adjustment (“MFA</w:t>
      </w:r>
      <w:r>
        <w:rPr>
          <w:b/>
          <w:w w:val="0"/>
          <w:vertAlign w:val="subscript"/>
        </w:rPr>
        <w:t>GAS</w:t>
      </w:r>
      <w:r>
        <w:rPr>
          <w:b/>
          <w:w w:val="0"/>
        </w:rPr>
        <w:t>”) for Operation on Natural Gas</w:t>
      </w:r>
      <w:bookmarkStart w:name="_DV_C1341" w:id="426"/>
      <w:bookmarkEnd w:id="425"/>
      <w:r>
        <w:rPr>
          <w:b/>
          <w:bCs/>
          <w:w w:val="0"/>
        </w:rPr>
        <w:t xml:space="preserve">. </w:t>
      </w:r>
      <w:r>
        <w:rPr>
          <w:rFonts w:eastAsia="MS Mincho"/>
          <w:w w:val="0"/>
        </w:rPr>
        <w:t xml:space="preserve">The Monthly Fuel Adjustment </w:t>
      </w:r>
      <w:r>
        <w:rPr>
          <w:rFonts w:eastAsia="MS Mincho"/>
          <w:w w:val="0"/>
        </w:rPr>
        <w:lastRenderedPageBreak/>
        <w:t>(“MFA</w:t>
      </w:r>
      <w:r>
        <w:rPr>
          <w:rFonts w:eastAsia="MS Mincho"/>
          <w:w w:val="0"/>
          <w:vertAlign w:val="subscript"/>
        </w:rPr>
        <w:t>GAS</w:t>
      </w:r>
      <w:r>
        <w:rPr>
          <w:rFonts w:eastAsia="MS Mincho"/>
          <w:w w:val="0"/>
        </w:rPr>
        <w:t>”) for operation on Natural Gas will be determined as follows:</w:t>
      </w:r>
      <w:bookmarkEnd w:id="426"/>
    </w:p>
    <w:p w:rsidRPr="00580466" w:rsidR="00D96326" w:rsidP="00D96326" w:rsidRDefault="00D96326" w14:paraId="4BD77E90" w14:textId="77777777">
      <w:pPr>
        <w:tabs>
          <w:tab w:val="left" w:pos="1440"/>
          <w:tab w:val="left" w:pos="2160"/>
          <w:tab w:val="left" w:pos="2880"/>
        </w:tabs>
        <w:rPr>
          <w:rFonts w:eastAsia="MS Mincho" w:cs="Arial"/>
          <w:w w:val="0"/>
        </w:rPr>
      </w:pPr>
    </w:p>
    <w:p w:rsidRPr="00396F9B" w:rsidR="00D96326" w:rsidP="00D96326" w:rsidRDefault="00D96326" w14:paraId="251F325B" w14:textId="77777777">
      <w:pPr>
        <w:tabs>
          <w:tab w:val="left" w:pos="720"/>
          <w:tab w:val="left" w:pos="1440"/>
          <w:tab w:val="left" w:pos="2160"/>
          <w:tab w:val="left" w:pos="2880"/>
        </w:tabs>
        <w:ind w:left="2880" w:hanging="2937"/>
        <w:rPr>
          <w:rFonts w:eastAsia="MS Mincho" w:cs="Arial"/>
          <w:w w:val="0"/>
        </w:rPr>
      </w:pPr>
      <w:bookmarkStart w:name="_DV_C1342" w:id="427"/>
      <w:r>
        <w:rPr>
          <w:rFonts w:eastAsia="MS Mincho" w:cs="Arial"/>
          <w:w w:val="0"/>
        </w:rPr>
        <w:tab/>
      </w:r>
      <w:r>
        <w:rPr>
          <w:rFonts w:eastAsia="MS Mincho" w:cs="Arial"/>
          <w:b/>
          <w:w w:val="0"/>
        </w:rPr>
        <w:tab/>
        <w:t>MFA</w:t>
      </w:r>
      <w:r>
        <w:rPr>
          <w:rFonts w:eastAsia="MS Mincho" w:cs="Arial"/>
          <w:b/>
          <w:w w:val="0"/>
          <w:vertAlign w:val="subscript"/>
        </w:rPr>
        <w:t>GAS</w:t>
      </w:r>
      <w:r>
        <w:rPr>
          <w:rFonts w:eastAsia="MS Mincho" w:cs="Arial"/>
          <w:w w:val="0"/>
        </w:rPr>
        <w:t xml:space="preserve"> = </w:t>
      </w:r>
      <w:r>
        <w:rPr>
          <w:rFonts w:eastAsia="MS Mincho" w:cs="Arial"/>
          <w:w w:val="0"/>
        </w:rPr>
        <w:tab/>
      </w:r>
      <w:bookmarkStart w:name="_DV_C1343" w:id="428"/>
      <w:bookmarkEnd w:id="427"/>
      <w:r>
        <w:rPr>
          <w:rFonts w:eastAsia="MS Mincho" w:cs="Arial"/>
          <w:w w:val="0"/>
        </w:rPr>
        <w:t>å</w:t>
      </w:r>
      <w:bookmarkStart w:name="_DV_C1344" w:id="429"/>
      <w:bookmarkEnd w:id="428"/>
      <w:r>
        <w:rPr>
          <w:rFonts w:eastAsia="MS Mincho" w:cs="Arial"/>
          <w:w w:val="0"/>
        </w:rPr>
        <w:t>{[(DGF</w:t>
      </w:r>
      <w:r>
        <w:rPr>
          <w:rFonts w:eastAsia="MS Mincho" w:cs="Arial"/>
          <w:w w:val="0"/>
          <w:vertAlign w:val="subscript"/>
        </w:rPr>
        <w:t>GAS</w:t>
      </w:r>
      <w:r>
        <w:rPr>
          <w:rFonts w:eastAsia="MS Mincho" w:cs="Arial"/>
          <w:w w:val="0"/>
        </w:rPr>
        <w:t xml:space="preserve"> – DAF</w:t>
      </w:r>
      <w:r>
        <w:rPr>
          <w:rFonts w:eastAsia="MS Mincho" w:cs="Arial"/>
          <w:w w:val="0"/>
          <w:vertAlign w:val="subscript"/>
        </w:rPr>
        <w:t>GAS</w:t>
      </w:r>
      <w:r>
        <w:rPr>
          <w:rFonts w:eastAsia="MS Mincho" w:cs="Arial"/>
          <w:w w:val="0"/>
        </w:rPr>
        <w:t xml:space="preserve">) </w:t>
      </w:r>
      <w:r>
        <w:rPr>
          <w:rFonts w:eastAsia="MS Mincho" w:cs="Arial"/>
          <w:i/>
          <w:w w:val="0"/>
          <w:vertAlign w:val="subscript"/>
        </w:rPr>
        <w:t>*</w:t>
      </w:r>
      <w:r>
        <w:rPr>
          <w:rFonts w:eastAsia="MS Mincho" w:cs="Arial"/>
          <w:w w:val="0"/>
        </w:rPr>
        <w:t xml:space="preserve"> DFC</w:t>
      </w:r>
      <w:r>
        <w:rPr>
          <w:rFonts w:eastAsia="MS Mincho" w:cs="Arial"/>
          <w:w w:val="0"/>
          <w:vertAlign w:val="subscript"/>
        </w:rPr>
        <w:t>GAS</w:t>
      </w:r>
      <w:r>
        <w:rPr>
          <w:rFonts w:eastAsia="MS Mincho" w:cs="Arial"/>
          <w:w w:val="0"/>
        </w:rPr>
        <w:t>]</w:t>
      </w:r>
      <w:r>
        <w:rPr>
          <w:rFonts w:eastAsia="MS Mincho" w:cs="Arial"/>
          <w:w w:val="0"/>
          <w:vertAlign w:val="subscript"/>
        </w:rPr>
        <w:t>DAY 1</w:t>
      </w:r>
      <w:r>
        <w:rPr>
          <w:rFonts w:eastAsia="MS Mincho" w:cs="Arial"/>
          <w:w w:val="0"/>
        </w:rPr>
        <w:t xml:space="preserve"> … [(DGF</w:t>
      </w:r>
      <w:r>
        <w:rPr>
          <w:rFonts w:eastAsia="MS Mincho" w:cs="Arial"/>
          <w:w w:val="0"/>
          <w:vertAlign w:val="subscript"/>
        </w:rPr>
        <w:t xml:space="preserve"> GAS</w:t>
      </w:r>
      <w:r>
        <w:rPr>
          <w:rFonts w:eastAsia="MS Mincho" w:cs="Arial"/>
          <w:w w:val="0"/>
        </w:rPr>
        <w:t xml:space="preserve"> – DAF</w:t>
      </w:r>
      <w:r>
        <w:rPr>
          <w:rFonts w:eastAsia="MS Mincho" w:cs="Arial"/>
          <w:w w:val="0"/>
          <w:vertAlign w:val="subscript"/>
        </w:rPr>
        <w:t>GAS</w:t>
      </w:r>
      <w:r>
        <w:rPr>
          <w:rFonts w:eastAsia="MS Mincho" w:cs="Arial"/>
          <w:w w:val="0"/>
        </w:rPr>
        <w:t xml:space="preserve">) </w:t>
      </w:r>
      <w:r>
        <w:rPr>
          <w:rFonts w:eastAsia="MS Mincho" w:cs="Arial"/>
          <w:i/>
          <w:w w:val="0"/>
          <w:vertAlign w:val="subscript"/>
        </w:rPr>
        <w:t>*</w:t>
      </w:r>
      <w:r>
        <w:rPr>
          <w:rFonts w:eastAsia="MS Mincho" w:cs="Arial"/>
          <w:w w:val="0"/>
        </w:rPr>
        <w:t xml:space="preserve"> DFC</w:t>
      </w:r>
      <w:r>
        <w:rPr>
          <w:rFonts w:eastAsia="MS Mincho" w:cs="Arial"/>
          <w:w w:val="0"/>
          <w:vertAlign w:val="subscript"/>
        </w:rPr>
        <w:t>GAS</w:t>
      </w:r>
      <w:r>
        <w:rPr>
          <w:rFonts w:eastAsia="MS Mincho" w:cs="Arial"/>
          <w:w w:val="0"/>
        </w:rPr>
        <w:t>]</w:t>
      </w:r>
      <w:r>
        <w:rPr>
          <w:rFonts w:eastAsia="MS Mincho" w:cs="Arial"/>
          <w:w w:val="0"/>
          <w:vertAlign w:val="subscript"/>
        </w:rPr>
        <w:t>DAY N</w:t>
      </w:r>
      <w:r>
        <w:rPr>
          <w:rFonts w:eastAsia="MS Mincho" w:cs="Arial"/>
          <w:w w:val="0"/>
        </w:rPr>
        <w:t>}</w:t>
      </w:r>
      <w:bookmarkEnd w:id="429"/>
    </w:p>
    <w:p w:rsidRPr="00396F9B" w:rsidR="00D96326" w:rsidP="00D96326" w:rsidRDefault="00D96326" w14:paraId="38DB90F2" w14:textId="77777777">
      <w:pPr>
        <w:tabs>
          <w:tab w:val="left" w:pos="720"/>
          <w:tab w:val="left" w:pos="1440"/>
          <w:tab w:val="left" w:pos="2160"/>
          <w:tab w:val="left" w:pos="2880"/>
        </w:tabs>
        <w:ind w:left="720"/>
        <w:rPr>
          <w:rFonts w:eastAsia="MS Mincho" w:cs="Arial"/>
          <w:w w:val="0"/>
        </w:rPr>
      </w:pPr>
    </w:p>
    <w:p w:rsidRPr="00F10071" w:rsidR="00D96326" w:rsidP="00D96326" w:rsidRDefault="00D96326" w14:paraId="5A545D1E" w14:textId="0BC01BE9">
      <w:pPr>
        <w:ind w:left="1886"/>
        <w:rPr>
          <w:rFonts w:eastAsia="MS Mincho" w:cs="Arial"/>
          <w:w w:val="0"/>
        </w:rPr>
      </w:pPr>
      <w:bookmarkStart w:name="_DV_C1345" w:id="430"/>
      <w:r>
        <w:rPr>
          <w:rFonts w:eastAsia="MS Mincho" w:cs="Arial"/>
          <w:w w:val="0"/>
        </w:rPr>
        <w:t>The Monthly Fuel Adjustment (“MFA</w:t>
      </w:r>
      <w:r>
        <w:rPr>
          <w:rFonts w:eastAsia="MS Mincho" w:cs="Arial"/>
          <w:w w:val="0"/>
          <w:vertAlign w:val="subscript"/>
        </w:rPr>
        <w:t>GAS</w:t>
      </w:r>
      <w:r>
        <w:rPr>
          <w:rFonts w:eastAsia="MS Mincho" w:cs="Arial"/>
          <w:w w:val="0"/>
        </w:rPr>
        <w:t xml:space="preserve">”) will be the sum of the daily fuel adjustments for each Gas Day or partial Gas Day in the Month. </w:t>
      </w:r>
      <w:proofErr w:type="gramStart"/>
      <w:r>
        <w:rPr>
          <w:rFonts w:eastAsia="MS Mincho" w:cs="Arial"/>
          <w:w w:val="0"/>
        </w:rPr>
        <w:t>The daily</w:t>
      </w:r>
      <w:proofErr w:type="gramEnd"/>
      <w:r>
        <w:rPr>
          <w:rFonts w:eastAsia="MS Mincho" w:cs="Arial"/>
          <w:w w:val="0"/>
        </w:rPr>
        <w:t xml:space="preserve"> fuel adjustment is the product of the difference of Daily Guaranteed Fuel and Daily Actual Fuel in MMBtu and the corresponding Daily Fuel Cost in $/MMBtu.</w:t>
      </w:r>
      <w:bookmarkEnd w:id="430"/>
    </w:p>
    <w:p w:rsidRPr="00F10071" w:rsidR="00D96326" w:rsidP="00D96326" w:rsidRDefault="00D96326" w14:paraId="7185337E" w14:textId="77777777">
      <w:pPr>
        <w:tabs>
          <w:tab w:val="left" w:pos="720"/>
          <w:tab w:val="left" w:pos="1440"/>
          <w:tab w:val="left" w:pos="2160"/>
          <w:tab w:val="left" w:pos="2880"/>
        </w:tabs>
        <w:ind w:left="720" w:firstLine="720"/>
        <w:rPr>
          <w:rFonts w:eastAsia="MS Mincho" w:cs="Arial"/>
          <w:w w:val="0"/>
        </w:rPr>
      </w:pPr>
    </w:p>
    <w:p w:rsidRPr="00F10071" w:rsidR="00D96326" w:rsidP="00D96326" w:rsidRDefault="00D96326" w14:paraId="1E1562AF" w14:textId="77777777">
      <w:pPr>
        <w:tabs>
          <w:tab w:val="left" w:pos="720"/>
          <w:tab w:val="left" w:pos="1440"/>
          <w:tab w:val="left" w:pos="2160"/>
          <w:tab w:val="left" w:pos="2880"/>
        </w:tabs>
        <w:ind w:left="1440" w:firstLine="720"/>
        <w:rPr>
          <w:rFonts w:eastAsia="MS Mincho" w:cs="Arial"/>
          <w:w w:val="0"/>
        </w:rPr>
      </w:pPr>
      <w:bookmarkStart w:name="_DV_C1346" w:id="431"/>
      <w:r>
        <w:rPr>
          <w:rFonts w:eastAsia="MS Mincho" w:cs="Arial"/>
          <w:b/>
          <w:w w:val="0"/>
        </w:rPr>
        <w:tab/>
      </w:r>
      <w:r>
        <w:rPr>
          <w:rFonts w:eastAsia="MS Mincho" w:cs="Arial"/>
          <w:w w:val="0"/>
        </w:rPr>
        <w:t>Where:</w:t>
      </w:r>
      <w:bookmarkEnd w:id="431"/>
    </w:p>
    <w:p w:rsidRPr="00F10071" w:rsidR="00D96326" w:rsidP="00D96326" w:rsidRDefault="00D96326" w14:paraId="35779B6E" w14:textId="77777777">
      <w:pPr>
        <w:tabs>
          <w:tab w:val="left" w:pos="720"/>
          <w:tab w:val="left" w:pos="1440"/>
          <w:tab w:val="left" w:pos="2160"/>
          <w:tab w:val="left" w:pos="2880"/>
        </w:tabs>
        <w:ind w:left="1440"/>
        <w:rPr>
          <w:rFonts w:eastAsia="MS Mincho" w:cs="Arial"/>
          <w:w w:val="0"/>
        </w:rPr>
      </w:pPr>
    </w:p>
    <w:p w:rsidRPr="00F10071" w:rsidR="00D96326" w:rsidP="00D96326" w:rsidRDefault="00D96326" w14:paraId="4892AC38" w14:textId="77777777">
      <w:pPr>
        <w:tabs>
          <w:tab w:val="left" w:pos="720"/>
          <w:tab w:val="left" w:pos="1440"/>
          <w:tab w:val="left" w:pos="2160"/>
          <w:tab w:val="left" w:pos="2880"/>
        </w:tabs>
        <w:ind w:left="4320" w:hanging="2160"/>
        <w:rPr>
          <w:rFonts w:eastAsia="MS Mincho" w:cs="Arial"/>
          <w:w w:val="0"/>
        </w:rPr>
      </w:pPr>
      <w:bookmarkStart w:name="_DV_C1347" w:id="432"/>
      <w:r>
        <w:rPr>
          <w:rFonts w:eastAsia="MS Mincho" w:cs="Arial"/>
          <w:w w:val="0"/>
        </w:rPr>
        <w:tab/>
      </w:r>
      <w:r>
        <w:rPr>
          <w:rFonts w:eastAsia="MS Mincho" w:cs="Arial"/>
          <w:b/>
          <w:w w:val="0"/>
        </w:rPr>
        <w:t>DGF</w:t>
      </w:r>
      <w:r>
        <w:rPr>
          <w:rFonts w:eastAsia="MS Mincho" w:cs="Arial"/>
          <w:b/>
          <w:w w:val="0"/>
          <w:vertAlign w:val="subscript"/>
        </w:rPr>
        <w:t>GAS</w:t>
      </w:r>
      <w:r>
        <w:rPr>
          <w:rFonts w:eastAsia="MS Mincho" w:cs="Arial"/>
          <w:w w:val="0"/>
        </w:rPr>
        <w:t xml:space="preserve"> =</w:t>
      </w:r>
      <w:r>
        <w:rPr>
          <w:rFonts w:eastAsia="MS Mincho" w:cs="Arial"/>
          <w:w w:val="0"/>
        </w:rPr>
        <w:tab/>
        <w:t>The Daily Guaranteed Fuel quantity in MMBtu for operation on Natural Gas.</w:t>
      </w:r>
      <w:bookmarkEnd w:id="432"/>
    </w:p>
    <w:p w:rsidRPr="00580466" w:rsidR="00D96326" w:rsidP="00D96326" w:rsidRDefault="00D96326" w14:paraId="3DE5B157" w14:textId="2C97B97F">
      <w:pPr>
        <w:tabs>
          <w:tab w:val="left" w:pos="720"/>
          <w:tab w:val="left" w:pos="1440"/>
          <w:tab w:val="left" w:pos="2160"/>
          <w:tab w:val="left" w:pos="2880"/>
        </w:tabs>
        <w:ind w:left="4320" w:hanging="2160"/>
        <w:rPr>
          <w:rFonts w:eastAsia="MS Mincho" w:cs="Arial"/>
          <w:w w:val="0"/>
        </w:rPr>
      </w:pPr>
      <w:bookmarkStart w:name="_DV_C1348" w:id="433"/>
      <w:r>
        <w:rPr>
          <w:rFonts w:eastAsia="MS Mincho" w:cs="Arial"/>
          <w:w w:val="0"/>
        </w:rPr>
        <w:tab/>
      </w:r>
      <w:r>
        <w:rPr>
          <w:rFonts w:eastAsia="MS Mincho" w:cs="Arial"/>
          <w:b/>
          <w:w w:val="0"/>
        </w:rPr>
        <w:t>DAF</w:t>
      </w:r>
      <w:r>
        <w:rPr>
          <w:rFonts w:eastAsia="MS Mincho" w:cs="Arial"/>
          <w:b/>
          <w:w w:val="0"/>
          <w:vertAlign w:val="subscript"/>
        </w:rPr>
        <w:t>GAS</w:t>
      </w:r>
      <w:r>
        <w:rPr>
          <w:rFonts w:eastAsia="MS Mincho" w:cs="Arial"/>
          <w:b/>
          <w:w w:val="0"/>
        </w:rPr>
        <w:t xml:space="preserve"> </w:t>
      </w:r>
      <w:r>
        <w:rPr>
          <w:rFonts w:eastAsia="MS Mincho" w:cs="Arial"/>
          <w:w w:val="0"/>
        </w:rPr>
        <w:t>=</w:t>
      </w:r>
      <w:r>
        <w:rPr>
          <w:rFonts w:eastAsia="MS Mincho" w:cs="Arial"/>
          <w:w w:val="0"/>
        </w:rPr>
        <w:tab/>
        <w:t xml:space="preserve">The Daily Actual Fuel quantity allocated to </w:t>
      </w:r>
      <w:r>
        <w:rPr>
          <w:rFonts w:cs="Arial" w:eastAsiaTheme="minorEastAsia"/>
          <w:w w:val="0"/>
          <w:kern w:val="14"/>
        </w:rPr>
        <w:t>GPC</w:t>
      </w:r>
      <w:r>
        <w:rPr>
          <w:rFonts w:eastAsia="MS Mincho" w:cs="Arial"/>
          <w:w w:val="0"/>
        </w:rPr>
        <w:t xml:space="preserve">’s consumption (to generate energy in accordance with </w:t>
      </w:r>
      <w:r>
        <w:rPr>
          <w:rFonts w:cs="Arial" w:eastAsiaTheme="minorEastAsia"/>
          <w:w w:val="0"/>
          <w:kern w:val="14"/>
        </w:rPr>
        <w:t>GPC</w:t>
      </w:r>
      <w:r>
        <w:rPr>
          <w:rFonts w:eastAsia="MS Mincho" w:cs="Arial"/>
          <w:w w:val="0"/>
        </w:rPr>
        <w:t>’s Schedules) in MMBtu for operation on Natural Gas as measured at the Gas Delivery Point.</w:t>
      </w:r>
      <w:bookmarkEnd w:id="433"/>
    </w:p>
    <w:p w:rsidRPr="00F10071" w:rsidR="00D96326" w:rsidP="00D96326" w:rsidRDefault="00D96326" w14:paraId="2FD13E02" w14:textId="77777777">
      <w:pPr>
        <w:tabs>
          <w:tab w:val="left" w:pos="720"/>
          <w:tab w:val="left" w:pos="1440"/>
          <w:tab w:val="left" w:pos="2160"/>
          <w:tab w:val="left" w:pos="2880"/>
        </w:tabs>
        <w:ind w:left="4320" w:hanging="2160"/>
        <w:rPr>
          <w:rFonts w:eastAsia="MS Mincho" w:cs="Arial"/>
          <w:w w:val="0"/>
        </w:rPr>
      </w:pPr>
      <w:bookmarkStart w:name="_DV_C1349" w:id="434"/>
      <w:r>
        <w:rPr>
          <w:rFonts w:eastAsia="MS Mincho" w:cs="Arial"/>
          <w:w w:val="0"/>
        </w:rPr>
        <w:tab/>
      </w:r>
      <w:r>
        <w:rPr>
          <w:rFonts w:eastAsia="MS Mincho" w:cs="Arial"/>
          <w:b/>
          <w:w w:val="0"/>
        </w:rPr>
        <w:t>DFC</w:t>
      </w:r>
      <w:r>
        <w:rPr>
          <w:rFonts w:eastAsia="MS Mincho" w:cs="Arial"/>
          <w:b/>
          <w:w w:val="0"/>
          <w:vertAlign w:val="subscript"/>
        </w:rPr>
        <w:t>GAS</w:t>
      </w:r>
      <w:r>
        <w:rPr>
          <w:rFonts w:eastAsia="MS Mincho" w:cs="Arial"/>
          <w:b/>
          <w:w w:val="0"/>
        </w:rPr>
        <w:t xml:space="preserve"> </w:t>
      </w:r>
      <w:r>
        <w:rPr>
          <w:rFonts w:eastAsia="MS Mincho" w:cs="Arial"/>
          <w:w w:val="0"/>
        </w:rPr>
        <w:t>=</w:t>
      </w:r>
      <w:r>
        <w:rPr>
          <w:rFonts w:eastAsia="MS Mincho" w:cs="Arial"/>
          <w:w w:val="0"/>
        </w:rPr>
        <w:tab/>
        <w:t>The Daily Fuel Cost in $/MMBtu for operation on Natural Gas.</w:t>
      </w:r>
      <w:bookmarkEnd w:id="434"/>
    </w:p>
    <w:p w:rsidRPr="00580466" w:rsidR="00D96326" w:rsidP="00D96326" w:rsidRDefault="00D96326" w14:paraId="09449FAE" w14:textId="77777777">
      <w:pPr>
        <w:tabs>
          <w:tab w:val="left" w:pos="720"/>
          <w:tab w:val="left" w:pos="1440"/>
          <w:tab w:val="left" w:pos="2160"/>
          <w:tab w:val="left" w:pos="2880"/>
        </w:tabs>
        <w:ind w:left="1886"/>
        <w:rPr>
          <w:rFonts w:eastAsia="MS Mincho" w:cs="Arial"/>
          <w:w w:val="0"/>
        </w:rPr>
      </w:pPr>
    </w:p>
    <w:p w:rsidRPr="00396F9B" w:rsidR="00D96326" w:rsidP="00D96326" w:rsidRDefault="00D96326" w14:paraId="28AE9E98" w14:textId="53DD4B91">
      <w:pPr>
        <w:tabs>
          <w:tab w:val="left" w:pos="720"/>
          <w:tab w:val="left" w:pos="1440"/>
          <w:tab w:val="left" w:pos="2160"/>
          <w:tab w:val="left" w:pos="2880"/>
        </w:tabs>
        <w:ind w:left="1886"/>
        <w:rPr>
          <w:rFonts w:eastAsia="MS Mincho" w:cs="Arial"/>
          <w:w w:val="0"/>
        </w:rPr>
      </w:pPr>
      <w:bookmarkStart w:name="_DV_C1350" w:id="435"/>
      <w:r>
        <w:rPr>
          <w:rFonts w:eastAsia="MS Mincho" w:cs="Arial"/>
          <w:w w:val="0"/>
        </w:rPr>
        <w:t xml:space="preserve">The Daily Guaranteed Fuel quantity for operation on Natural Gas will be the sum of the Hourly MMBtus that would have been burned using the appropriate GHR multiplied by the corresponding Hourly delivered energy, including energy produced during ramping, by Seller in accordance with </w:t>
      </w:r>
      <w:r>
        <w:rPr>
          <w:rFonts w:cs="Arial" w:eastAsiaTheme="minorEastAsia"/>
          <w:w w:val="0"/>
          <w:kern w:val="14"/>
        </w:rPr>
        <w:t>GPC</w:t>
      </w:r>
      <w:r>
        <w:rPr>
          <w:rFonts w:eastAsia="MS Mincho" w:cs="Arial"/>
          <w:w w:val="0"/>
        </w:rPr>
        <w:t>’s Schedule.</w:t>
      </w:r>
    </w:p>
    <w:p w:rsidRPr="00396F9B" w:rsidR="00D96326" w:rsidP="00D96326" w:rsidRDefault="00D96326" w14:paraId="4E06F287" w14:textId="77777777">
      <w:pPr>
        <w:tabs>
          <w:tab w:val="left" w:pos="720"/>
          <w:tab w:val="left" w:pos="1440"/>
          <w:tab w:val="left" w:pos="2160"/>
          <w:tab w:val="left" w:pos="2880"/>
        </w:tabs>
        <w:ind w:left="1440"/>
        <w:rPr>
          <w:rFonts w:eastAsia="MS Mincho" w:cs="Arial"/>
          <w:w w:val="0"/>
        </w:rPr>
      </w:pPr>
    </w:p>
    <w:p w:rsidRPr="009A252A" w:rsidR="00D96326" w:rsidP="00D96326" w:rsidRDefault="00D96326" w14:paraId="7B92FF8E" w14:textId="77777777">
      <w:pPr>
        <w:keepNext/>
        <w:tabs>
          <w:tab w:val="left" w:pos="720"/>
          <w:tab w:val="left" w:pos="1440"/>
          <w:tab w:val="left" w:pos="2160"/>
          <w:tab w:val="left" w:pos="2880"/>
        </w:tabs>
        <w:ind w:left="1890" w:right="-1440"/>
        <w:rPr>
          <w:rFonts w:eastAsia="MS Mincho" w:cs="Arial"/>
          <w:w w:val="0"/>
        </w:rPr>
      </w:pPr>
      <w:bookmarkStart w:name="_DV_C1351" w:id="436"/>
      <w:r>
        <w:rPr>
          <w:rFonts w:eastAsia="MS Mincho" w:cs="Arial"/>
          <w:b/>
          <w:w w:val="0"/>
        </w:rPr>
        <w:tab/>
      </w:r>
      <w:r>
        <w:rPr>
          <w:rFonts w:eastAsia="MS Mincho" w:cs="Arial"/>
          <w:b/>
          <w:w w:val="0"/>
        </w:rPr>
        <w:tab/>
        <w:t>DGF</w:t>
      </w:r>
      <w:r>
        <w:rPr>
          <w:rFonts w:eastAsia="MS Mincho" w:cs="Arial"/>
          <w:b/>
          <w:w w:val="0"/>
          <w:vertAlign w:val="subscript"/>
        </w:rPr>
        <w:t>GAS</w:t>
      </w:r>
      <w:r>
        <w:rPr>
          <w:rFonts w:eastAsia="MS Mincho" w:cs="Arial"/>
          <w:w w:val="0"/>
        </w:rPr>
        <w:t xml:space="preserve"> = </w:t>
      </w:r>
      <w:r>
        <w:rPr>
          <w:rFonts w:eastAsia="MS Mincho" w:cs="Arial"/>
          <w:w w:val="0"/>
        </w:rPr>
        <w:tab/>
      </w:r>
      <w:bookmarkStart w:name="_DV_C1352" w:id="437"/>
      <w:bookmarkEnd w:id="436"/>
      <w:r>
        <w:rPr>
          <w:rFonts w:eastAsia="MS Mincho" w:cs="Arial"/>
          <w:w w:val="0"/>
        </w:rPr>
        <w:t>å</w:t>
      </w:r>
      <w:bookmarkStart w:name="_DV_C1353" w:id="438"/>
      <w:bookmarkEnd w:id="437"/>
      <w:r>
        <w:rPr>
          <w:rFonts w:eastAsia="MS Mincho" w:cs="Arial"/>
          <w:w w:val="0"/>
        </w:rPr>
        <w:t xml:space="preserve"> [(GHR</w:t>
      </w:r>
      <w:r>
        <w:rPr>
          <w:rFonts w:eastAsia="MS Mincho" w:cs="Arial"/>
          <w:w w:val="0"/>
          <w:vertAlign w:val="subscript"/>
        </w:rPr>
        <w:t xml:space="preserve">GAS </w:t>
      </w:r>
      <w:proofErr w:type="spellStart"/>
      <w:r>
        <w:rPr>
          <w:rFonts w:eastAsia="MS Mincho" w:cs="Arial"/>
          <w:w w:val="0"/>
          <w:vertAlign w:val="subscript"/>
        </w:rPr>
        <w:t>hr</w:t>
      </w:r>
      <w:proofErr w:type="spellEnd"/>
      <w:r>
        <w:rPr>
          <w:rFonts w:eastAsia="MS Mincho" w:cs="Arial"/>
          <w:w w:val="0"/>
          <w:vertAlign w:val="subscript"/>
        </w:rPr>
        <w:t xml:space="preserve"> 1</w:t>
      </w:r>
      <w:r>
        <w:rPr>
          <w:rFonts w:eastAsia="MS Mincho" w:cs="Arial"/>
          <w:w w:val="0"/>
        </w:rPr>
        <w:t>*</w:t>
      </w:r>
      <w:r>
        <w:rPr>
          <w:rFonts w:cs="Arial"/>
        </w:rPr>
        <w:t>SE</w:t>
      </w:r>
      <w:r>
        <w:rPr>
          <w:rFonts w:cs="Arial"/>
          <w:vertAlign w:val="subscript"/>
        </w:rPr>
        <w:t>GAS-FAC</w:t>
      </w:r>
      <w:r>
        <w:rPr>
          <w:rFonts w:eastAsia="MS Mincho" w:cs="Arial"/>
          <w:w w:val="0"/>
        </w:rPr>
        <w:t>)…(GHR</w:t>
      </w:r>
      <w:r>
        <w:rPr>
          <w:rFonts w:eastAsia="MS Mincho" w:cs="Arial"/>
          <w:w w:val="0"/>
          <w:vertAlign w:val="subscript"/>
        </w:rPr>
        <w:t xml:space="preserve">GAS </w:t>
      </w:r>
      <w:proofErr w:type="spellStart"/>
      <w:r>
        <w:rPr>
          <w:rFonts w:eastAsia="MS Mincho" w:cs="Arial"/>
          <w:w w:val="0"/>
          <w:vertAlign w:val="subscript"/>
        </w:rPr>
        <w:t>hr</w:t>
      </w:r>
      <w:proofErr w:type="spellEnd"/>
      <w:r>
        <w:rPr>
          <w:rFonts w:eastAsia="MS Mincho" w:cs="Arial"/>
          <w:w w:val="0"/>
          <w:vertAlign w:val="subscript"/>
        </w:rPr>
        <w:t xml:space="preserve"> N</w:t>
      </w:r>
      <w:r>
        <w:rPr>
          <w:rFonts w:eastAsia="MS Mincho" w:cs="Arial"/>
          <w:w w:val="0"/>
        </w:rPr>
        <w:t>*</w:t>
      </w:r>
      <w:bookmarkEnd w:id="438"/>
    </w:p>
    <w:p w:rsidRPr="005D26F6" w:rsidR="00D96326" w:rsidP="00D96326" w:rsidRDefault="00D96326" w14:paraId="5162D49C" w14:textId="77777777">
      <w:pPr>
        <w:keepNext/>
        <w:tabs>
          <w:tab w:val="left" w:pos="720"/>
          <w:tab w:val="left" w:pos="1440"/>
          <w:tab w:val="left" w:pos="2160"/>
          <w:tab w:val="left" w:pos="2880"/>
        </w:tabs>
        <w:ind w:left="1890" w:right="-1440"/>
        <w:rPr>
          <w:rFonts w:eastAsia="MS Mincho" w:cs="Arial"/>
          <w:w w:val="0"/>
          <w:lang w:val="es-PR"/>
        </w:rPr>
      </w:pPr>
      <w:bookmarkStart w:name="_DV_C1354" w:id="439"/>
      <w:bookmarkEnd w:id="435"/>
      <w:r>
        <w:rPr>
          <w:rFonts w:eastAsia="MS Mincho" w:cs="Arial"/>
          <w:w w:val="0"/>
        </w:rPr>
        <w:tab/>
      </w:r>
      <w:r>
        <w:rPr>
          <w:rFonts w:eastAsia="MS Mincho" w:cs="Arial"/>
          <w:w w:val="0"/>
        </w:rPr>
        <w:tab/>
      </w:r>
      <w:r>
        <w:rPr>
          <w:rFonts w:eastAsia="MS Mincho" w:cs="Arial"/>
          <w:w w:val="0"/>
        </w:rPr>
        <w:tab/>
      </w:r>
      <w:r>
        <w:rPr>
          <w:rFonts w:eastAsia="MS Mincho" w:cs="Arial"/>
          <w:w w:val="0"/>
        </w:rPr>
        <w:tab/>
      </w:r>
      <w:r>
        <w:rPr>
          <w:rFonts w:cs="Arial"/>
          <w:lang w:val="es-PR"/>
        </w:rPr>
        <w:t>SE</w:t>
      </w:r>
      <w:r>
        <w:rPr>
          <w:rFonts w:cs="Arial"/>
          <w:vertAlign w:val="subscript"/>
          <w:lang w:val="es-PR"/>
        </w:rPr>
        <w:t xml:space="preserve"> GAS-FAC</w:t>
      </w:r>
      <w:r>
        <w:rPr>
          <w:rFonts w:eastAsia="MS Mincho" w:cs="Arial"/>
          <w:w w:val="0"/>
          <w:vertAlign w:val="subscript"/>
          <w:lang w:val="es-PR"/>
        </w:rPr>
        <w:t xml:space="preserve"> </w:t>
      </w:r>
      <w:proofErr w:type="spellStart"/>
      <w:r>
        <w:rPr>
          <w:rFonts w:eastAsia="MS Mincho" w:cs="Arial"/>
          <w:w w:val="0"/>
          <w:vertAlign w:val="subscript"/>
          <w:lang w:val="es-PR"/>
        </w:rPr>
        <w:t>hr</w:t>
      </w:r>
      <w:proofErr w:type="spellEnd"/>
      <w:r>
        <w:rPr>
          <w:rFonts w:eastAsia="MS Mincho" w:cs="Arial"/>
          <w:w w:val="0"/>
          <w:vertAlign w:val="subscript"/>
          <w:lang w:val="es-PR"/>
        </w:rPr>
        <w:t xml:space="preserve"> N</w:t>
      </w:r>
      <w:r>
        <w:rPr>
          <w:rFonts w:eastAsia="MS Mincho" w:cs="Arial"/>
          <w:w w:val="0"/>
          <w:lang w:val="es-PR"/>
        </w:rPr>
        <w:t>)]</w:t>
      </w:r>
      <w:bookmarkEnd w:id="439"/>
    </w:p>
    <w:p w:rsidR="007D18AC" w:rsidP="00D96326" w:rsidRDefault="007D18AC" w14:paraId="151078E2" w14:textId="77777777">
      <w:pPr>
        <w:keepNext/>
        <w:tabs>
          <w:tab w:val="left" w:pos="720"/>
          <w:tab w:val="left" w:pos="1440"/>
          <w:tab w:val="left" w:pos="2160"/>
          <w:tab w:val="left" w:pos="2880"/>
        </w:tabs>
        <w:ind w:left="1890" w:right="-1440"/>
        <w:rPr>
          <w:rFonts w:eastAsia="MS Mincho" w:cs="Arial"/>
          <w:w w:val="0"/>
        </w:rPr>
      </w:pPr>
      <w:r>
        <w:rPr>
          <w:rFonts w:eastAsia="MS Mincho" w:cs="Arial"/>
          <w:w w:val="0"/>
        </w:rPr>
        <w:t>Where:</w:t>
      </w:r>
    </w:p>
    <w:p w:rsidRPr="003A5D86" w:rsidR="007D18AC" w:rsidP="007D18AC" w:rsidRDefault="007D18AC" w14:paraId="569E6CB9" w14:textId="341A2C53">
      <w:pPr>
        <w:tabs>
          <w:tab w:val="left" w:pos="3240"/>
        </w:tabs>
        <w:ind w:left="3150" w:hanging="1710"/>
        <w:rPr>
          <w:rFonts w:cs="Arial"/>
        </w:rPr>
      </w:pPr>
      <w:r>
        <w:rPr>
          <w:rFonts w:eastAsia="MS Mincho" w:cs="Arial"/>
          <w:w w:val="0"/>
        </w:rPr>
        <w:tab/>
      </w:r>
      <w:r>
        <w:rPr>
          <w:rFonts w:cs="Arial"/>
          <w:b/>
        </w:rPr>
        <w:t>GHR</w:t>
      </w:r>
      <w:r>
        <w:rPr>
          <w:rFonts w:cs="Arial"/>
          <w:b/>
          <w:vertAlign w:val="subscript"/>
        </w:rPr>
        <w:t>GAS</w:t>
      </w:r>
      <w:r>
        <w:rPr>
          <w:rFonts w:cs="Arial"/>
        </w:rPr>
        <w:t xml:space="preserve"> = </w:t>
      </w:r>
      <w:r>
        <w:tab/>
      </w:r>
      <w:r>
        <w:rPr>
          <w:rFonts w:cs="Arial"/>
        </w:rPr>
        <w:t>The applicable Guaranteed Heat Rate in MMBtu/MWh when the Unit</w:t>
      </w:r>
      <w:r w:rsidR="002A79F4">
        <w:rPr>
          <w:rFonts w:cs="Arial"/>
        </w:rPr>
        <w:t>(s)</w:t>
      </w:r>
      <w:r>
        <w:rPr>
          <w:rFonts w:cs="Arial"/>
        </w:rPr>
        <w:t xml:space="preserve"> would have been dispatched on Natural Gas in accordance with Exhibit F (</w:t>
      </w:r>
      <w:r>
        <w:rPr>
          <w:rFonts w:cs="Arial"/>
          <w:i/>
        </w:rPr>
        <w:t>Guaranteed Heat Rates</w:t>
      </w:r>
      <w:r>
        <w:rPr>
          <w:rFonts w:cs="Arial"/>
        </w:rPr>
        <w:t>). The GHR for an Hour will be based upon the MW Scheduled across the Hour.</w:t>
      </w:r>
    </w:p>
    <w:p w:rsidRPr="00F10071" w:rsidR="00196E71" w:rsidP="00D96326" w:rsidRDefault="00196E71" w14:paraId="083B9B48" w14:textId="16BDC8AE">
      <w:pPr>
        <w:keepNext/>
        <w:tabs>
          <w:tab w:val="left" w:pos="720"/>
          <w:tab w:val="left" w:pos="1440"/>
          <w:tab w:val="left" w:pos="2160"/>
          <w:tab w:val="left" w:pos="2880"/>
        </w:tabs>
        <w:ind w:left="1890" w:right="-1440"/>
        <w:rPr>
          <w:rFonts w:eastAsia="MS Mincho" w:cs="Arial"/>
          <w:w w:val="0"/>
        </w:rPr>
      </w:pPr>
      <w:r>
        <w:rPr>
          <w:rFonts w:eastAsia="MS Mincho" w:cs="Arial"/>
          <w:w w:val="0"/>
        </w:rPr>
        <w:tab/>
      </w:r>
    </w:p>
    <w:p w:rsidRPr="00F10071" w:rsidR="00D96326" w:rsidP="00D96326" w:rsidRDefault="00D96326" w14:paraId="57833F69" w14:textId="77777777">
      <w:pPr>
        <w:tabs>
          <w:tab w:val="left" w:pos="720"/>
          <w:tab w:val="left" w:pos="1440"/>
          <w:tab w:val="left" w:pos="2160"/>
          <w:tab w:val="left" w:pos="2880"/>
        </w:tabs>
        <w:ind w:left="1890"/>
        <w:rPr>
          <w:rFonts w:eastAsia="MS Mincho" w:cs="Arial"/>
          <w:w w:val="0"/>
        </w:rPr>
      </w:pPr>
      <w:r>
        <w:rPr>
          <w:rFonts w:eastAsia="MS Mincho" w:cs="Arial"/>
          <w:w w:val="0"/>
        </w:rPr>
        <w:tab/>
      </w:r>
      <w:r>
        <w:rPr>
          <w:rFonts w:eastAsia="MS Mincho" w:cs="Arial"/>
          <w:w w:val="0"/>
        </w:rPr>
        <w:tab/>
      </w:r>
      <w:r>
        <w:rPr>
          <w:rFonts w:eastAsia="MS Mincho" w:cs="Arial"/>
          <w:w w:val="0"/>
        </w:rPr>
        <w:tab/>
      </w:r>
    </w:p>
    <w:p w:rsidRPr="00580466" w:rsidR="00D96326" w:rsidP="00D96326" w:rsidRDefault="00D96326" w14:paraId="612477B5" w14:textId="514178CC">
      <w:pPr>
        <w:tabs>
          <w:tab w:val="left" w:pos="720"/>
          <w:tab w:val="left" w:pos="1440"/>
          <w:tab w:val="left" w:pos="2160"/>
        </w:tabs>
        <w:ind w:left="1886"/>
        <w:rPr>
          <w:rFonts w:eastAsia="MS Mincho" w:cs="Arial"/>
          <w:w w:val="0"/>
        </w:rPr>
      </w:pPr>
      <w:bookmarkStart w:name="_DV_C1359" w:id="440"/>
      <w:r>
        <w:rPr>
          <w:rFonts w:eastAsia="MS Mincho" w:cs="Arial"/>
          <w:w w:val="0"/>
        </w:rPr>
        <w:t>The “</w:t>
      </w:r>
      <w:r>
        <w:rPr>
          <w:rFonts w:eastAsia="MS Mincho" w:cs="Arial"/>
          <w:b/>
          <w:bCs/>
          <w:w w:val="0"/>
        </w:rPr>
        <w:t>Daily Actual Fuel</w:t>
      </w:r>
      <w:r>
        <w:rPr>
          <w:rFonts w:eastAsia="MS Mincho" w:cs="Arial"/>
          <w:w w:val="0"/>
        </w:rPr>
        <w:t>” quantity for operation on Natural Gas will be the sum of the Hourly MMBtus allocated to Seller each Gas Day corresponding to the actual amount of Natural Gas consumed in the Unit</w:t>
      </w:r>
      <w:r w:rsidR="00E62CF6">
        <w:rPr>
          <w:rFonts w:eastAsia="MS Mincho" w:cs="Arial"/>
          <w:w w:val="0"/>
        </w:rPr>
        <w:t>(s)</w:t>
      </w:r>
      <w:r>
        <w:rPr>
          <w:rFonts w:eastAsia="MS Mincho" w:cs="Arial"/>
          <w:w w:val="0"/>
        </w:rPr>
        <w:t xml:space="preserve"> to meet </w:t>
      </w:r>
      <w:r>
        <w:rPr>
          <w:rFonts w:cs="Arial" w:eastAsiaTheme="minorEastAsia"/>
          <w:w w:val="0"/>
          <w:kern w:val="14"/>
        </w:rPr>
        <w:t>GPC</w:t>
      </w:r>
      <w:r>
        <w:rPr>
          <w:rFonts w:eastAsia="MS Mincho" w:cs="Arial"/>
          <w:w w:val="0"/>
        </w:rPr>
        <w:t>’s Schedules on each Gas Day and any greater or lesser adjustment to account for differences between the total gas measured at the Gas Delivery Point and the actual total consumption at the Unit</w:t>
      </w:r>
      <w:r w:rsidR="00E62CF6">
        <w:rPr>
          <w:rFonts w:eastAsia="MS Mincho" w:cs="Arial"/>
          <w:w w:val="0"/>
        </w:rPr>
        <w:t>(s)</w:t>
      </w:r>
      <w:r>
        <w:rPr>
          <w:rFonts w:eastAsia="MS Mincho" w:cs="Arial"/>
          <w:w w:val="0"/>
        </w:rPr>
        <w:t>.</w:t>
      </w:r>
    </w:p>
    <w:bookmarkEnd w:id="440"/>
    <w:p w:rsidRPr="00F10071" w:rsidR="00D96326" w:rsidP="00D96326" w:rsidRDefault="00D96326" w14:paraId="4F114F6B" w14:textId="77777777">
      <w:pPr>
        <w:tabs>
          <w:tab w:val="left" w:pos="720"/>
          <w:tab w:val="left" w:pos="1440"/>
          <w:tab w:val="left" w:pos="2160"/>
        </w:tabs>
        <w:ind w:left="1886"/>
        <w:rPr>
          <w:rFonts w:eastAsia="MS Mincho" w:cs="Arial"/>
          <w:w w:val="0"/>
        </w:rPr>
      </w:pPr>
    </w:p>
    <w:p w:rsidRPr="00F10071" w:rsidR="00D96326" w:rsidP="00D96326" w:rsidRDefault="00D96326" w14:paraId="66208E97" w14:textId="5B4E3214">
      <w:pPr>
        <w:tabs>
          <w:tab w:val="left" w:pos="720"/>
          <w:tab w:val="left" w:pos="1440"/>
          <w:tab w:val="left" w:pos="2160"/>
        </w:tabs>
        <w:ind w:left="1886"/>
        <w:rPr>
          <w:rFonts w:eastAsia="MS Mincho" w:cs="Arial"/>
          <w:w w:val="0"/>
        </w:rPr>
      </w:pPr>
      <w:bookmarkStart w:name="_DV_C1360" w:id="441"/>
      <w:r>
        <w:rPr>
          <w:rFonts w:eastAsia="MS Mincho" w:cs="Arial"/>
          <w:w w:val="0"/>
        </w:rPr>
        <w:t xml:space="preserve">The </w:t>
      </w:r>
      <w:r>
        <w:rPr>
          <w:rFonts w:eastAsia="MS Mincho" w:cs="Arial"/>
          <w:b/>
          <w:bCs/>
          <w:w w:val="0"/>
        </w:rPr>
        <w:t>Daily Fuel Cost (DFC</w:t>
      </w:r>
      <w:r>
        <w:rPr>
          <w:rFonts w:eastAsia="MS Mincho" w:cs="Arial"/>
          <w:b/>
          <w:bCs/>
          <w:w w:val="0"/>
          <w:vertAlign w:val="subscript"/>
        </w:rPr>
        <w:t>GAS</w:t>
      </w:r>
      <w:r>
        <w:rPr>
          <w:rFonts w:eastAsia="MS Mincho" w:cs="Arial"/>
          <w:b/>
          <w:bCs/>
          <w:w w:val="0"/>
        </w:rPr>
        <w:t>)</w:t>
      </w:r>
      <w:r>
        <w:rPr>
          <w:rFonts w:eastAsia="MS Mincho" w:cs="Arial"/>
          <w:w w:val="0"/>
        </w:rPr>
        <w:t xml:space="preserve"> for operation on Natural Gas will be determined as follows:  </w:t>
      </w:r>
      <w:bookmarkEnd w:id="441"/>
    </w:p>
    <w:p w:rsidRPr="00F10071" w:rsidR="00D96326" w:rsidP="00D96326" w:rsidRDefault="00D96326" w14:paraId="0A0B2514" w14:textId="77777777">
      <w:pPr>
        <w:tabs>
          <w:tab w:val="left" w:pos="720"/>
          <w:tab w:val="left" w:pos="1440"/>
          <w:tab w:val="left" w:pos="2160"/>
        </w:tabs>
        <w:ind w:left="1440"/>
        <w:rPr>
          <w:rFonts w:eastAsia="MS Mincho" w:cs="Arial"/>
          <w:w w:val="0"/>
        </w:rPr>
      </w:pPr>
    </w:p>
    <w:p w:rsidRPr="00F10071" w:rsidR="00D96326" w:rsidP="00D96326" w:rsidRDefault="00D96326" w14:paraId="689A2B28" w14:textId="77777777">
      <w:pPr>
        <w:tabs>
          <w:tab w:val="left" w:pos="720"/>
          <w:tab w:val="left" w:pos="1440"/>
          <w:tab w:val="left" w:pos="2160"/>
        </w:tabs>
        <w:ind w:left="2160"/>
        <w:rPr>
          <w:rFonts w:eastAsia="MS Mincho" w:cs="Arial"/>
          <w:w w:val="0"/>
          <w:vertAlign w:val="subscript"/>
        </w:rPr>
      </w:pPr>
      <w:bookmarkStart w:name="_DV_C1361" w:id="442"/>
      <w:r>
        <w:rPr>
          <w:rFonts w:eastAsia="MS Mincho" w:cs="Arial"/>
          <w:b/>
          <w:w w:val="0"/>
        </w:rPr>
        <w:tab/>
        <w:t>DFC</w:t>
      </w:r>
      <w:r>
        <w:rPr>
          <w:rFonts w:eastAsia="MS Mincho" w:cs="Arial"/>
          <w:b/>
          <w:w w:val="0"/>
          <w:vertAlign w:val="subscript"/>
        </w:rPr>
        <w:t>GAS</w:t>
      </w:r>
      <w:r>
        <w:rPr>
          <w:rFonts w:eastAsia="MS Mincho" w:cs="Arial"/>
          <w:w w:val="0"/>
        </w:rPr>
        <w:t xml:space="preserve"> = </w:t>
      </w:r>
      <w:r>
        <w:rPr>
          <w:rFonts w:eastAsia="MS Mincho" w:cs="Arial"/>
          <w:w w:val="0"/>
        </w:rPr>
        <w:tab/>
        <w:t>(SGD + VTA + IT)</w:t>
      </w:r>
      <w:bookmarkEnd w:id="442"/>
    </w:p>
    <w:p w:rsidRPr="00F10071" w:rsidR="00D96326" w:rsidP="00D96326" w:rsidRDefault="00D96326" w14:paraId="7D7694E3" w14:textId="77777777">
      <w:pPr>
        <w:tabs>
          <w:tab w:val="left" w:pos="720"/>
          <w:tab w:val="left" w:pos="1440"/>
          <w:tab w:val="left" w:pos="2160"/>
        </w:tabs>
        <w:ind w:left="2160"/>
        <w:rPr>
          <w:rFonts w:eastAsia="MS Mincho" w:cs="Arial"/>
          <w:w w:val="0"/>
        </w:rPr>
      </w:pPr>
      <w:r>
        <w:rPr>
          <w:rFonts w:eastAsia="MS Mincho" w:cs="Arial"/>
          <w:w w:val="0"/>
        </w:rPr>
        <w:t xml:space="preserve"> </w:t>
      </w:r>
    </w:p>
    <w:p w:rsidRPr="00F10071" w:rsidR="00D96326" w:rsidP="00D96326" w:rsidRDefault="00D96326" w14:paraId="493AD63B" w14:textId="77777777">
      <w:pPr>
        <w:tabs>
          <w:tab w:val="left" w:pos="720"/>
          <w:tab w:val="left" w:pos="1440"/>
          <w:tab w:val="left" w:pos="2160"/>
        </w:tabs>
        <w:ind w:left="2160"/>
        <w:rPr>
          <w:rFonts w:eastAsia="MS Mincho" w:cs="Arial"/>
          <w:w w:val="0"/>
        </w:rPr>
      </w:pPr>
      <w:bookmarkStart w:name="_DV_C1362" w:id="443"/>
      <w:r>
        <w:rPr>
          <w:rFonts w:eastAsia="MS Mincho" w:cs="Arial"/>
          <w:w w:val="0"/>
        </w:rPr>
        <w:tab/>
        <w:t>Where:</w:t>
      </w:r>
      <w:bookmarkEnd w:id="443"/>
    </w:p>
    <w:p w:rsidRPr="00F10071" w:rsidR="00D96326" w:rsidP="00D96326" w:rsidRDefault="00D96326" w14:paraId="71396262" w14:textId="77777777">
      <w:pPr>
        <w:tabs>
          <w:tab w:val="left" w:pos="720"/>
          <w:tab w:val="left" w:pos="1440"/>
          <w:tab w:val="left" w:pos="2160"/>
          <w:tab w:val="left" w:pos="2880"/>
        </w:tabs>
        <w:ind w:left="4320" w:hanging="2880"/>
        <w:rPr>
          <w:rFonts w:eastAsia="MS Mincho" w:cs="Arial"/>
          <w:w w:val="0"/>
        </w:rPr>
      </w:pPr>
    </w:p>
    <w:p w:rsidRPr="00F10071" w:rsidR="00D96326" w:rsidP="00D96326" w:rsidRDefault="00D96326" w14:paraId="41803859" w14:textId="22E4B78F">
      <w:pPr>
        <w:ind w:left="4320" w:hanging="1440"/>
        <w:rPr>
          <w:rFonts w:eastAsia="MS Mincho" w:cs="Arial"/>
          <w:w w:val="0"/>
        </w:rPr>
      </w:pPr>
      <w:r>
        <w:rPr>
          <w:rFonts w:eastAsia="MS Mincho" w:cs="Arial"/>
          <w:b/>
          <w:w w:val="0"/>
        </w:rPr>
        <w:t>SGD</w:t>
      </w:r>
      <w:r>
        <w:rPr>
          <w:rFonts w:eastAsia="MS Mincho" w:cs="Arial"/>
          <w:w w:val="0"/>
        </w:rPr>
        <w:t xml:space="preserve"> =</w:t>
      </w:r>
      <w:bookmarkStart w:name="_DV_X1450" w:id="444"/>
      <w:bookmarkStart w:name="_DV_C1364" w:id="445"/>
      <w:r>
        <w:rPr>
          <w:rFonts w:eastAsia="MS Mincho" w:cs="Arial"/>
          <w:w w:val="0"/>
        </w:rPr>
        <w:tab/>
        <w:t xml:space="preserve">The Gas Day’s “Gas Daily” midpoint price for its Daily Price Survey for </w:t>
      </w:r>
      <w:bookmarkStart w:name="_DV_C1365" w:id="446"/>
      <w:bookmarkEnd w:id="444"/>
      <w:bookmarkEnd w:id="445"/>
      <w:r>
        <w:rPr>
          <w:rFonts w:cs="Arial"/>
          <w:highlight w:val="yellow"/>
        </w:rPr>
        <w:t>[(e.g., Louisiana – Onshore South, Sonat)]</w:t>
      </w:r>
      <w:r>
        <w:rPr>
          <w:rFonts w:cs="Arial"/>
        </w:rPr>
        <w:t>.</w:t>
      </w:r>
      <w:bookmarkEnd w:id="446"/>
      <w:r>
        <w:rPr>
          <w:rFonts w:cs="Arial"/>
        </w:rPr>
        <w:t xml:space="preserve">  </w:t>
      </w:r>
    </w:p>
    <w:p w:rsidRPr="00396F9B" w:rsidR="00D96326" w:rsidP="00D96326" w:rsidRDefault="00D96326" w14:paraId="6EFE73CA" w14:textId="60CCF7EA">
      <w:pPr>
        <w:tabs>
          <w:tab w:val="left" w:pos="720"/>
          <w:tab w:val="left" w:pos="1440"/>
          <w:tab w:val="left" w:pos="2160"/>
          <w:tab w:val="left" w:pos="2880"/>
        </w:tabs>
        <w:ind w:left="4320" w:hanging="1440"/>
        <w:rPr>
          <w:rFonts w:cs="Arial"/>
        </w:rPr>
      </w:pPr>
      <w:bookmarkStart w:name="_DV_C1366" w:id="447"/>
      <w:r>
        <w:rPr>
          <w:rFonts w:eastAsia="MS Mincho" w:cs="Arial"/>
          <w:b/>
          <w:w w:val="0"/>
        </w:rPr>
        <w:t xml:space="preserve">VTA </w:t>
      </w:r>
      <w:r>
        <w:rPr>
          <w:rFonts w:eastAsia="MS Mincho" w:cs="Arial"/>
          <w:w w:val="0"/>
        </w:rPr>
        <w:t>=</w:t>
      </w:r>
      <w:bookmarkStart w:name="_DV_X1453" w:id="448"/>
      <w:bookmarkStart w:name="_DV_C1367" w:id="449"/>
      <w:bookmarkEnd w:id="447"/>
      <w:r>
        <w:rPr>
          <w:rFonts w:eastAsia="MS Mincho" w:cs="Arial"/>
          <w:w w:val="0"/>
        </w:rPr>
        <w:tab/>
        <w:t xml:space="preserve">The Variable Transportation Adders will </w:t>
      </w:r>
      <w:proofErr w:type="gramStart"/>
      <w:r>
        <w:rPr>
          <w:rFonts w:eastAsia="MS Mincho" w:cs="Arial"/>
          <w:w w:val="0"/>
        </w:rPr>
        <w:t xml:space="preserve">be </w:t>
      </w:r>
      <w:bookmarkStart w:name="_DV_C1368" w:id="450"/>
      <w:bookmarkEnd w:id="448"/>
      <w:bookmarkEnd w:id="449"/>
      <w:r>
        <w:rPr>
          <w:rFonts w:cs="Arial"/>
          <w:highlight w:val="yellow"/>
        </w:rPr>
        <w:t>[(</w:t>
      </w:r>
      <w:proofErr w:type="gramEnd"/>
      <w:r>
        <w:rPr>
          <w:rFonts w:cs="Arial"/>
          <w:highlight w:val="yellow"/>
        </w:rPr>
        <w:t>e.g., SNG’s Zone 3)]</w:t>
      </w:r>
      <w:r>
        <w:rPr>
          <w:rFonts w:cs="Arial"/>
        </w:rPr>
        <w:t xml:space="preserve"> </w:t>
      </w:r>
      <w:proofErr w:type="gramStart"/>
      <w:r>
        <w:rPr>
          <w:rFonts w:cs="Arial"/>
        </w:rPr>
        <w:t>maximum firm</w:t>
      </w:r>
      <w:proofErr w:type="gramEnd"/>
      <w:r>
        <w:rPr>
          <w:rFonts w:cs="Arial"/>
        </w:rPr>
        <w:t xml:space="preserve"> transportation variable charges including all fuel retention and surcharges.</w:t>
      </w:r>
      <w:bookmarkEnd w:id="450"/>
      <w:r>
        <w:rPr>
          <w:rFonts w:cs="Arial"/>
        </w:rPr>
        <w:t xml:space="preserve"> </w:t>
      </w:r>
    </w:p>
    <w:p w:rsidRPr="00F10071" w:rsidR="00D96326" w:rsidP="00D96326" w:rsidRDefault="00D96326" w14:paraId="32ACF4D6" w14:textId="79B6060F">
      <w:pPr>
        <w:tabs>
          <w:tab w:val="left" w:pos="720"/>
          <w:tab w:val="left" w:pos="1440"/>
          <w:tab w:val="left" w:pos="2160"/>
          <w:tab w:val="left" w:pos="2880"/>
        </w:tabs>
        <w:ind w:left="4320" w:hanging="1440"/>
        <w:rPr>
          <w:rFonts w:eastAsia="MS Mincho" w:cs="Arial"/>
        </w:rPr>
      </w:pPr>
      <w:bookmarkStart w:name="_DV_C1369" w:id="451"/>
      <w:r>
        <w:rPr>
          <w:rFonts w:eastAsia="MS Mincho" w:cs="Arial"/>
          <w:b/>
          <w:w w:val="0"/>
        </w:rPr>
        <w:t xml:space="preserve">IT </w:t>
      </w:r>
      <w:r>
        <w:rPr>
          <w:rFonts w:eastAsia="MS Mincho" w:cs="Arial"/>
          <w:w w:val="0"/>
        </w:rPr>
        <w:t>=</w:t>
      </w:r>
      <w:bookmarkStart w:name="_DV_X1457" w:id="452"/>
      <w:bookmarkStart w:name="_DV_C1370" w:id="453"/>
      <w:bookmarkEnd w:id="451"/>
      <w:r>
        <w:rPr>
          <w:rFonts w:eastAsia="MS Mincho" w:cs="Arial"/>
          <w:w w:val="0"/>
        </w:rPr>
        <w:tab/>
        <w:t xml:space="preserve">The Interruptible Transportation </w:t>
      </w:r>
      <w:bookmarkStart w:name="_DV_C1371" w:id="454"/>
      <w:bookmarkEnd w:id="452"/>
      <w:bookmarkEnd w:id="453"/>
      <w:r>
        <w:rPr>
          <w:rFonts w:cs="Arial"/>
        </w:rPr>
        <w:t xml:space="preserve">for </w:t>
      </w:r>
      <w:r>
        <w:rPr>
          <w:rFonts w:cs="Arial"/>
          <w:highlight w:val="yellow"/>
        </w:rPr>
        <w:t>[e.g., SNG Zone 1 to Zone 3]</w:t>
      </w:r>
      <w:r>
        <w:rPr>
          <w:rFonts w:cs="Arial"/>
        </w:rPr>
        <w:t xml:space="preserve"> for any amount needed above the Firm Capacity.</w:t>
      </w:r>
      <w:bookmarkEnd w:id="454"/>
    </w:p>
    <w:p w:rsidRPr="00F10071" w:rsidR="00D96326" w:rsidP="00D96326" w:rsidRDefault="00D96326" w14:paraId="30397150" w14:textId="77777777">
      <w:pPr>
        <w:tabs>
          <w:tab w:val="left" w:pos="720"/>
          <w:tab w:val="left" w:pos="1440"/>
          <w:tab w:val="left" w:pos="2160"/>
        </w:tabs>
        <w:ind w:left="1440"/>
        <w:rPr>
          <w:rFonts w:eastAsia="MS Mincho" w:cs="Arial"/>
          <w:w w:val="0"/>
        </w:rPr>
      </w:pPr>
    </w:p>
    <w:p w:rsidRPr="00580466" w:rsidR="00D96326" w:rsidP="00D96326" w:rsidRDefault="00D96326" w14:paraId="26BCCD0D" w14:textId="571358D2">
      <w:pPr>
        <w:tabs>
          <w:tab w:val="left" w:pos="720"/>
          <w:tab w:val="left" w:pos="1350"/>
          <w:tab w:val="left" w:pos="2160"/>
        </w:tabs>
        <w:ind w:left="1890"/>
        <w:rPr>
          <w:rFonts w:eastAsia="MS Mincho" w:cs="Arial"/>
          <w:w w:val="0"/>
        </w:rPr>
      </w:pPr>
      <w:bookmarkStart w:name="_DV_C1372" w:id="455"/>
      <w:r>
        <w:rPr>
          <w:rFonts w:eastAsia="MS Mincho" w:cs="Arial"/>
          <w:w w:val="0"/>
        </w:rPr>
        <w:t xml:space="preserve">If the Monthly Fuel Adjustment for operation on Natural Gas is positive, </w:t>
      </w:r>
      <w:r>
        <w:rPr>
          <w:rFonts w:cs="Arial" w:eastAsiaTheme="minorEastAsia"/>
          <w:w w:val="0"/>
          <w:kern w:val="14"/>
        </w:rPr>
        <w:t>GPC</w:t>
      </w:r>
      <w:r>
        <w:rPr>
          <w:rFonts w:eastAsia="MS Mincho" w:cs="Arial"/>
          <w:w w:val="0"/>
        </w:rPr>
        <w:t xml:space="preserve"> will pay Seller the amount of the Monthly Fuel Adjustment for operation on Natural Gas. If the Monthly Fuel Adjustment for operation on Natural Gas is negative, Seller will pay </w:t>
      </w:r>
      <w:r>
        <w:rPr>
          <w:rFonts w:cs="Arial" w:eastAsiaTheme="minorEastAsia"/>
          <w:w w:val="0"/>
          <w:kern w:val="14"/>
        </w:rPr>
        <w:t>GPC</w:t>
      </w:r>
      <w:r>
        <w:rPr>
          <w:rFonts w:eastAsia="MS Mincho" w:cs="Arial"/>
          <w:w w:val="0"/>
        </w:rPr>
        <w:t xml:space="preserve"> the absolute value amount of the Monthly Fuel Adjustment for operation on Natural Gas.</w:t>
      </w:r>
    </w:p>
    <w:p w:rsidRPr="00580466" w:rsidR="00D96326" w:rsidP="00D96326" w:rsidRDefault="00D96326" w14:paraId="34132E09" w14:textId="77777777">
      <w:pPr>
        <w:tabs>
          <w:tab w:val="left" w:pos="720"/>
          <w:tab w:val="left" w:pos="1350"/>
          <w:tab w:val="left" w:pos="2160"/>
        </w:tabs>
        <w:ind w:left="1890"/>
        <w:rPr>
          <w:rFonts w:eastAsia="MS Mincho" w:cs="Arial"/>
          <w:w w:val="0"/>
        </w:rPr>
      </w:pPr>
    </w:p>
    <w:p w:rsidRPr="00580466" w:rsidR="00D96326" w:rsidP="00D96326" w:rsidRDefault="00D96326" w14:paraId="5ED9DF97" w14:textId="58BE85EB">
      <w:pPr>
        <w:pStyle w:val="zG03"/>
        <w:rPr>
          <w:b/>
          <w:w w:val="0"/>
        </w:rPr>
      </w:pPr>
      <w:r>
        <w:rPr>
          <w:b/>
          <w:w w:val="0"/>
        </w:rPr>
        <w:t>Monthly Fuel Adjustment (“MFA</w:t>
      </w:r>
      <w:r>
        <w:rPr>
          <w:b/>
          <w:w w:val="0"/>
          <w:vertAlign w:val="subscript"/>
        </w:rPr>
        <w:t>OIL</w:t>
      </w:r>
      <w:r>
        <w:rPr>
          <w:b/>
          <w:w w:val="0"/>
        </w:rPr>
        <w:t>”) for operation on Fuel Oil</w:t>
      </w:r>
      <w:r>
        <w:rPr>
          <w:b/>
          <w:bCs/>
          <w:w w:val="0"/>
        </w:rPr>
        <w:t xml:space="preserve">. </w:t>
      </w:r>
      <w:r>
        <w:rPr>
          <w:rFonts w:eastAsia="MS Mincho"/>
          <w:w w:val="0"/>
        </w:rPr>
        <w:t>The Monthly Fuel Adjustment (“</w:t>
      </w:r>
      <w:r>
        <w:rPr>
          <w:rFonts w:eastAsia="MS Mincho"/>
          <w:b/>
          <w:bCs/>
          <w:w w:val="0"/>
        </w:rPr>
        <w:t>MFA</w:t>
      </w:r>
      <w:r>
        <w:rPr>
          <w:rFonts w:eastAsia="MS Mincho"/>
          <w:b/>
          <w:bCs/>
          <w:w w:val="0"/>
          <w:vertAlign w:val="subscript"/>
        </w:rPr>
        <w:t>OIL</w:t>
      </w:r>
      <w:r>
        <w:rPr>
          <w:rFonts w:eastAsia="MS Mincho"/>
          <w:w w:val="0"/>
        </w:rPr>
        <w:t>”) for operation on Fuel Oil will be determined as follows:</w:t>
      </w:r>
    </w:p>
    <w:p w:rsidRPr="00396F9B" w:rsidR="00D96326" w:rsidP="00D96326" w:rsidRDefault="00D96326" w14:paraId="67639944" w14:textId="77777777">
      <w:pPr>
        <w:tabs>
          <w:tab w:val="left" w:pos="720"/>
          <w:tab w:val="left" w:pos="1440"/>
          <w:tab w:val="left" w:pos="2160"/>
          <w:tab w:val="left" w:pos="2880"/>
        </w:tabs>
        <w:ind w:left="2160"/>
        <w:rPr>
          <w:rFonts w:eastAsia="MS Mincho" w:cs="Arial"/>
          <w:w w:val="0"/>
        </w:rPr>
      </w:pPr>
    </w:p>
    <w:p w:rsidRPr="00580466" w:rsidR="00D96326" w:rsidP="00D96326" w:rsidRDefault="00D96326" w14:paraId="72FBB7BE" w14:textId="77777777">
      <w:pPr>
        <w:ind w:left="4320" w:hanging="1440"/>
        <w:jc w:val="left"/>
        <w:rPr>
          <w:rFonts w:eastAsia="MS Mincho" w:cs="Arial"/>
          <w:w w:val="0"/>
        </w:rPr>
      </w:pPr>
      <w:bookmarkStart w:name="_DV_C1375" w:id="456"/>
      <w:r>
        <w:rPr>
          <w:rFonts w:eastAsia="MS Mincho" w:cs="Arial"/>
          <w:b/>
          <w:w w:val="0"/>
        </w:rPr>
        <w:t>MFA</w:t>
      </w:r>
      <w:r>
        <w:rPr>
          <w:rFonts w:eastAsia="MS Mincho" w:cs="Arial"/>
          <w:b/>
          <w:w w:val="0"/>
          <w:vertAlign w:val="subscript"/>
        </w:rPr>
        <w:t>OIL</w:t>
      </w:r>
      <w:r>
        <w:rPr>
          <w:rFonts w:eastAsia="MS Mincho" w:cs="Arial"/>
          <w:w w:val="0"/>
        </w:rPr>
        <w:t xml:space="preserve"> = </w:t>
      </w:r>
      <w:bookmarkEnd w:id="456"/>
      <w:r>
        <w:rPr>
          <w:rFonts w:eastAsia="MS Mincho" w:cs="Arial"/>
          <w:w w:val="0"/>
        </w:rPr>
        <w:tab/>
      </w:r>
      <w:bookmarkStart w:name="_DV_C1376" w:id="457"/>
      <w:r>
        <w:rPr>
          <w:rFonts w:ascii="Symbol" w:hAnsi="Symbol" w:eastAsia="Symbol" w:cs="Symbol"/>
          <w:w w:val="0"/>
        </w:rPr>
        <w:t>å</w:t>
      </w:r>
      <w:bookmarkStart w:name="_DV_C1377" w:id="458"/>
      <w:bookmarkEnd w:id="457"/>
      <w:r>
        <w:rPr>
          <w:rFonts w:eastAsia="MS Mincho" w:cs="Arial"/>
          <w:w w:val="0"/>
        </w:rPr>
        <w:t>{[(DGF</w:t>
      </w:r>
      <w:r>
        <w:rPr>
          <w:rFonts w:eastAsia="MS Mincho" w:cs="Arial"/>
          <w:w w:val="0"/>
          <w:vertAlign w:val="subscript"/>
        </w:rPr>
        <w:t xml:space="preserve"> OIL</w:t>
      </w:r>
      <w:r>
        <w:rPr>
          <w:rFonts w:eastAsia="MS Mincho" w:cs="Arial"/>
          <w:w w:val="0"/>
        </w:rPr>
        <w:t xml:space="preserve"> - DAF</w:t>
      </w:r>
      <w:r>
        <w:rPr>
          <w:rFonts w:eastAsia="MS Mincho" w:cs="Arial"/>
          <w:w w:val="0"/>
          <w:vertAlign w:val="subscript"/>
        </w:rPr>
        <w:t xml:space="preserve"> OIL</w:t>
      </w:r>
      <w:r>
        <w:rPr>
          <w:rFonts w:eastAsia="MS Mincho" w:cs="Arial"/>
          <w:w w:val="0"/>
        </w:rPr>
        <w:t>) x FRP</w:t>
      </w:r>
      <w:r>
        <w:rPr>
          <w:rFonts w:eastAsia="MS Mincho" w:cs="Arial"/>
          <w:w w:val="0"/>
          <w:vertAlign w:val="subscript"/>
        </w:rPr>
        <w:t>OIL</w:t>
      </w:r>
      <w:r>
        <w:rPr>
          <w:rFonts w:eastAsia="MS Mincho" w:cs="Arial"/>
          <w:w w:val="0"/>
        </w:rPr>
        <w:t>]</w:t>
      </w:r>
      <w:r>
        <w:rPr>
          <w:rFonts w:eastAsia="MS Mincho" w:cs="Arial"/>
          <w:w w:val="0"/>
          <w:vertAlign w:val="subscript"/>
        </w:rPr>
        <w:t xml:space="preserve"> DAY 1</w:t>
      </w:r>
      <w:r>
        <w:rPr>
          <w:rFonts w:eastAsia="MS Mincho" w:cs="Arial"/>
          <w:w w:val="0"/>
        </w:rPr>
        <w:t>…            [(DGF</w:t>
      </w:r>
      <w:r>
        <w:rPr>
          <w:rFonts w:eastAsia="MS Mincho" w:cs="Arial"/>
          <w:w w:val="0"/>
          <w:vertAlign w:val="subscript"/>
        </w:rPr>
        <w:t xml:space="preserve">OIL </w:t>
      </w:r>
      <w:bookmarkStart w:name="_DV_C1378" w:id="459"/>
      <w:bookmarkEnd w:id="458"/>
      <w:r>
        <w:rPr>
          <w:rFonts w:eastAsia="MS Mincho" w:cs="Arial"/>
          <w:w w:val="0"/>
        </w:rPr>
        <w:t>- DAF</w:t>
      </w:r>
      <w:r>
        <w:rPr>
          <w:rFonts w:eastAsia="MS Mincho" w:cs="Arial"/>
          <w:w w:val="0"/>
          <w:vertAlign w:val="subscript"/>
        </w:rPr>
        <w:t xml:space="preserve"> OIL</w:t>
      </w:r>
      <w:r>
        <w:rPr>
          <w:rFonts w:eastAsia="MS Mincho" w:cs="Arial"/>
          <w:w w:val="0"/>
        </w:rPr>
        <w:t>) x FRP</w:t>
      </w:r>
      <w:r>
        <w:rPr>
          <w:rFonts w:eastAsia="MS Mincho" w:cs="Arial"/>
          <w:w w:val="0"/>
          <w:vertAlign w:val="subscript"/>
        </w:rPr>
        <w:t>OIL</w:t>
      </w:r>
      <w:r>
        <w:rPr>
          <w:rFonts w:eastAsia="MS Mincho" w:cs="Arial"/>
          <w:w w:val="0"/>
        </w:rPr>
        <w:t>]</w:t>
      </w:r>
      <w:r>
        <w:rPr>
          <w:rFonts w:eastAsia="MS Mincho" w:cs="Arial"/>
          <w:w w:val="0"/>
          <w:vertAlign w:val="subscript"/>
        </w:rPr>
        <w:t xml:space="preserve"> DAY N</w:t>
      </w:r>
      <w:r>
        <w:rPr>
          <w:rFonts w:eastAsia="MS Mincho" w:cs="Arial"/>
          <w:w w:val="0"/>
        </w:rPr>
        <w:t xml:space="preserve"> } </w:t>
      </w:r>
      <w:bookmarkEnd w:id="459"/>
    </w:p>
    <w:p w:rsidRPr="00396F9B" w:rsidR="00D96326" w:rsidP="00D96326" w:rsidRDefault="00D96326" w14:paraId="3DC4DF65" w14:textId="77777777">
      <w:pPr>
        <w:ind w:left="2880"/>
        <w:rPr>
          <w:rFonts w:eastAsia="MS Mincho" w:cs="Arial"/>
          <w:w w:val="0"/>
        </w:rPr>
      </w:pPr>
    </w:p>
    <w:p w:rsidRPr="00580466" w:rsidR="00D96326" w:rsidP="00D96326" w:rsidRDefault="00D96326" w14:paraId="44BB0AC5" w14:textId="5017F07F">
      <w:pPr>
        <w:pStyle w:val="zG03"/>
        <w:numPr>
          <w:ilvl w:val="0"/>
          <w:numId w:val="0"/>
        </w:numPr>
        <w:ind w:left="259"/>
        <w:rPr>
          <w:w w:val="0"/>
        </w:rPr>
      </w:pPr>
      <w:bookmarkStart w:name="_DV_C1379" w:id="460"/>
      <w:r>
        <w:rPr>
          <w:w w:val="0"/>
        </w:rPr>
        <w:t>The Monthly Fuel Adjustment (“</w:t>
      </w:r>
      <w:r>
        <w:rPr>
          <w:b/>
          <w:bCs/>
          <w:w w:val="0"/>
        </w:rPr>
        <w:t>MFA</w:t>
      </w:r>
      <w:r>
        <w:rPr>
          <w:b/>
          <w:bCs/>
          <w:w w:val="0"/>
          <w:vertAlign w:val="subscript"/>
        </w:rPr>
        <w:t>OIL</w:t>
      </w:r>
      <w:r>
        <w:rPr>
          <w:w w:val="0"/>
        </w:rPr>
        <w:t>”) will be the sum of the daily fuel adjustments for each Day or partial Day in the Month. The daily fuel adjustment is the product of the difference of Daily Guaranteed Fuel and Daily Actual Fuel in MMBtu and the corresponding Daily Fuel Oil Replacement Price in $/MMBtu.</w:t>
      </w:r>
      <w:bookmarkEnd w:id="460"/>
    </w:p>
    <w:p w:rsidRPr="00396F9B" w:rsidR="00D96326" w:rsidP="00D96326" w:rsidRDefault="00D96326" w14:paraId="569902AE" w14:textId="77777777">
      <w:pPr>
        <w:ind w:left="1440"/>
        <w:rPr>
          <w:rFonts w:eastAsia="MS Mincho" w:cs="Arial"/>
          <w:w w:val="0"/>
        </w:rPr>
      </w:pPr>
    </w:p>
    <w:p w:rsidRPr="00580466" w:rsidR="00D96326" w:rsidP="00D96326" w:rsidRDefault="00D96326" w14:paraId="4708A241" w14:textId="77777777">
      <w:pPr>
        <w:ind w:left="2880"/>
        <w:rPr>
          <w:rFonts w:eastAsia="MS Mincho" w:cs="Arial"/>
          <w:w w:val="0"/>
        </w:rPr>
      </w:pPr>
      <w:bookmarkStart w:name="_DV_C1380" w:id="461"/>
      <w:r>
        <w:rPr>
          <w:rFonts w:eastAsia="MS Mincho" w:cs="Arial"/>
          <w:w w:val="0"/>
        </w:rPr>
        <w:t>Where:</w:t>
      </w:r>
      <w:bookmarkEnd w:id="461"/>
    </w:p>
    <w:p w:rsidRPr="00396F9B" w:rsidR="00D96326" w:rsidP="00D96326" w:rsidRDefault="00D96326" w14:paraId="314577AC" w14:textId="77777777">
      <w:pPr>
        <w:ind w:left="2880" w:firstLine="720"/>
        <w:rPr>
          <w:rFonts w:eastAsia="MS Mincho" w:cs="Arial"/>
          <w:w w:val="0"/>
        </w:rPr>
      </w:pPr>
    </w:p>
    <w:p w:rsidRPr="00580466" w:rsidR="00D96326" w:rsidP="00D96326" w:rsidRDefault="00D96326" w14:paraId="510CD614" w14:textId="77777777">
      <w:pPr>
        <w:tabs>
          <w:tab w:val="left" w:pos="720"/>
          <w:tab w:val="left" w:pos="1440"/>
          <w:tab w:val="left" w:pos="2160"/>
          <w:tab w:val="left" w:pos="2880"/>
        </w:tabs>
        <w:ind w:left="4320" w:hanging="2160"/>
        <w:rPr>
          <w:rFonts w:eastAsia="MS Mincho" w:cs="Arial"/>
          <w:w w:val="0"/>
        </w:rPr>
      </w:pPr>
      <w:bookmarkStart w:name="_DV_C1381" w:id="462"/>
      <w:r>
        <w:rPr>
          <w:rFonts w:eastAsia="MS Mincho" w:cs="Arial"/>
          <w:w w:val="0"/>
        </w:rPr>
        <w:tab/>
      </w:r>
      <w:r>
        <w:rPr>
          <w:rFonts w:eastAsia="MS Mincho" w:cs="Arial"/>
          <w:b/>
          <w:w w:val="0"/>
        </w:rPr>
        <w:t>DGF</w:t>
      </w:r>
      <w:r>
        <w:rPr>
          <w:rFonts w:eastAsia="MS Mincho" w:cs="Arial"/>
          <w:b/>
          <w:w w:val="0"/>
          <w:vertAlign w:val="subscript"/>
        </w:rPr>
        <w:t xml:space="preserve"> OIL</w:t>
      </w:r>
      <w:r>
        <w:rPr>
          <w:rFonts w:eastAsia="MS Mincho" w:cs="Arial"/>
          <w:w w:val="0"/>
        </w:rPr>
        <w:t xml:space="preserve"> =</w:t>
      </w:r>
      <w:r>
        <w:rPr>
          <w:rFonts w:eastAsia="MS Mincho" w:cs="Arial"/>
          <w:w w:val="0"/>
        </w:rPr>
        <w:tab/>
        <w:t>The Daily Guaranteed Fuel Oil quantity in MMBtu.</w:t>
      </w:r>
      <w:bookmarkEnd w:id="462"/>
    </w:p>
    <w:p w:rsidRPr="00580466" w:rsidR="00D96326" w:rsidP="00D96326" w:rsidRDefault="00D96326" w14:paraId="747D99E0" w14:textId="60F9BD20">
      <w:pPr>
        <w:tabs>
          <w:tab w:val="left" w:pos="720"/>
          <w:tab w:val="left" w:pos="1440"/>
          <w:tab w:val="left" w:pos="2160"/>
          <w:tab w:val="left" w:pos="2880"/>
        </w:tabs>
        <w:ind w:left="4320" w:hanging="2160"/>
        <w:rPr>
          <w:rFonts w:eastAsia="MS Mincho" w:cs="Arial"/>
          <w:w w:val="0"/>
        </w:rPr>
      </w:pPr>
      <w:bookmarkStart w:name="_DV_C1382" w:id="463"/>
      <w:r>
        <w:rPr>
          <w:rFonts w:eastAsia="MS Mincho" w:cs="Arial"/>
          <w:w w:val="0"/>
        </w:rPr>
        <w:tab/>
      </w:r>
      <w:r>
        <w:rPr>
          <w:rFonts w:eastAsia="MS Mincho" w:cs="Arial"/>
          <w:b/>
          <w:w w:val="0"/>
        </w:rPr>
        <w:t>DAF</w:t>
      </w:r>
      <w:r>
        <w:rPr>
          <w:rFonts w:eastAsia="MS Mincho" w:cs="Arial"/>
          <w:b/>
          <w:w w:val="0"/>
          <w:vertAlign w:val="subscript"/>
        </w:rPr>
        <w:t>OIL</w:t>
      </w:r>
      <w:r>
        <w:rPr>
          <w:rFonts w:eastAsia="MS Mincho" w:cs="Arial"/>
          <w:w w:val="0"/>
          <w:vertAlign w:val="subscript"/>
        </w:rPr>
        <w:t xml:space="preserve">  </w:t>
      </w:r>
      <w:r>
        <w:rPr>
          <w:rFonts w:eastAsia="MS Mincho" w:cs="Arial"/>
          <w:w w:val="0"/>
        </w:rPr>
        <w:t xml:space="preserve">= </w:t>
      </w:r>
      <w:r>
        <w:rPr>
          <w:rFonts w:eastAsia="MS Mincho" w:cs="Arial"/>
          <w:w w:val="0"/>
        </w:rPr>
        <w:tab/>
        <w:t xml:space="preserve">The Daily Actual Fuel Oil quantity consumed by the </w:t>
      </w:r>
      <w:r w:rsidR="002A79F4">
        <w:rPr>
          <w:rFonts w:eastAsia="MS Mincho" w:cs="Arial"/>
          <w:w w:val="0"/>
        </w:rPr>
        <w:t>Facility</w:t>
      </w:r>
      <w:r>
        <w:rPr>
          <w:rFonts w:eastAsia="MS Mincho" w:cs="Arial"/>
          <w:w w:val="0"/>
        </w:rPr>
        <w:t xml:space="preserve"> (to generate energy in accordance with </w:t>
      </w:r>
      <w:r>
        <w:rPr>
          <w:rFonts w:cs="Arial" w:eastAsiaTheme="minorEastAsia"/>
          <w:w w:val="0"/>
          <w:kern w:val="14"/>
        </w:rPr>
        <w:t>GPC</w:t>
      </w:r>
      <w:r>
        <w:rPr>
          <w:rFonts w:eastAsia="MS Mincho" w:cs="Arial"/>
          <w:w w:val="0"/>
        </w:rPr>
        <w:t xml:space="preserve">’s Schedules) in MMBtu as measured by the Fuel Oil flow meters located at each </w:t>
      </w:r>
      <w:r w:rsidR="002A79F4">
        <w:rPr>
          <w:rFonts w:eastAsia="MS Mincho" w:cs="Arial"/>
          <w:w w:val="0"/>
        </w:rPr>
        <w:t>U</w:t>
      </w:r>
      <w:r>
        <w:rPr>
          <w:rFonts w:eastAsia="MS Mincho" w:cs="Arial"/>
          <w:w w:val="0"/>
        </w:rPr>
        <w:t>nit.</w:t>
      </w:r>
      <w:bookmarkEnd w:id="463"/>
    </w:p>
    <w:p w:rsidRPr="003A5D86" w:rsidR="002C7333" w:rsidP="002C7333" w:rsidRDefault="00D96326" w14:paraId="40321F97" w14:textId="736414A9">
      <w:pPr>
        <w:tabs>
          <w:tab w:val="left" w:pos="720"/>
          <w:tab w:val="left" w:pos="1440"/>
          <w:tab w:val="left" w:pos="2160"/>
          <w:tab w:val="left" w:pos="2880"/>
        </w:tabs>
        <w:ind w:left="4320" w:hanging="3150"/>
        <w:rPr>
          <w:rFonts w:eastAsia="MS Mincho" w:cs="Arial"/>
          <w:w w:val="0"/>
        </w:rPr>
      </w:pPr>
      <w:bookmarkStart w:name="_DV_C1383" w:id="464"/>
      <w:r>
        <w:rPr>
          <w:rFonts w:eastAsia="MS Mincho" w:cs="Arial"/>
          <w:w w:val="0"/>
        </w:rPr>
        <w:tab/>
      </w:r>
      <w:bookmarkEnd w:id="464"/>
      <w:r>
        <w:rPr>
          <w:rFonts w:eastAsia="MS Mincho" w:cs="Arial"/>
          <w:w w:val="0"/>
        </w:rPr>
        <w:tab/>
      </w:r>
      <w:r>
        <w:rPr>
          <w:rFonts w:eastAsia="MS Mincho" w:cs="Arial"/>
          <w:w w:val="0"/>
        </w:rPr>
        <w:tab/>
      </w:r>
      <w:r>
        <w:rPr>
          <w:rFonts w:eastAsia="MS Mincho" w:cs="Arial"/>
          <w:b/>
        </w:rPr>
        <w:t>FRP</w:t>
      </w:r>
      <w:r>
        <w:rPr>
          <w:rFonts w:eastAsia="MS Mincho" w:cs="Arial"/>
          <w:b/>
          <w:vertAlign w:val="subscript"/>
        </w:rPr>
        <w:t>OIL</w:t>
      </w:r>
      <w:r>
        <w:rPr>
          <w:rFonts w:eastAsia="MS Mincho" w:cs="Arial"/>
        </w:rPr>
        <w:t xml:space="preserve">  =</w:t>
      </w:r>
      <w:r>
        <w:tab/>
      </w:r>
      <w:r>
        <w:rPr>
          <w:rFonts w:eastAsia="MS Mincho" w:cs="Arial"/>
        </w:rPr>
        <w:t xml:space="preserve">Daily Fuel Oil Replacement Price in $/MMBtu. </w:t>
      </w:r>
      <w:r>
        <w:rPr>
          <w:rFonts w:cs="Arial"/>
        </w:rPr>
        <w:t>Defined as the Daily Fuel Oil Replacement Price in $/Gal multiplied by a factor of 7.21 Gal/MMBtu.</w:t>
      </w:r>
    </w:p>
    <w:p w:rsidRPr="00396F9B" w:rsidR="00D96326" w:rsidP="00D96326" w:rsidRDefault="00D96326" w14:paraId="118513B3" w14:textId="5DF2B826">
      <w:pPr>
        <w:tabs>
          <w:tab w:val="left" w:pos="720"/>
          <w:tab w:val="left" w:pos="1440"/>
          <w:tab w:val="left" w:pos="2160"/>
          <w:tab w:val="left" w:pos="2880"/>
        </w:tabs>
        <w:ind w:left="4320" w:hanging="2880"/>
        <w:rPr>
          <w:rFonts w:eastAsia="MS Mincho" w:cs="Arial"/>
          <w:w w:val="0"/>
        </w:rPr>
      </w:pPr>
    </w:p>
    <w:p w:rsidRPr="003A5D86" w:rsidR="00D96326" w:rsidP="00D96326" w:rsidRDefault="00D96326" w14:paraId="39516E1A" w14:textId="01AD5EEF">
      <w:pPr>
        <w:pStyle w:val="zG03"/>
        <w:numPr>
          <w:ilvl w:val="0"/>
          <w:numId w:val="0"/>
        </w:numPr>
        <w:ind w:left="259"/>
        <w:rPr>
          <w:w w:val="0"/>
        </w:rPr>
      </w:pPr>
      <w:bookmarkStart w:name="_DV_C1384" w:id="465"/>
      <w:r>
        <w:rPr>
          <w:w w:val="0"/>
        </w:rPr>
        <w:t>The Daily Guaranteed Fuel Oil quantity (“</w:t>
      </w:r>
      <w:r>
        <w:rPr>
          <w:b/>
          <w:bCs/>
          <w:w w:val="0"/>
        </w:rPr>
        <w:t>DGF</w:t>
      </w:r>
      <w:r>
        <w:rPr>
          <w:b/>
          <w:bCs/>
          <w:w w:val="0"/>
          <w:vertAlign w:val="subscript"/>
        </w:rPr>
        <w:t>OIL</w:t>
      </w:r>
      <w:r>
        <w:rPr>
          <w:w w:val="0"/>
        </w:rPr>
        <w:t xml:space="preserve">”) will be the sum of the Hourly MMBtus that would have been burned at the appropriate GHR for operation on Fuel Oil in accordance with </w:t>
      </w:r>
      <w:r>
        <w:t>Exhibit F (</w:t>
      </w:r>
      <w:r>
        <w:rPr>
          <w:i/>
          <w:iCs/>
        </w:rPr>
        <w:t>Guaranteed Heat Rates</w:t>
      </w:r>
      <w:r>
        <w:t>)</w:t>
      </w:r>
      <w:r>
        <w:rPr>
          <w:w w:val="0"/>
        </w:rPr>
        <w:t xml:space="preserve"> </w:t>
      </w:r>
      <w:r>
        <w:rPr>
          <w:w w:val="0"/>
        </w:rPr>
        <w:lastRenderedPageBreak/>
        <w:t xml:space="preserve">multiplied by the corresponding Hourly delivered energy, including energy produced during ramping, in accordance with GPC’s Schedule.  </w:t>
      </w:r>
      <w:bookmarkEnd w:id="465"/>
    </w:p>
    <w:p w:rsidRPr="003A5D86" w:rsidR="00D96326" w:rsidP="00D96326" w:rsidRDefault="00D96326" w14:paraId="03F9BE81" w14:textId="77777777">
      <w:pPr>
        <w:tabs>
          <w:tab w:val="left" w:pos="720"/>
          <w:tab w:val="left" w:pos="1440"/>
          <w:tab w:val="left" w:pos="2160"/>
          <w:tab w:val="left" w:pos="2880"/>
        </w:tabs>
        <w:ind w:left="1440"/>
        <w:rPr>
          <w:rFonts w:eastAsia="MS Mincho" w:cs="Arial"/>
          <w:w w:val="0"/>
        </w:rPr>
      </w:pPr>
    </w:p>
    <w:p w:rsidRPr="003A5D86" w:rsidR="00D96326" w:rsidP="00D96326" w:rsidRDefault="00D96326" w14:paraId="1F0E1349" w14:textId="77777777">
      <w:pPr>
        <w:tabs>
          <w:tab w:val="left" w:pos="720"/>
          <w:tab w:val="left" w:pos="1440"/>
          <w:tab w:val="left" w:pos="2160"/>
          <w:tab w:val="left" w:pos="2880"/>
        </w:tabs>
        <w:ind w:left="4320" w:hanging="2160"/>
        <w:rPr>
          <w:rFonts w:eastAsia="MS Mincho" w:cs="Arial"/>
          <w:w w:val="0"/>
        </w:rPr>
      </w:pPr>
      <w:bookmarkStart w:name="_DV_C1385" w:id="466"/>
      <w:r>
        <w:rPr>
          <w:rFonts w:eastAsia="MS Mincho" w:cs="Arial"/>
          <w:w w:val="0"/>
        </w:rPr>
        <w:tab/>
      </w:r>
      <w:r>
        <w:rPr>
          <w:rFonts w:eastAsia="MS Mincho" w:cs="Arial"/>
          <w:b/>
          <w:w w:val="0"/>
        </w:rPr>
        <w:t>DGF</w:t>
      </w:r>
      <w:r>
        <w:rPr>
          <w:rFonts w:eastAsia="MS Mincho" w:cs="Arial"/>
          <w:b/>
          <w:w w:val="0"/>
          <w:vertAlign w:val="subscript"/>
        </w:rPr>
        <w:t>OIL</w:t>
      </w:r>
      <w:r>
        <w:rPr>
          <w:rFonts w:eastAsia="MS Mincho" w:cs="Arial"/>
          <w:w w:val="0"/>
        </w:rPr>
        <w:t xml:space="preserve"> = </w:t>
      </w:r>
      <w:r>
        <w:rPr>
          <w:rFonts w:eastAsia="MS Mincho" w:cs="Arial"/>
          <w:w w:val="0"/>
        </w:rPr>
        <w:tab/>
      </w:r>
      <w:bookmarkStart w:name="_DV_C1386" w:id="467"/>
      <w:bookmarkEnd w:id="466"/>
      <w:r>
        <w:rPr>
          <w:rFonts w:ascii="Symbol" w:hAnsi="Symbol" w:eastAsia="Symbol" w:cs="Symbol"/>
          <w:w w:val="0"/>
        </w:rPr>
        <w:t>å</w:t>
      </w:r>
      <w:bookmarkStart w:name="_DV_C1387" w:id="468"/>
      <w:bookmarkEnd w:id="467"/>
      <w:r>
        <w:rPr>
          <w:rFonts w:eastAsia="MS Mincho" w:cs="Arial"/>
          <w:w w:val="0"/>
        </w:rPr>
        <w:t xml:space="preserve"> [(GHR</w:t>
      </w:r>
      <w:r>
        <w:rPr>
          <w:rFonts w:eastAsia="MS Mincho" w:cs="Arial"/>
          <w:w w:val="0"/>
          <w:vertAlign w:val="subscript"/>
        </w:rPr>
        <w:t xml:space="preserve">OIL </w:t>
      </w:r>
      <w:proofErr w:type="spellStart"/>
      <w:r>
        <w:rPr>
          <w:rFonts w:eastAsia="MS Mincho" w:cs="Arial"/>
          <w:w w:val="0"/>
          <w:vertAlign w:val="subscript"/>
        </w:rPr>
        <w:t>hr</w:t>
      </w:r>
      <w:proofErr w:type="spellEnd"/>
      <w:r>
        <w:rPr>
          <w:rFonts w:eastAsia="MS Mincho" w:cs="Arial"/>
          <w:w w:val="0"/>
          <w:vertAlign w:val="subscript"/>
        </w:rPr>
        <w:t xml:space="preserve"> 1 </w:t>
      </w:r>
      <w:r>
        <w:rPr>
          <w:rFonts w:eastAsia="MS Mincho" w:cs="Arial"/>
          <w:w w:val="0"/>
        </w:rPr>
        <w:t xml:space="preserve">x </w:t>
      </w:r>
      <w:r>
        <w:rPr>
          <w:rFonts w:cs="Arial"/>
        </w:rPr>
        <w:t>SE</w:t>
      </w:r>
      <w:r>
        <w:rPr>
          <w:rFonts w:cs="Arial"/>
          <w:vertAlign w:val="subscript"/>
        </w:rPr>
        <w:t>OIL-FAC</w:t>
      </w:r>
      <w:r>
        <w:rPr>
          <w:rFonts w:eastAsia="MS Mincho" w:cs="Arial"/>
          <w:w w:val="0"/>
          <w:vertAlign w:val="subscript"/>
        </w:rPr>
        <w:t xml:space="preserve"> </w:t>
      </w:r>
      <w:proofErr w:type="spellStart"/>
      <w:r>
        <w:rPr>
          <w:rFonts w:eastAsia="MS Mincho" w:cs="Arial"/>
          <w:w w:val="0"/>
          <w:vertAlign w:val="subscript"/>
        </w:rPr>
        <w:t>hr</w:t>
      </w:r>
      <w:proofErr w:type="spellEnd"/>
      <w:r>
        <w:rPr>
          <w:rFonts w:eastAsia="MS Mincho" w:cs="Arial"/>
          <w:w w:val="0"/>
          <w:vertAlign w:val="subscript"/>
        </w:rPr>
        <w:t xml:space="preserve"> 1</w:t>
      </w:r>
      <w:r>
        <w:rPr>
          <w:rFonts w:eastAsia="MS Mincho" w:cs="Arial"/>
          <w:w w:val="0"/>
        </w:rPr>
        <w:t>)…(GHR</w:t>
      </w:r>
      <w:r>
        <w:rPr>
          <w:rFonts w:eastAsia="MS Mincho" w:cs="Arial"/>
          <w:w w:val="0"/>
          <w:vertAlign w:val="subscript"/>
        </w:rPr>
        <w:t xml:space="preserve">OIL </w:t>
      </w:r>
      <w:proofErr w:type="spellStart"/>
      <w:r>
        <w:rPr>
          <w:rFonts w:eastAsia="MS Mincho" w:cs="Arial"/>
          <w:w w:val="0"/>
          <w:vertAlign w:val="subscript"/>
        </w:rPr>
        <w:t>hr</w:t>
      </w:r>
      <w:proofErr w:type="spellEnd"/>
      <w:r>
        <w:rPr>
          <w:rFonts w:eastAsia="MS Mincho" w:cs="Arial"/>
          <w:w w:val="0"/>
          <w:vertAlign w:val="subscript"/>
        </w:rPr>
        <w:t xml:space="preserve"> N </w:t>
      </w:r>
      <w:r>
        <w:rPr>
          <w:rFonts w:eastAsia="MS Mincho" w:cs="Arial"/>
          <w:w w:val="0"/>
        </w:rPr>
        <w:t xml:space="preserve">x </w:t>
      </w:r>
      <w:r>
        <w:rPr>
          <w:rFonts w:cs="Arial"/>
        </w:rPr>
        <w:t>SE</w:t>
      </w:r>
      <w:r>
        <w:rPr>
          <w:rFonts w:cs="Arial"/>
          <w:vertAlign w:val="subscript"/>
        </w:rPr>
        <w:t xml:space="preserve"> OIL-FAC</w:t>
      </w:r>
      <w:r>
        <w:rPr>
          <w:rFonts w:eastAsia="MS Mincho" w:cs="Arial"/>
          <w:w w:val="0"/>
          <w:vertAlign w:val="subscript"/>
        </w:rPr>
        <w:t xml:space="preserve"> </w:t>
      </w:r>
      <w:proofErr w:type="spellStart"/>
      <w:r>
        <w:rPr>
          <w:rFonts w:eastAsia="MS Mincho" w:cs="Arial"/>
          <w:w w:val="0"/>
          <w:vertAlign w:val="subscript"/>
        </w:rPr>
        <w:t>hr</w:t>
      </w:r>
      <w:proofErr w:type="spellEnd"/>
      <w:r>
        <w:rPr>
          <w:rFonts w:eastAsia="MS Mincho" w:cs="Arial"/>
          <w:w w:val="0"/>
          <w:vertAlign w:val="subscript"/>
        </w:rPr>
        <w:t xml:space="preserve"> N</w:t>
      </w:r>
      <w:r>
        <w:rPr>
          <w:rFonts w:eastAsia="MS Mincho" w:cs="Arial"/>
          <w:w w:val="0"/>
        </w:rPr>
        <w:t>)]</w:t>
      </w:r>
      <w:bookmarkEnd w:id="468"/>
    </w:p>
    <w:p w:rsidRPr="003A5D86" w:rsidR="007945B0" w:rsidP="007945B0" w:rsidRDefault="00D96326" w14:paraId="20E2DEF3" w14:textId="039849DC">
      <w:pPr>
        <w:tabs>
          <w:tab w:val="left" w:pos="2970"/>
          <w:tab w:val="left" w:pos="3240"/>
        </w:tabs>
        <w:ind w:left="2880" w:hanging="1710"/>
        <w:rPr>
          <w:rFonts w:cs="Arial"/>
          <w:w w:val="0"/>
        </w:rPr>
      </w:pPr>
      <w:r>
        <w:rPr>
          <w:rFonts w:eastAsia="MS Mincho" w:cs="Arial"/>
          <w:w w:val="0"/>
        </w:rPr>
        <w:tab/>
      </w:r>
      <w:r>
        <w:rPr>
          <w:rFonts w:cs="Arial"/>
          <w:b/>
        </w:rPr>
        <w:t>GHR</w:t>
      </w:r>
      <w:r>
        <w:rPr>
          <w:rFonts w:cs="Arial"/>
          <w:b/>
          <w:vertAlign w:val="subscript"/>
        </w:rPr>
        <w:t>OIL</w:t>
      </w:r>
      <w:r>
        <w:rPr>
          <w:rFonts w:cs="Arial"/>
        </w:rPr>
        <w:t xml:space="preserve"> = The applicable Guaranteed Heat Rate in MMBtu/MWh when the Unit</w:t>
      </w:r>
      <w:r w:rsidR="002A79F4">
        <w:rPr>
          <w:rFonts w:cs="Arial"/>
        </w:rPr>
        <w:t>(s)</w:t>
      </w:r>
      <w:r>
        <w:rPr>
          <w:rFonts w:cs="Arial"/>
        </w:rPr>
        <w:t xml:space="preserve"> would have been dispatched on Fuel Oil in accordance with Exhibit F (</w:t>
      </w:r>
      <w:r>
        <w:rPr>
          <w:rFonts w:cs="Arial"/>
          <w:i/>
        </w:rPr>
        <w:t>Guaranteed Heat Rates</w:t>
      </w:r>
      <w:r>
        <w:rPr>
          <w:rFonts w:cs="Arial"/>
        </w:rPr>
        <w:t>). The GHR for an Hour will be based upon the MW Scheduled across the Hour.</w:t>
      </w:r>
    </w:p>
    <w:p w:rsidRPr="003A5D86" w:rsidR="00D96326" w:rsidP="00D96326" w:rsidRDefault="00D96326" w14:paraId="7A06A8BD" w14:textId="3A8FC2C8">
      <w:pPr>
        <w:tabs>
          <w:tab w:val="left" w:pos="720"/>
          <w:tab w:val="left" w:pos="1440"/>
          <w:tab w:val="left" w:pos="2160"/>
          <w:tab w:val="left" w:pos="2880"/>
        </w:tabs>
        <w:ind w:left="2160"/>
        <w:rPr>
          <w:rFonts w:eastAsia="MS Mincho" w:cs="Arial"/>
          <w:w w:val="0"/>
        </w:rPr>
      </w:pPr>
      <w:r>
        <w:rPr>
          <w:rFonts w:eastAsia="MS Mincho" w:cs="Arial"/>
          <w:w w:val="0"/>
        </w:rPr>
        <w:tab/>
      </w:r>
      <w:r>
        <w:rPr>
          <w:rFonts w:eastAsia="MS Mincho" w:cs="Arial"/>
          <w:w w:val="0"/>
        </w:rPr>
        <w:tab/>
      </w:r>
    </w:p>
    <w:p w:rsidRPr="003A5D86" w:rsidR="00D96326" w:rsidP="00D96326" w:rsidRDefault="00D96326" w14:paraId="6C8456F7" w14:textId="34C3C6DF">
      <w:pPr>
        <w:pStyle w:val="zG03"/>
        <w:numPr>
          <w:ilvl w:val="0"/>
          <w:numId w:val="0"/>
        </w:numPr>
        <w:ind w:left="259"/>
        <w:rPr>
          <w:w w:val="0"/>
        </w:rPr>
      </w:pPr>
      <w:bookmarkStart w:name="_DV_C1393" w:id="469"/>
      <w:r>
        <w:rPr>
          <w:w w:val="0"/>
        </w:rPr>
        <w:t xml:space="preserve">The Daily Fuel Oil Replacement Price ($/MMBtu) will be determined for a given Day per the definition of Daily Fuel Oil Replacement Price. </w:t>
      </w:r>
      <w:bookmarkEnd w:id="469"/>
    </w:p>
    <w:p w:rsidRPr="003A5D86" w:rsidR="00D96326" w:rsidP="00D96326" w:rsidRDefault="00D96326" w14:paraId="2C0928C2" w14:textId="77777777">
      <w:pPr>
        <w:tabs>
          <w:tab w:val="left" w:pos="720"/>
          <w:tab w:val="left" w:pos="1440"/>
          <w:tab w:val="left" w:pos="2160"/>
        </w:tabs>
        <w:ind w:left="1440"/>
        <w:rPr>
          <w:rFonts w:eastAsia="MS Mincho" w:cs="Arial"/>
          <w:w w:val="0"/>
        </w:rPr>
      </w:pPr>
    </w:p>
    <w:p w:rsidRPr="003A5D86" w:rsidR="00D96326" w:rsidP="00D96326" w:rsidRDefault="00D96326" w14:paraId="766D6B05" w14:textId="36940600">
      <w:pPr>
        <w:pStyle w:val="zG03"/>
        <w:numPr>
          <w:ilvl w:val="0"/>
          <w:numId w:val="0"/>
        </w:numPr>
        <w:ind w:left="259"/>
        <w:rPr>
          <w:w w:val="0"/>
        </w:rPr>
      </w:pPr>
      <w:bookmarkStart w:name="_DV_C1394" w:id="470"/>
      <w:bookmarkEnd w:id="455"/>
      <w:r>
        <w:rPr>
          <w:w w:val="0"/>
        </w:rPr>
        <w:t>If the Monthly Fuel Adjustment for operation on Fuel Oil is positive, GPC will pay Seller the amount of the Monthly Fuel Adjustment for operation on Fuel Oil. If the Monthly Fuel Adjustment for operation on Fuel Oil is negative, the Seller must pay GPC the absolute value amount of the Monthly Fuel Adjustment for operation on Fuel Oil.</w:t>
      </w:r>
      <w:bookmarkEnd w:id="470"/>
    </w:p>
    <w:p w:rsidRPr="003A5D86" w:rsidR="00D96326" w:rsidP="00D96326" w:rsidRDefault="00D96326" w14:paraId="5EAFA922" w14:textId="77777777">
      <w:pPr>
        <w:pStyle w:val="zG02"/>
        <w:rPr>
          <w:rFonts w:eastAsia="MS Mincho"/>
          <w:b/>
          <w:caps/>
          <w:w w:val="0"/>
          <w:u w:val="single"/>
        </w:rPr>
      </w:pPr>
      <w:r>
        <w:rPr>
          <w:b/>
          <w:w w:val="0"/>
        </w:rPr>
        <w:t>Monthly Fuel Charge</w:t>
      </w:r>
      <w:r>
        <w:rPr>
          <w:rFonts w:eastAsia="MS Mincho"/>
          <w:b/>
          <w:caps/>
          <w:w w:val="0"/>
        </w:rPr>
        <w:t>.</w:t>
      </w:r>
      <w:r>
        <w:rPr>
          <w:rFonts w:eastAsia="MS Mincho"/>
          <w:b/>
          <w:caps/>
          <w:w w:val="0"/>
          <w:u w:val="single"/>
        </w:rPr>
        <w:t xml:space="preserve"> </w:t>
      </w:r>
    </w:p>
    <w:p w:rsidRPr="003A5D86" w:rsidR="00D96326" w:rsidP="00D96326" w:rsidRDefault="00D96326" w14:paraId="3B01AFC8" w14:textId="77777777">
      <w:pPr>
        <w:pStyle w:val="zG03"/>
        <w:rPr>
          <w:w w:val="0"/>
        </w:rPr>
      </w:pPr>
      <w:r>
        <w:rPr>
          <w:b/>
          <w:w w:val="0"/>
        </w:rPr>
        <w:t xml:space="preserve">Monthly Fuel Charge for operation on Natural Gas. </w:t>
      </w:r>
      <w:r>
        <w:rPr>
          <w:w w:val="0"/>
        </w:rPr>
        <w:t>If Seller delivers energy from Alternate Resources, the Monthly Fuel Charge will be determined as follows:</w:t>
      </w:r>
    </w:p>
    <w:p w:rsidRPr="003A5D86" w:rsidR="00D96326" w:rsidP="00D96326" w:rsidRDefault="00D96326" w14:paraId="4AC15DDA" w14:textId="77777777">
      <w:pPr>
        <w:tabs>
          <w:tab w:val="left" w:pos="720"/>
          <w:tab w:val="left" w:pos="1440"/>
          <w:tab w:val="left" w:pos="2160"/>
          <w:tab w:val="left" w:pos="3420"/>
        </w:tabs>
        <w:ind w:left="720"/>
        <w:rPr>
          <w:rFonts w:eastAsia="MS Mincho" w:cs="Arial"/>
          <w:w w:val="0"/>
        </w:rPr>
      </w:pPr>
    </w:p>
    <w:p w:rsidRPr="00580466" w:rsidR="00D96326" w:rsidP="00D96326" w:rsidRDefault="00D96326" w14:paraId="773A57FF" w14:textId="77777777">
      <w:pPr>
        <w:tabs>
          <w:tab w:val="left" w:pos="720"/>
          <w:tab w:val="left" w:pos="1440"/>
          <w:tab w:val="left" w:pos="2160"/>
          <w:tab w:val="left" w:pos="2880"/>
        </w:tabs>
        <w:ind w:left="3600" w:hanging="1620"/>
        <w:rPr>
          <w:rFonts w:cs="Arial"/>
          <w:w w:val="0"/>
        </w:rPr>
      </w:pPr>
      <w:r>
        <w:rPr>
          <w:rFonts w:cs="Arial"/>
          <w:w w:val="0"/>
        </w:rPr>
        <w:tab/>
      </w:r>
      <w:r>
        <w:rPr>
          <w:rFonts w:cs="Arial"/>
          <w:b/>
          <w:w w:val="0"/>
        </w:rPr>
        <w:t>MFC</w:t>
      </w:r>
      <w:r>
        <w:rPr>
          <w:rFonts w:cs="Arial"/>
          <w:b/>
          <w:vertAlign w:val="subscript"/>
        </w:rPr>
        <w:t>GAS-AR</w:t>
      </w:r>
      <w:r>
        <w:rPr>
          <w:rFonts w:cs="Arial"/>
          <w:w w:val="0"/>
        </w:rPr>
        <w:t xml:space="preserve"> = </w:t>
      </w:r>
      <w:r>
        <w:rPr>
          <w:rFonts w:cs="Arial"/>
          <w:w w:val="0"/>
        </w:rPr>
        <w:tab/>
        <w:t>å[(DGF</w:t>
      </w:r>
      <w:r>
        <w:rPr>
          <w:rFonts w:cs="Arial"/>
          <w:vertAlign w:val="subscript"/>
        </w:rPr>
        <w:t>GAS-AR</w:t>
      </w:r>
      <w:r>
        <w:rPr>
          <w:rFonts w:cs="Arial"/>
          <w:w w:val="0"/>
        </w:rPr>
        <w:t xml:space="preserve"> </w:t>
      </w:r>
      <w:r>
        <w:rPr>
          <w:rFonts w:cs="Arial"/>
          <w:i/>
          <w:w w:val="0"/>
          <w:vertAlign w:val="subscript"/>
        </w:rPr>
        <w:t>*</w:t>
      </w:r>
      <w:r>
        <w:rPr>
          <w:rFonts w:cs="Arial"/>
          <w:w w:val="0"/>
        </w:rPr>
        <w:t xml:space="preserve"> DFP</w:t>
      </w:r>
      <w:r>
        <w:rPr>
          <w:rFonts w:cs="Arial"/>
          <w:vertAlign w:val="subscript"/>
        </w:rPr>
        <w:t>GAS</w:t>
      </w:r>
      <w:r>
        <w:rPr>
          <w:rFonts w:cs="Arial"/>
          <w:w w:val="0"/>
        </w:rPr>
        <w:t xml:space="preserve">) </w:t>
      </w:r>
      <w:r>
        <w:rPr>
          <w:rFonts w:cs="Arial"/>
          <w:w w:val="0"/>
          <w:vertAlign w:val="subscript"/>
        </w:rPr>
        <w:t>DAY 1</w:t>
      </w:r>
      <w:r>
        <w:rPr>
          <w:rFonts w:cs="Arial"/>
          <w:w w:val="0"/>
        </w:rPr>
        <w:t xml:space="preserve"> … (DGF</w:t>
      </w:r>
      <w:r>
        <w:rPr>
          <w:rFonts w:cs="Arial"/>
          <w:vertAlign w:val="subscript"/>
        </w:rPr>
        <w:t>GAS-AR</w:t>
      </w:r>
      <w:r>
        <w:rPr>
          <w:rFonts w:cs="Arial"/>
          <w:w w:val="0"/>
        </w:rPr>
        <w:t xml:space="preserve"> </w:t>
      </w:r>
      <w:r>
        <w:rPr>
          <w:rFonts w:cs="Arial"/>
          <w:i/>
          <w:w w:val="0"/>
          <w:vertAlign w:val="subscript"/>
        </w:rPr>
        <w:t>*</w:t>
      </w:r>
      <w:r>
        <w:rPr>
          <w:rFonts w:cs="Arial"/>
          <w:w w:val="0"/>
        </w:rPr>
        <w:t xml:space="preserve"> DFP</w:t>
      </w:r>
      <w:r>
        <w:rPr>
          <w:rFonts w:cs="Arial"/>
          <w:vertAlign w:val="subscript"/>
        </w:rPr>
        <w:t>GAS</w:t>
      </w:r>
      <w:r>
        <w:rPr>
          <w:rFonts w:cs="Arial"/>
          <w:w w:val="0"/>
        </w:rPr>
        <w:t xml:space="preserve">) </w:t>
      </w:r>
      <w:r>
        <w:rPr>
          <w:rFonts w:cs="Arial"/>
          <w:w w:val="0"/>
          <w:vertAlign w:val="subscript"/>
        </w:rPr>
        <w:t>DAY N</w:t>
      </w:r>
      <w:r>
        <w:rPr>
          <w:rFonts w:cs="Arial"/>
          <w:w w:val="0"/>
        </w:rPr>
        <w:t>]</w:t>
      </w:r>
    </w:p>
    <w:p w:rsidRPr="00396F9B" w:rsidR="00D96326" w:rsidP="00D96326" w:rsidRDefault="00D96326" w14:paraId="144ECFBE" w14:textId="77777777">
      <w:pPr>
        <w:tabs>
          <w:tab w:val="left" w:pos="720"/>
          <w:tab w:val="left" w:pos="1440"/>
          <w:tab w:val="left" w:pos="2160"/>
          <w:tab w:val="left" w:pos="2880"/>
        </w:tabs>
        <w:ind w:left="3600" w:hanging="1620"/>
        <w:rPr>
          <w:rFonts w:cs="Arial"/>
        </w:rPr>
      </w:pPr>
    </w:p>
    <w:p w:rsidRPr="00396F9B" w:rsidR="00D96326" w:rsidP="00D96326" w:rsidRDefault="00D96326" w14:paraId="2E847A7A" w14:textId="77777777">
      <w:pPr>
        <w:ind w:left="4320" w:hanging="1440"/>
        <w:rPr>
          <w:rFonts w:eastAsia="MS Mincho" w:cs="Arial"/>
          <w:w w:val="0"/>
        </w:rPr>
      </w:pPr>
    </w:p>
    <w:p w:rsidRPr="00396F9B" w:rsidR="00D96326" w:rsidP="00D96326" w:rsidRDefault="00D96326" w14:paraId="2B5B549E" w14:textId="40C32B66">
      <w:pPr>
        <w:ind w:left="1440"/>
        <w:rPr>
          <w:rFonts w:eastAsia="MS Mincho" w:cs="Arial"/>
          <w:w w:val="0"/>
        </w:rPr>
      </w:pPr>
      <w:r>
        <w:rPr>
          <w:rFonts w:eastAsia="MS Mincho" w:cs="Arial"/>
          <w:w w:val="0"/>
        </w:rPr>
        <w:t>The Monthly Fuel Charge will be the sum of the daily fuel charges for each Gas Day or partial Gas Day in the Month when delivering from an Alternate Resource. The daily fuel charge is the product of the Daily Guaranteed Fuel in MMBtus and the corresponding Daily Fuel Price in $/MMBtu.</w:t>
      </w:r>
    </w:p>
    <w:p w:rsidRPr="00396F9B" w:rsidR="00D96326" w:rsidP="00D96326" w:rsidRDefault="00D96326" w14:paraId="69C9F103" w14:textId="77777777">
      <w:pPr>
        <w:ind w:left="1440" w:hanging="1440"/>
        <w:rPr>
          <w:rFonts w:cs="Arial"/>
        </w:rPr>
      </w:pPr>
    </w:p>
    <w:p w:rsidRPr="00396F9B" w:rsidR="00D96326" w:rsidP="00D96326" w:rsidRDefault="00D96326" w14:paraId="032FE21A" w14:textId="77777777">
      <w:pPr>
        <w:keepNext/>
        <w:ind w:left="2160"/>
        <w:rPr>
          <w:rFonts w:cs="Arial"/>
        </w:rPr>
      </w:pPr>
      <w:r>
        <w:rPr>
          <w:rFonts w:cs="Arial"/>
        </w:rPr>
        <w:t>Where:</w:t>
      </w:r>
    </w:p>
    <w:p w:rsidRPr="00580466" w:rsidR="00D96326" w:rsidP="00D96326" w:rsidRDefault="00D96326" w14:paraId="5F01A309" w14:textId="77777777">
      <w:pPr>
        <w:widowControl w:val="0"/>
        <w:adjustRightInd w:val="0"/>
        <w:spacing w:before="0" w:after="0"/>
        <w:ind w:left="2880"/>
        <w:textAlignment w:val="baseline"/>
        <w:rPr>
          <w:rFonts w:eastAsia="Times New Roman" w:cs="Arial"/>
        </w:rPr>
      </w:pPr>
    </w:p>
    <w:p w:rsidRPr="003A5D86" w:rsidR="00D96326" w:rsidP="00D96326" w:rsidRDefault="00D96326" w14:paraId="5CD874D3" w14:textId="77777777">
      <w:pPr>
        <w:ind w:left="3600" w:hanging="1440"/>
        <w:rPr>
          <w:rFonts w:cs="Arial"/>
        </w:rPr>
      </w:pPr>
      <w:r>
        <w:rPr>
          <w:rFonts w:cs="Arial"/>
          <w:b/>
        </w:rPr>
        <w:t>DGF</w:t>
      </w:r>
      <w:r>
        <w:rPr>
          <w:rFonts w:eastAsia="MS Mincho" w:cs="Arial"/>
          <w:b/>
          <w:w w:val="0"/>
          <w:vertAlign w:val="subscript"/>
        </w:rPr>
        <w:t>GAS-AR</w:t>
      </w:r>
      <w:r>
        <w:rPr>
          <w:rFonts w:eastAsia="MS Mincho" w:cs="Arial"/>
          <w:w w:val="0"/>
          <w:vertAlign w:val="subscript"/>
        </w:rPr>
        <w:t xml:space="preserve"> </w:t>
      </w:r>
      <w:r>
        <w:rPr>
          <w:rFonts w:cs="Arial"/>
        </w:rPr>
        <w:t>=</w:t>
      </w:r>
      <w:r>
        <w:rPr>
          <w:rFonts w:cs="Arial"/>
        </w:rPr>
        <w:tab/>
        <w:t xml:space="preserve">Daily Guaranteed Fuel quantity in MMBtus </w:t>
      </w:r>
      <w:r>
        <w:rPr>
          <w:rFonts w:cs="Arial"/>
          <w:color w:val="000000"/>
          <w:w w:val="0"/>
        </w:rPr>
        <w:t>for energy delivered from Alternate Resources</w:t>
      </w:r>
      <w:r>
        <w:rPr>
          <w:rFonts w:cs="Arial"/>
        </w:rPr>
        <w:t>.</w:t>
      </w:r>
    </w:p>
    <w:p w:rsidRPr="003A5D86" w:rsidR="00622481" w:rsidP="00622481" w:rsidRDefault="00622481" w14:paraId="10B17135" w14:textId="7E6064ED">
      <w:pPr>
        <w:tabs>
          <w:tab w:val="left" w:pos="2160"/>
        </w:tabs>
        <w:adjustRightInd w:val="0"/>
        <w:spacing w:before="0" w:after="0"/>
        <w:ind w:left="1440"/>
        <w:textAlignment w:val="baseline"/>
        <w:rPr>
          <w:rFonts w:eastAsia="Times New Roman" w:cs="Arial"/>
          <w:color w:val="000000"/>
          <w:w w:val="0"/>
        </w:rPr>
      </w:pPr>
      <w:r>
        <w:rPr>
          <w:rFonts w:eastAsia="Times New Roman" w:cs="Arial"/>
          <w:color w:val="000000"/>
          <w:w w:val="0"/>
        </w:rPr>
        <w:tab/>
        <w:t>DFP</w:t>
      </w:r>
      <w:r>
        <w:rPr>
          <w:rFonts w:eastAsia="Times New Roman" w:cs="Arial"/>
          <w:vertAlign w:val="subscript"/>
        </w:rPr>
        <w:t>GAS</w:t>
      </w:r>
      <w:r>
        <w:rPr>
          <w:rFonts w:eastAsia="Times New Roman" w:cs="Arial"/>
          <w:color w:val="000000"/>
          <w:w w:val="0"/>
        </w:rPr>
        <w:t xml:space="preserve"> =</w:t>
      </w:r>
      <w:r>
        <w:rPr>
          <w:rFonts w:eastAsia="Times New Roman" w:cs="Arial"/>
          <w:color w:val="000000"/>
          <w:w w:val="0"/>
        </w:rPr>
        <w:tab/>
        <w:t>Daily Fuel Price for Natural Gas in $/MMBtu.</w:t>
      </w:r>
    </w:p>
    <w:p w:rsidRPr="003A5D86" w:rsidR="00D96326" w:rsidP="00D96326" w:rsidRDefault="00D96326" w14:paraId="7706AA5A" w14:textId="77777777">
      <w:pPr>
        <w:ind w:left="3600" w:hanging="1440"/>
        <w:rPr>
          <w:rFonts w:cs="Arial"/>
        </w:rPr>
      </w:pPr>
    </w:p>
    <w:p w:rsidRPr="003A5D86" w:rsidR="00D96326" w:rsidP="00D96326" w:rsidRDefault="00D96326" w14:paraId="55C22785" w14:textId="33AEF66E">
      <w:pPr>
        <w:tabs>
          <w:tab w:val="left" w:pos="0"/>
          <w:tab w:val="left" w:pos="741"/>
          <w:tab w:val="left" w:pos="3330"/>
        </w:tabs>
        <w:ind w:left="1440" w:hanging="2181"/>
        <w:rPr>
          <w:rFonts w:cs="Arial"/>
        </w:rPr>
      </w:pPr>
      <w:r>
        <w:rPr>
          <w:rFonts w:cs="Arial"/>
        </w:rPr>
        <w:tab/>
      </w:r>
      <w:r>
        <w:rPr>
          <w:rFonts w:cs="Arial"/>
        </w:rPr>
        <w:tab/>
      </w:r>
      <w:r>
        <w:rPr>
          <w:rFonts w:cs="Arial"/>
        </w:rPr>
        <w:tab/>
        <w:t>The Daily Guaranteed Fuel (“</w:t>
      </w:r>
      <w:r>
        <w:rPr>
          <w:rFonts w:cs="Arial"/>
          <w:b/>
          <w:bCs/>
        </w:rPr>
        <w:t>DGF</w:t>
      </w:r>
      <w:r>
        <w:rPr>
          <w:rFonts w:cs="Arial"/>
        </w:rPr>
        <w:t xml:space="preserve">”) will be the sum of the Hourly MMBtus that would have been burned at the appropriate Guaranteed Heat Rate in accordance with </w:t>
      </w:r>
      <w:r>
        <w:t>Exhibit F (</w:t>
      </w:r>
      <w:r>
        <w:rPr>
          <w:i/>
          <w:iCs/>
        </w:rPr>
        <w:t>Guaranteed Heat Rates</w:t>
      </w:r>
      <w:r>
        <w:t>)</w:t>
      </w:r>
      <w:r>
        <w:rPr>
          <w:rFonts w:cs="Arial"/>
        </w:rPr>
        <w:t xml:space="preserve"> multiplied by the corresponding Hourly delivered energy in accordance with </w:t>
      </w:r>
      <w:r>
        <w:rPr>
          <w:rFonts w:cs="Arial" w:eastAsiaTheme="minorEastAsia"/>
          <w:w w:val="0"/>
          <w:kern w:val="14"/>
        </w:rPr>
        <w:t>GPC</w:t>
      </w:r>
      <w:r>
        <w:rPr>
          <w:rFonts w:cs="Arial"/>
        </w:rPr>
        <w:t>’s Schedule, excluding ramping.</w:t>
      </w:r>
    </w:p>
    <w:p w:rsidRPr="003A5D86" w:rsidR="00D96326" w:rsidP="00D96326" w:rsidRDefault="00D96326" w14:paraId="1472F7A7" w14:textId="77777777">
      <w:pPr>
        <w:tabs>
          <w:tab w:val="left" w:pos="720"/>
          <w:tab w:val="left" w:pos="1440"/>
        </w:tabs>
        <w:ind w:left="1440"/>
        <w:rPr>
          <w:rFonts w:cs="Arial"/>
        </w:rPr>
      </w:pPr>
      <w:r>
        <w:rPr>
          <w:rFonts w:cs="Arial"/>
        </w:rPr>
        <w:t>If Seller is delivering from an Alternate Resource, the following equation would apply:</w:t>
      </w:r>
    </w:p>
    <w:p w:rsidRPr="003A5D86" w:rsidR="00D96326" w:rsidP="00D96326" w:rsidRDefault="00D96326" w14:paraId="19938F72" w14:textId="77777777">
      <w:pPr>
        <w:tabs>
          <w:tab w:val="left" w:pos="720"/>
          <w:tab w:val="left" w:pos="1440"/>
          <w:tab w:val="left" w:pos="2160"/>
          <w:tab w:val="left" w:pos="2880"/>
        </w:tabs>
        <w:ind w:left="720"/>
        <w:rPr>
          <w:rFonts w:cs="Arial"/>
        </w:rPr>
      </w:pPr>
    </w:p>
    <w:p w:rsidRPr="009A252A" w:rsidR="00D96326" w:rsidP="00D96326" w:rsidRDefault="00D96326" w14:paraId="4CF2D0B8" w14:textId="77777777">
      <w:pPr>
        <w:keepNext/>
        <w:tabs>
          <w:tab w:val="left" w:pos="720"/>
          <w:tab w:val="left" w:pos="1440"/>
          <w:tab w:val="left" w:pos="2160"/>
          <w:tab w:val="left" w:pos="2880"/>
        </w:tabs>
        <w:ind w:left="1170" w:right="-1440"/>
        <w:rPr>
          <w:rFonts w:cs="Arial"/>
          <w:lang w:val="de-DE"/>
        </w:rPr>
      </w:pPr>
      <w:r>
        <w:rPr>
          <w:rFonts w:cs="Arial"/>
        </w:rPr>
        <w:lastRenderedPageBreak/>
        <w:tab/>
      </w:r>
      <w:r>
        <w:rPr>
          <w:rFonts w:cs="Arial"/>
        </w:rPr>
        <w:tab/>
      </w:r>
      <w:r>
        <w:rPr>
          <w:rFonts w:cs="Arial"/>
          <w:b/>
          <w:lang w:val="de-DE"/>
        </w:rPr>
        <w:t>DGF</w:t>
      </w:r>
      <w:r>
        <w:rPr>
          <w:rFonts w:cs="Arial"/>
          <w:b/>
          <w:vertAlign w:val="subscript"/>
          <w:lang w:val="de-DE"/>
        </w:rPr>
        <w:t>GAS-AR</w:t>
      </w:r>
      <w:r>
        <w:rPr>
          <w:rFonts w:cs="Arial"/>
          <w:lang w:val="de-DE"/>
        </w:rPr>
        <w:t xml:space="preserve"> = </w:t>
      </w:r>
      <w:r>
        <w:rPr>
          <w:rFonts w:cs="Arial"/>
          <w:lang w:val="de-DE"/>
        </w:rPr>
        <w:tab/>
        <w:t>å [(GHR</w:t>
      </w:r>
      <w:r>
        <w:rPr>
          <w:rFonts w:cs="Arial"/>
          <w:vertAlign w:val="subscript"/>
          <w:lang w:val="de-DE"/>
        </w:rPr>
        <w:t>GAS hr 1</w:t>
      </w:r>
      <w:r>
        <w:rPr>
          <w:rFonts w:cs="Arial"/>
          <w:lang w:val="de-DE"/>
        </w:rPr>
        <w:t>*SE</w:t>
      </w:r>
      <w:r>
        <w:rPr>
          <w:rFonts w:cs="Arial"/>
          <w:vertAlign w:val="subscript"/>
          <w:lang w:val="de-DE"/>
        </w:rPr>
        <w:t xml:space="preserve"> GAS-AR hr 1</w:t>
      </w:r>
      <w:r>
        <w:rPr>
          <w:rFonts w:cs="Arial"/>
          <w:lang w:val="de-DE"/>
        </w:rPr>
        <w:t>)…(GHR</w:t>
      </w:r>
      <w:r>
        <w:rPr>
          <w:rFonts w:cs="Arial"/>
          <w:vertAlign w:val="subscript"/>
          <w:lang w:val="de-DE"/>
        </w:rPr>
        <w:t>GAS hr N</w:t>
      </w:r>
      <w:r>
        <w:rPr>
          <w:rFonts w:cs="Arial"/>
          <w:lang w:val="de-DE"/>
        </w:rPr>
        <w:t>*</w:t>
      </w:r>
    </w:p>
    <w:p w:rsidRPr="009A252A" w:rsidR="00D96326" w:rsidP="00D96326" w:rsidRDefault="00D96326" w14:paraId="1A3E078D" w14:textId="77777777">
      <w:pPr>
        <w:keepNext/>
        <w:tabs>
          <w:tab w:val="left" w:pos="720"/>
          <w:tab w:val="left" w:pos="1440"/>
          <w:tab w:val="left" w:pos="2160"/>
          <w:tab w:val="left" w:pos="2880"/>
        </w:tabs>
        <w:ind w:left="1170" w:right="-1440"/>
        <w:rPr>
          <w:rFonts w:cs="Arial"/>
          <w:lang w:val="de-DE"/>
        </w:rPr>
      </w:pPr>
      <w:r>
        <w:rPr>
          <w:rFonts w:cs="Arial"/>
          <w:lang w:val="de-DE"/>
        </w:rPr>
        <w:tab/>
      </w:r>
      <w:r>
        <w:rPr>
          <w:rFonts w:cs="Arial"/>
          <w:lang w:val="de-DE"/>
        </w:rPr>
        <w:tab/>
      </w:r>
      <w:r>
        <w:rPr>
          <w:rFonts w:cs="Arial"/>
          <w:lang w:val="de-DE"/>
        </w:rPr>
        <w:tab/>
      </w:r>
      <w:r>
        <w:rPr>
          <w:rFonts w:cs="Arial"/>
          <w:lang w:val="de-DE"/>
        </w:rPr>
        <w:tab/>
        <w:t>SE</w:t>
      </w:r>
      <w:r>
        <w:rPr>
          <w:rFonts w:cs="Arial"/>
          <w:vertAlign w:val="subscript"/>
          <w:lang w:val="de-DE"/>
        </w:rPr>
        <w:t xml:space="preserve"> GAS-AR hr N</w:t>
      </w:r>
      <w:r>
        <w:rPr>
          <w:rFonts w:cs="Arial"/>
          <w:lang w:val="de-DE"/>
        </w:rPr>
        <w:t xml:space="preserve">)] </w:t>
      </w:r>
    </w:p>
    <w:p w:rsidRPr="009A252A" w:rsidR="00D96326" w:rsidP="00D96326" w:rsidRDefault="00D96326" w14:paraId="58B4647E" w14:textId="77777777">
      <w:pPr>
        <w:tabs>
          <w:tab w:val="left" w:pos="720"/>
          <w:tab w:val="left" w:pos="1440"/>
          <w:tab w:val="left" w:pos="2160"/>
        </w:tabs>
        <w:ind w:left="2160"/>
        <w:rPr>
          <w:rFonts w:cs="Arial"/>
          <w:lang w:val="de-DE"/>
        </w:rPr>
      </w:pPr>
      <w:r>
        <w:rPr>
          <w:rFonts w:cs="Arial"/>
          <w:lang w:val="de-DE"/>
        </w:rPr>
        <w:tab/>
      </w:r>
      <w:r>
        <w:rPr>
          <w:rFonts w:cs="Arial"/>
          <w:lang w:val="de-DE"/>
        </w:rPr>
        <w:tab/>
      </w:r>
      <w:r>
        <w:rPr>
          <w:rFonts w:cs="Arial"/>
          <w:lang w:val="de-DE"/>
        </w:rPr>
        <w:tab/>
      </w:r>
    </w:p>
    <w:p w:rsidRPr="003A5D86" w:rsidR="00D96326" w:rsidP="00D96326" w:rsidRDefault="00D96326" w14:paraId="1B801F6D" w14:textId="4FE95BFE">
      <w:pPr>
        <w:keepNext/>
        <w:tabs>
          <w:tab w:val="left" w:pos="720"/>
          <w:tab w:val="left" w:pos="1440"/>
          <w:tab w:val="left" w:pos="2160"/>
          <w:tab w:val="left" w:pos="2880"/>
        </w:tabs>
        <w:ind w:left="1170" w:right="-1440"/>
        <w:rPr>
          <w:rFonts w:cs="Arial"/>
        </w:rPr>
      </w:pPr>
      <w:r>
        <w:rPr>
          <w:rFonts w:cs="Arial"/>
          <w:lang w:val="de-DE"/>
        </w:rPr>
        <w:t xml:space="preserve"> </w:t>
      </w:r>
      <w:r>
        <w:rPr>
          <w:rFonts w:cs="Arial"/>
          <w:lang w:val="de-DE"/>
        </w:rPr>
        <w:tab/>
      </w:r>
      <w:r>
        <w:rPr>
          <w:rFonts w:cs="Arial"/>
        </w:rPr>
        <w:t>The Daily Fuel Price ($/MMBtu) will be determined for a given Day in a Month as follows:</w:t>
      </w:r>
    </w:p>
    <w:p w:rsidRPr="003A5D86" w:rsidR="00D96326" w:rsidP="00D96326" w:rsidRDefault="00D96326" w14:paraId="1D42506C" w14:textId="77777777">
      <w:pPr>
        <w:tabs>
          <w:tab w:val="left" w:pos="720"/>
          <w:tab w:val="left" w:pos="1440"/>
          <w:tab w:val="left" w:pos="2160"/>
        </w:tabs>
        <w:ind w:left="1440" w:hanging="1440"/>
        <w:rPr>
          <w:rFonts w:cs="Arial"/>
        </w:rPr>
      </w:pPr>
    </w:p>
    <w:p w:rsidRPr="003A5D86" w:rsidR="00D96326" w:rsidP="46CE9790" w:rsidRDefault="00D96326" w14:paraId="1413FF14" w14:textId="77777777">
      <w:pPr>
        <w:ind w:left="2880" w:hanging="1440"/>
        <w:rPr>
          <w:rFonts w:cs="Arial"/>
        </w:rPr>
      </w:pPr>
      <w:r>
        <w:rPr>
          <w:rFonts w:cs="Arial"/>
          <w:b/>
        </w:rPr>
        <w:t>DFP</w:t>
      </w:r>
      <w:r>
        <w:rPr>
          <w:rFonts w:cs="Arial"/>
          <w:b/>
          <w:vertAlign w:val="subscript"/>
        </w:rPr>
        <w:t>GAS-AR</w:t>
      </w:r>
      <w:r>
        <w:rPr>
          <w:rFonts w:cs="Arial"/>
        </w:rPr>
        <w:t xml:space="preserve"> =  </w:t>
      </w:r>
      <w:r>
        <w:tab/>
      </w:r>
    </w:p>
    <w:p w:rsidRPr="003A5D86" w:rsidR="00D96326" w:rsidP="00D96326" w:rsidRDefault="00D96326" w14:paraId="5E2D4C73" w14:textId="77777777">
      <w:pPr>
        <w:rPr>
          <w:rFonts w:cs="Arial"/>
        </w:rPr>
      </w:pPr>
      <w:r>
        <w:rPr>
          <w:rFonts w:cs="Arial"/>
        </w:rPr>
        <w:tab/>
      </w:r>
      <w:r>
        <w:rPr>
          <w:rFonts w:cs="Arial"/>
        </w:rPr>
        <w:tab/>
      </w:r>
      <w:r>
        <w:rPr>
          <w:rFonts w:cs="Arial"/>
        </w:rPr>
        <w:tab/>
      </w:r>
    </w:p>
    <w:p w:rsidRPr="003A5D86" w:rsidR="00D96326" w:rsidP="00D96326" w:rsidRDefault="00D96326" w14:paraId="0ADABBBC" w14:textId="62BB792A">
      <w:pPr>
        <w:tabs>
          <w:tab w:val="left" w:pos="720"/>
          <w:tab w:val="left" w:pos="1440"/>
          <w:tab w:val="left" w:pos="2160"/>
          <w:tab w:val="left" w:pos="2880"/>
        </w:tabs>
        <w:ind w:left="2880" w:hanging="2880"/>
        <w:rPr>
          <w:rFonts w:cs="Arial"/>
          <w:b/>
        </w:rPr>
      </w:pPr>
      <w:r>
        <w:rPr>
          <w:rFonts w:cs="Arial"/>
        </w:rPr>
        <w:tab/>
      </w:r>
      <w:r>
        <w:rPr>
          <w:rFonts w:cs="Arial"/>
        </w:rPr>
        <w:tab/>
      </w:r>
      <w:r>
        <w:rPr>
          <w:rFonts w:cs="Arial"/>
        </w:rPr>
        <w:tab/>
      </w:r>
      <w:r>
        <w:rPr>
          <w:rFonts w:cs="Arial"/>
        </w:rPr>
        <w:tab/>
        <w:t xml:space="preserve">The Gas Day’s “Gas Daily” midpoint price for its Daily Price Survey for </w:t>
      </w:r>
      <w:r>
        <w:rPr>
          <w:rFonts w:cs="Arial"/>
          <w:highlight w:val="yellow"/>
        </w:rPr>
        <w:t>[(e.g., Louisiana - Onshore South, Sonat)]</w:t>
      </w:r>
      <w:r>
        <w:rPr>
          <w:rFonts w:cs="Arial"/>
        </w:rPr>
        <w:t xml:space="preserve"> </w:t>
      </w:r>
      <w:r>
        <w:rPr>
          <w:rFonts w:cs="Arial"/>
          <w:b/>
        </w:rPr>
        <w:t xml:space="preserve">   </w:t>
      </w:r>
    </w:p>
    <w:p w:rsidRPr="003A5D86" w:rsidR="00D96326" w:rsidP="00D96326" w:rsidRDefault="00D96326" w14:paraId="0460DA9E" w14:textId="77777777">
      <w:pPr>
        <w:tabs>
          <w:tab w:val="left" w:pos="720"/>
          <w:tab w:val="left" w:pos="1440"/>
          <w:tab w:val="left" w:pos="2160"/>
          <w:tab w:val="left" w:pos="2880"/>
        </w:tabs>
        <w:ind w:left="2880" w:hanging="2880"/>
        <w:rPr>
          <w:rFonts w:cs="Arial"/>
        </w:rPr>
      </w:pPr>
      <w:r>
        <w:rPr>
          <w:rFonts w:cs="Arial"/>
        </w:rPr>
        <w:tab/>
      </w:r>
      <w:r>
        <w:rPr>
          <w:rFonts w:cs="Arial"/>
        </w:rPr>
        <w:tab/>
        <w:t xml:space="preserve"> </w:t>
      </w:r>
    </w:p>
    <w:p w:rsidRPr="003A5D86" w:rsidR="00D96326" w:rsidP="00D96326" w:rsidRDefault="00D96326" w14:paraId="12AF7F2C" w14:textId="5BAF6918">
      <w:pPr>
        <w:pStyle w:val="zG03"/>
      </w:pPr>
      <w:r>
        <w:tab/>
      </w:r>
      <w:r>
        <w:rPr>
          <w:b/>
        </w:rPr>
        <w:t>Monthly Fuel Charge for operation on Fuel Oil.</w:t>
      </w:r>
      <w:r>
        <w:rPr>
          <w:b/>
          <w:bCs/>
        </w:rPr>
        <w:t xml:space="preserve"> </w:t>
      </w:r>
      <w:r>
        <w:rPr>
          <w:rFonts w:eastAsia="MS Mincho"/>
          <w:w w:val="0"/>
        </w:rPr>
        <w:t xml:space="preserve">If Seller delivers energy from an Alternate Resource in an Hour for which </w:t>
      </w:r>
      <w:r>
        <w:rPr>
          <w:w w:val="0"/>
        </w:rPr>
        <w:t>GPC</w:t>
      </w:r>
      <w:r>
        <w:rPr>
          <w:rFonts w:eastAsia="MS Mincho"/>
          <w:w w:val="0"/>
        </w:rPr>
        <w:t xml:space="preserve"> Schedules the Unit</w:t>
      </w:r>
      <w:r w:rsidR="002A79F4">
        <w:rPr>
          <w:rFonts w:eastAsia="MS Mincho"/>
          <w:w w:val="0"/>
        </w:rPr>
        <w:t>(s)</w:t>
      </w:r>
      <w:r>
        <w:rPr>
          <w:rFonts w:eastAsia="MS Mincho"/>
          <w:w w:val="0"/>
        </w:rPr>
        <w:t xml:space="preserve"> on Fuel Oil, the </w:t>
      </w:r>
      <w:r>
        <w:rPr>
          <w:rFonts w:eastAsia="MS Mincho"/>
          <w:b/>
          <w:bCs/>
          <w:w w:val="0"/>
        </w:rPr>
        <w:t>MFC</w:t>
      </w:r>
      <w:r>
        <w:rPr>
          <w:rFonts w:eastAsia="MS Mincho"/>
          <w:b/>
          <w:bCs/>
          <w:w w:val="0"/>
          <w:vertAlign w:val="subscript"/>
        </w:rPr>
        <w:t>OIL-AR</w:t>
      </w:r>
      <w:r>
        <w:rPr>
          <w:rFonts w:eastAsia="MS Mincho"/>
          <w:w w:val="0"/>
        </w:rPr>
        <w:t xml:space="preserve"> will be determined as follows:</w:t>
      </w:r>
    </w:p>
    <w:p w:rsidRPr="003A5D86" w:rsidR="00D96326" w:rsidP="00D96326" w:rsidRDefault="00D96326" w14:paraId="71AE6F0F" w14:textId="77777777">
      <w:pPr>
        <w:tabs>
          <w:tab w:val="left" w:pos="720"/>
          <w:tab w:val="left" w:pos="1440"/>
          <w:tab w:val="left" w:pos="2160"/>
          <w:tab w:val="left" w:pos="2880"/>
        </w:tabs>
        <w:ind w:left="720"/>
        <w:rPr>
          <w:rFonts w:cs="Arial"/>
        </w:rPr>
      </w:pPr>
    </w:p>
    <w:p w:rsidRPr="003A5D86" w:rsidR="00D96326" w:rsidP="00D96326" w:rsidRDefault="00D96326" w14:paraId="4BE77581" w14:textId="77777777">
      <w:pPr>
        <w:ind w:left="1440" w:firstLine="720"/>
        <w:rPr>
          <w:rFonts w:eastAsia="MS Mincho" w:cs="Arial"/>
          <w:w w:val="0"/>
        </w:rPr>
      </w:pPr>
      <w:bookmarkStart w:name="_DV_C1184" w:id="471"/>
      <w:r>
        <w:rPr>
          <w:rFonts w:eastAsia="MS Mincho" w:cs="Arial"/>
          <w:b/>
          <w:w w:val="0"/>
        </w:rPr>
        <w:t>MFC</w:t>
      </w:r>
      <w:r>
        <w:rPr>
          <w:rFonts w:eastAsia="MS Mincho" w:cs="Arial"/>
          <w:b/>
          <w:w w:val="0"/>
          <w:vertAlign w:val="subscript"/>
        </w:rPr>
        <w:t>OIL-AR</w:t>
      </w:r>
      <w:r>
        <w:rPr>
          <w:rFonts w:eastAsia="MS Mincho" w:cs="Arial"/>
          <w:b/>
          <w:w w:val="0"/>
        </w:rPr>
        <w:t xml:space="preserve"> </w:t>
      </w:r>
      <w:r>
        <w:rPr>
          <w:rFonts w:eastAsia="MS Mincho" w:cs="Arial"/>
          <w:w w:val="0"/>
        </w:rPr>
        <w:t>= å[(</w:t>
      </w:r>
      <w:bookmarkStart w:name="_DV_C1186" w:id="472"/>
      <w:bookmarkEnd w:id="471"/>
      <w:r>
        <w:rPr>
          <w:rFonts w:eastAsia="MS Mincho" w:cs="Arial"/>
          <w:w w:val="0"/>
        </w:rPr>
        <w:t>DGF</w:t>
      </w:r>
      <w:r>
        <w:rPr>
          <w:rFonts w:eastAsia="MS Mincho" w:cs="Arial"/>
          <w:w w:val="0"/>
          <w:vertAlign w:val="subscript"/>
        </w:rPr>
        <w:t>OIL-AR</w:t>
      </w:r>
      <w:r>
        <w:rPr>
          <w:rFonts w:eastAsia="MS Mincho" w:cs="Arial"/>
          <w:w w:val="0"/>
        </w:rPr>
        <w:t>* FRP</w:t>
      </w:r>
      <w:r>
        <w:rPr>
          <w:rFonts w:eastAsia="MS Mincho" w:cs="Arial"/>
          <w:w w:val="0"/>
          <w:vertAlign w:val="subscript"/>
        </w:rPr>
        <w:t>OIL</w:t>
      </w:r>
      <w:r>
        <w:rPr>
          <w:rFonts w:eastAsia="MS Mincho" w:cs="Arial"/>
          <w:w w:val="0"/>
        </w:rPr>
        <w:t>)</w:t>
      </w:r>
      <w:r>
        <w:rPr>
          <w:rFonts w:eastAsia="MS Mincho" w:cs="Arial"/>
          <w:w w:val="0"/>
          <w:vertAlign w:val="subscript"/>
        </w:rPr>
        <w:t>DAY1</w:t>
      </w:r>
      <w:r>
        <w:rPr>
          <w:rFonts w:eastAsia="MS Mincho" w:cs="Arial"/>
          <w:w w:val="0"/>
        </w:rPr>
        <w:t>…(DGF</w:t>
      </w:r>
      <w:r>
        <w:rPr>
          <w:rFonts w:eastAsia="MS Mincho" w:cs="Arial"/>
          <w:w w:val="0"/>
          <w:vertAlign w:val="subscript"/>
        </w:rPr>
        <w:t>OIL-AR</w:t>
      </w:r>
      <w:r>
        <w:rPr>
          <w:rFonts w:eastAsia="MS Mincho" w:cs="Arial"/>
          <w:w w:val="0"/>
        </w:rPr>
        <w:t>* FRP</w:t>
      </w:r>
      <w:r>
        <w:rPr>
          <w:rFonts w:eastAsia="MS Mincho" w:cs="Arial"/>
          <w:w w:val="0"/>
          <w:vertAlign w:val="subscript"/>
        </w:rPr>
        <w:t>OIL</w:t>
      </w:r>
      <w:r>
        <w:rPr>
          <w:rFonts w:eastAsia="MS Mincho" w:cs="Arial"/>
          <w:w w:val="0"/>
        </w:rPr>
        <w:t>)</w:t>
      </w:r>
      <w:r>
        <w:rPr>
          <w:rFonts w:eastAsia="MS Mincho" w:cs="Arial"/>
          <w:w w:val="0"/>
          <w:vertAlign w:val="subscript"/>
        </w:rPr>
        <w:t>DAYN</w:t>
      </w:r>
      <w:r>
        <w:rPr>
          <w:rFonts w:eastAsia="MS Mincho" w:cs="Arial"/>
          <w:w w:val="0"/>
        </w:rPr>
        <w:t>]</w:t>
      </w:r>
      <w:bookmarkEnd w:id="472"/>
    </w:p>
    <w:p w:rsidRPr="003A5D86" w:rsidR="00D96326" w:rsidP="00D96326" w:rsidRDefault="00D96326" w14:paraId="0993B4CD" w14:textId="77777777">
      <w:pPr>
        <w:tabs>
          <w:tab w:val="left" w:pos="720"/>
          <w:tab w:val="left" w:pos="1440"/>
          <w:tab w:val="left" w:pos="2160"/>
          <w:tab w:val="left" w:pos="3420"/>
        </w:tabs>
        <w:ind w:left="1440"/>
        <w:rPr>
          <w:rFonts w:eastAsia="MS Mincho" w:cs="Arial"/>
          <w:w w:val="0"/>
        </w:rPr>
      </w:pPr>
    </w:p>
    <w:p w:rsidRPr="003A5D86" w:rsidR="00D96326" w:rsidP="00D96326" w:rsidRDefault="00D96326" w14:paraId="028BD546" w14:textId="77777777">
      <w:pPr>
        <w:ind w:left="1440"/>
        <w:rPr>
          <w:rFonts w:eastAsia="MS Mincho" w:cs="Arial"/>
          <w:w w:val="0"/>
        </w:rPr>
      </w:pPr>
      <w:bookmarkStart w:name="_DV_C1187" w:id="473"/>
    </w:p>
    <w:p w:rsidRPr="003A5D86" w:rsidR="00D96326" w:rsidP="00D96326" w:rsidRDefault="00D96326" w14:paraId="498185C4" w14:textId="710987CF">
      <w:pPr>
        <w:ind w:left="1440"/>
        <w:rPr>
          <w:rFonts w:eastAsia="MS Mincho" w:cs="Arial"/>
          <w:w w:val="0"/>
        </w:rPr>
      </w:pPr>
      <w:r>
        <w:rPr>
          <w:rFonts w:eastAsia="MS Mincho" w:cs="Arial"/>
          <w:w w:val="0"/>
        </w:rPr>
        <w:t>The MFC</w:t>
      </w:r>
      <w:r>
        <w:rPr>
          <w:rFonts w:eastAsia="MS Mincho" w:cs="Arial"/>
          <w:w w:val="0"/>
          <w:vertAlign w:val="subscript"/>
        </w:rPr>
        <w:t>OIL</w:t>
      </w:r>
      <w:r>
        <w:rPr>
          <w:rFonts w:eastAsia="MS Mincho" w:cs="Arial"/>
          <w:w w:val="0"/>
        </w:rPr>
        <w:t xml:space="preserve"> will be the sum of the daily fuel charges for each Day or </w:t>
      </w:r>
      <w:proofErr w:type="gramStart"/>
      <w:r>
        <w:rPr>
          <w:rFonts w:eastAsia="MS Mincho" w:cs="Arial"/>
          <w:w w:val="0"/>
        </w:rPr>
        <w:t>partial</w:t>
      </w:r>
      <w:proofErr w:type="gramEnd"/>
      <w:r>
        <w:rPr>
          <w:rFonts w:eastAsia="MS Mincho" w:cs="Arial"/>
          <w:w w:val="0"/>
        </w:rPr>
        <w:t xml:space="preserve"> Day in the Month when delivering from an Alternate Resource. The daily fuel charge is the product of: (</w:t>
      </w:r>
      <w:proofErr w:type="spellStart"/>
      <w:r>
        <w:rPr>
          <w:rFonts w:eastAsia="MS Mincho" w:cs="Arial"/>
          <w:w w:val="0"/>
        </w:rPr>
        <w:t>i</w:t>
      </w:r>
      <w:proofErr w:type="spellEnd"/>
      <w:r>
        <w:rPr>
          <w:rFonts w:eastAsia="MS Mincho" w:cs="Arial"/>
          <w:w w:val="0"/>
        </w:rPr>
        <w:t xml:space="preserve">) the Daily Guaranteed Fuel in MMBtus; </w:t>
      </w:r>
      <w:r>
        <w:rPr>
          <w:rFonts w:eastAsia="MS Mincho" w:cs="Arial"/>
          <w:b/>
          <w:bCs/>
          <w:i/>
          <w:iCs/>
          <w:w w:val="0"/>
        </w:rPr>
        <w:t>times</w:t>
      </w:r>
      <w:r>
        <w:rPr>
          <w:rFonts w:eastAsia="MS Mincho" w:cs="Arial"/>
          <w:w w:val="0"/>
        </w:rPr>
        <w:t xml:space="preserve"> (ii) the corresponding Daily Fuel Oil Replacement Price in $/MMBtu.</w:t>
      </w:r>
      <w:bookmarkEnd w:id="473"/>
    </w:p>
    <w:p w:rsidRPr="003A5D86" w:rsidR="00D96326" w:rsidP="00D96326" w:rsidRDefault="00D96326" w14:paraId="08F597E9" w14:textId="77777777">
      <w:pPr>
        <w:ind w:left="1440"/>
        <w:rPr>
          <w:rFonts w:eastAsia="MS Mincho" w:cs="Arial"/>
          <w:w w:val="0"/>
        </w:rPr>
      </w:pPr>
    </w:p>
    <w:p w:rsidRPr="003A5D86" w:rsidR="00D96326" w:rsidP="00D96326" w:rsidRDefault="00D96326" w14:paraId="50D178BF" w14:textId="77777777">
      <w:pPr>
        <w:tabs>
          <w:tab w:val="left" w:pos="720"/>
          <w:tab w:val="left" w:pos="1440"/>
          <w:tab w:val="left" w:pos="2160"/>
          <w:tab w:val="left" w:pos="2880"/>
        </w:tabs>
        <w:ind w:left="720"/>
        <w:rPr>
          <w:rFonts w:cs="Arial"/>
        </w:rPr>
      </w:pPr>
      <w:r>
        <w:rPr>
          <w:rFonts w:cs="Arial"/>
        </w:rPr>
        <w:tab/>
        <w:t>Where:</w:t>
      </w:r>
    </w:p>
    <w:p w:rsidRPr="003A5D86" w:rsidR="00D96326" w:rsidP="00D96326" w:rsidRDefault="00D96326" w14:paraId="0F120C95" w14:textId="77777777">
      <w:pPr>
        <w:tabs>
          <w:tab w:val="left" w:pos="720"/>
          <w:tab w:val="left" w:pos="1440"/>
          <w:tab w:val="left" w:pos="2160"/>
          <w:tab w:val="left" w:pos="2880"/>
        </w:tabs>
        <w:ind w:left="720"/>
        <w:rPr>
          <w:rFonts w:cs="Arial"/>
        </w:rPr>
      </w:pPr>
    </w:p>
    <w:p w:rsidRPr="003A5D86" w:rsidR="00D96326" w:rsidP="00D96326" w:rsidRDefault="00D96326" w14:paraId="427977C3" w14:textId="77777777">
      <w:pPr>
        <w:ind w:left="3600" w:hanging="1440"/>
        <w:rPr>
          <w:rFonts w:cs="Arial"/>
        </w:rPr>
      </w:pPr>
      <w:r>
        <w:rPr>
          <w:rFonts w:cs="Arial"/>
          <w:b/>
        </w:rPr>
        <w:t>DGF</w:t>
      </w:r>
      <w:r>
        <w:rPr>
          <w:rFonts w:cs="Arial"/>
          <w:b/>
          <w:vertAlign w:val="subscript"/>
        </w:rPr>
        <w:t>OIL-AR</w:t>
      </w:r>
      <w:r>
        <w:rPr>
          <w:rFonts w:cs="Arial"/>
        </w:rPr>
        <w:t xml:space="preserve"> =</w:t>
      </w:r>
      <w:r>
        <w:rPr>
          <w:rFonts w:cs="Arial"/>
        </w:rPr>
        <w:tab/>
        <w:t>The Daily Guaranteed Fuel quantity in MMBtu</w:t>
      </w:r>
      <w:r>
        <w:rPr>
          <w:rFonts w:cs="Arial"/>
          <w:w w:val="0"/>
        </w:rPr>
        <w:t xml:space="preserve"> for energy delivered from Alternate Resources</w:t>
      </w:r>
      <w:r>
        <w:rPr>
          <w:rFonts w:cs="Arial"/>
        </w:rPr>
        <w:t>.</w:t>
      </w:r>
    </w:p>
    <w:p w:rsidRPr="003A5D86" w:rsidR="00D96326" w:rsidP="00D96326" w:rsidRDefault="00D96326" w14:paraId="48F44031" w14:textId="7EB8831C">
      <w:pPr>
        <w:tabs>
          <w:tab w:val="left" w:pos="720"/>
          <w:tab w:val="left" w:pos="1440"/>
          <w:tab w:val="left" w:pos="2160"/>
          <w:tab w:val="left" w:pos="2880"/>
        </w:tabs>
        <w:ind w:left="3600" w:hanging="2880"/>
        <w:rPr>
          <w:rFonts w:cs="Arial"/>
        </w:rPr>
      </w:pPr>
      <w:r>
        <w:rPr>
          <w:rFonts w:cs="Arial"/>
        </w:rPr>
        <w:tab/>
      </w:r>
      <w:r>
        <w:rPr>
          <w:rFonts w:cs="Arial"/>
        </w:rPr>
        <w:tab/>
      </w:r>
      <w:bookmarkStart w:name="_DV_C1196" w:id="474"/>
      <w:r>
        <w:rPr>
          <w:rFonts w:eastAsia="MS Mincho" w:cs="Arial"/>
          <w:b/>
          <w:w w:val="0"/>
        </w:rPr>
        <w:t>FRP</w:t>
      </w:r>
      <w:r>
        <w:rPr>
          <w:rFonts w:eastAsia="MS Mincho" w:cs="Arial"/>
          <w:b/>
          <w:w w:val="0"/>
          <w:vertAlign w:val="subscript"/>
        </w:rPr>
        <w:t>OIL</w:t>
      </w:r>
      <w:r>
        <w:rPr>
          <w:rFonts w:eastAsia="MS Mincho" w:cs="Arial"/>
          <w:w w:val="0"/>
        </w:rPr>
        <w:t xml:space="preserve"> =</w:t>
      </w:r>
      <w:r>
        <w:rPr>
          <w:rFonts w:eastAsia="MS Mincho" w:cs="Arial"/>
          <w:w w:val="0"/>
        </w:rPr>
        <w:tab/>
        <w:t>Daily Fuel Oil Replacement Price in $/MMBtu</w:t>
      </w:r>
      <w:bookmarkEnd w:id="474"/>
      <w:r>
        <w:rPr>
          <w:rFonts w:eastAsia="MS Mincho" w:cs="Arial"/>
          <w:w w:val="0"/>
        </w:rPr>
        <w:t xml:space="preserve">. </w:t>
      </w:r>
      <w:r>
        <w:rPr>
          <w:rFonts w:cs="Arial"/>
        </w:rPr>
        <w:t>Defined as the Daily Fuel Oil Replacement Price in $/Gal multiplied by a factor of 7.21 Gal/MMBtu.</w:t>
      </w:r>
    </w:p>
    <w:p w:rsidRPr="003A5D86" w:rsidR="00D96326" w:rsidP="00D96326" w:rsidRDefault="00D96326" w14:paraId="5D4F7529" w14:textId="77777777">
      <w:pPr>
        <w:tabs>
          <w:tab w:val="left" w:pos="720"/>
          <w:tab w:val="left" w:pos="1440"/>
          <w:tab w:val="left" w:pos="2160"/>
          <w:tab w:val="left" w:pos="2880"/>
        </w:tabs>
        <w:ind w:left="3600" w:hanging="2880"/>
        <w:rPr>
          <w:rFonts w:cs="Arial"/>
        </w:rPr>
      </w:pPr>
    </w:p>
    <w:p w:rsidRPr="003A5D86" w:rsidR="00D96326" w:rsidP="00D96326" w:rsidRDefault="00D96326" w14:paraId="4C4E8C2C" w14:textId="4AE51032">
      <w:pPr>
        <w:tabs>
          <w:tab w:val="left" w:pos="720"/>
          <w:tab w:val="left" w:pos="1440"/>
          <w:tab w:val="left" w:pos="2160"/>
          <w:tab w:val="left" w:pos="2880"/>
        </w:tabs>
        <w:ind w:left="720"/>
        <w:rPr>
          <w:rFonts w:cs="Arial"/>
        </w:rPr>
      </w:pPr>
      <w:r>
        <w:rPr>
          <w:rFonts w:cs="Arial"/>
        </w:rPr>
        <w:t xml:space="preserve">The Daily Guaranteed Fuel </w:t>
      </w:r>
      <w:bookmarkStart w:name="_DV_C1199" w:id="475"/>
      <w:r>
        <w:rPr>
          <w:rFonts w:eastAsia="MS Mincho" w:cs="Arial"/>
          <w:w w:val="0"/>
        </w:rPr>
        <w:t>(“</w:t>
      </w:r>
      <w:r>
        <w:rPr>
          <w:rFonts w:eastAsia="MS Mincho" w:cs="Arial"/>
          <w:b/>
          <w:bCs/>
          <w:w w:val="0"/>
        </w:rPr>
        <w:t>DGF</w:t>
      </w:r>
      <w:r>
        <w:rPr>
          <w:rFonts w:eastAsia="MS Mincho" w:cs="Arial"/>
          <w:w w:val="0"/>
        </w:rPr>
        <w:t xml:space="preserve">”) will be the sum of the Hourly MMBtus that would have been burned at the appropriate Guaranteed Heat Rate in accordance with </w:t>
      </w:r>
      <w:bookmarkEnd w:id="475"/>
      <w:r>
        <w:t>Exhibit F (</w:t>
      </w:r>
      <w:r>
        <w:rPr>
          <w:i/>
          <w:iCs/>
        </w:rPr>
        <w:t>Guaranteed Heat Rates</w:t>
      </w:r>
      <w:r>
        <w:t>)</w:t>
      </w:r>
      <w:r>
        <w:rPr>
          <w:rFonts w:cs="Arial"/>
        </w:rPr>
        <w:t xml:space="preserve"> multiplied by the corresponding Hourly delivered energy, Seller in accordance with </w:t>
      </w:r>
      <w:r>
        <w:rPr>
          <w:rFonts w:cs="Arial" w:eastAsiaTheme="minorEastAsia"/>
          <w:w w:val="0"/>
          <w:kern w:val="14"/>
        </w:rPr>
        <w:t>GPC</w:t>
      </w:r>
      <w:r>
        <w:rPr>
          <w:rFonts w:cs="Arial"/>
        </w:rPr>
        <w:t>’s Schedule, excluding ramping.</w:t>
      </w:r>
    </w:p>
    <w:p w:rsidRPr="003A5D86" w:rsidR="00D96326" w:rsidP="00D96326" w:rsidRDefault="00D96326" w14:paraId="7C644B7F" w14:textId="77777777">
      <w:pPr>
        <w:tabs>
          <w:tab w:val="left" w:pos="720"/>
          <w:tab w:val="left" w:pos="1440"/>
          <w:tab w:val="left" w:pos="2160"/>
          <w:tab w:val="left" w:pos="2880"/>
        </w:tabs>
        <w:ind w:left="720"/>
        <w:rPr>
          <w:rFonts w:cs="Arial"/>
        </w:rPr>
      </w:pPr>
    </w:p>
    <w:p w:rsidRPr="003A5D86" w:rsidR="00D96326" w:rsidP="005E60ED" w:rsidRDefault="005E60ED" w14:paraId="2EB14D56" w14:textId="5605C20A">
      <w:pPr>
        <w:tabs>
          <w:tab w:val="left" w:pos="720"/>
          <w:tab w:val="left" w:pos="1440"/>
        </w:tabs>
        <w:rPr>
          <w:rFonts w:cs="Arial"/>
        </w:rPr>
      </w:pPr>
      <w:r>
        <w:rPr>
          <w:rFonts w:cs="Arial"/>
        </w:rPr>
        <w:tab/>
        <w:t>If Seller is delivering from an Alternate Resource, the following equation would apply:</w:t>
      </w:r>
    </w:p>
    <w:p w:rsidRPr="003A5D86" w:rsidR="00D96326" w:rsidP="00D96326" w:rsidRDefault="00D96326" w14:paraId="62F09C01" w14:textId="77777777">
      <w:pPr>
        <w:tabs>
          <w:tab w:val="left" w:pos="720"/>
          <w:tab w:val="left" w:pos="1440"/>
          <w:tab w:val="left" w:pos="2160"/>
          <w:tab w:val="left" w:pos="2880"/>
        </w:tabs>
        <w:ind w:left="720"/>
        <w:rPr>
          <w:rFonts w:cs="Arial"/>
        </w:rPr>
      </w:pPr>
    </w:p>
    <w:p w:rsidRPr="003A5D86" w:rsidR="00D96326" w:rsidP="00D96326" w:rsidRDefault="00D96326" w14:paraId="439DC24E" w14:textId="77777777">
      <w:pPr>
        <w:keepNext/>
        <w:tabs>
          <w:tab w:val="left" w:pos="720"/>
          <w:tab w:val="left" w:pos="1440"/>
          <w:tab w:val="left" w:pos="2160"/>
          <w:tab w:val="left" w:pos="2880"/>
        </w:tabs>
        <w:ind w:left="1170" w:right="-1440"/>
        <w:rPr>
          <w:rFonts w:cs="Arial"/>
        </w:rPr>
      </w:pPr>
      <w:r>
        <w:rPr>
          <w:rFonts w:cs="Arial"/>
        </w:rPr>
        <w:tab/>
      </w:r>
      <w:r>
        <w:rPr>
          <w:rFonts w:cs="Arial"/>
        </w:rPr>
        <w:tab/>
      </w:r>
      <w:r>
        <w:rPr>
          <w:rFonts w:cs="Arial"/>
          <w:b/>
        </w:rPr>
        <w:t>DGF</w:t>
      </w:r>
      <w:r>
        <w:rPr>
          <w:rFonts w:cs="Arial"/>
          <w:b/>
          <w:vertAlign w:val="subscript"/>
        </w:rPr>
        <w:t>OIL-AR</w:t>
      </w:r>
      <w:r>
        <w:rPr>
          <w:rFonts w:cs="Arial"/>
          <w:b/>
        </w:rPr>
        <w:t xml:space="preserve"> </w:t>
      </w:r>
      <w:r>
        <w:rPr>
          <w:rFonts w:cs="Arial"/>
        </w:rPr>
        <w:t xml:space="preserve">= </w:t>
      </w:r>
      <w:r>
        <w:rPr>
          <w:rFonts w:cs="Arial"/>
        </w:rPr>
        <w:tab/>
        <w:t>å [(GHR</w:t>
      </w:r>
      <w:r>
        <w:rPr>
          <w:rFonts w:cs="Arial"/>
          <w:vertAlign w:val="subscript"/>
        </w:rPr>
        <w:t xml:space="preserve">OIL </w:t>
      </w:r>
      <w:proofErr w:type="spellStart"/>
      <w:r>
        <w:rPr>
          <w:rFonts w:cs="Arial"/>
          <w:vertAlign w:val="subscript"/>
        </w:rPr>
        <w:t>hr</w:t>
      </w:r>
      <w:proofErr w:type="spellEnd"/>
      <w:r>
        <w:rPr>
          <w:rFonts w:cs="Arial"/>
          <w:vertAlign w:val="subscript"/>
        </w:rPr>
        <w:t xml:space="preserve"> 1</w:t>
      </w:r>
      <w:r>
        <w:rPr>
          <w:rFonts w:cs="Arial"/>
        </w:rPr>
        <w:t>*SE</w:t>
      </w:r>
      <w:r>
        <w:rPr>
          <w:rFonts w:eastAsia="MS Mincho" w:cs="Arial"/>
          <w:w w:val="0"/>
          <w:vertAlign w:val="subscript"/>
        </w:rPr>
        <w:t>OIL-</w:t>
      </w:r>
      <w:r>
        <w:rPr>
          <w:rFonts w:cs="Arial"/>
          <w:vertAlign w:val="subscript"/>
        </w:rPr>
        <w:t xml:space="preserve">AR </w:t>
      </w:r>
      <w:proofErr w:type="spellStart"/>
      <w:r>
        <w:rPr>
          <w:rFonts w:cs="Arial"/>
          <w:vertAlign w:val="subscript"/>
        </w:rPr>
        <w:t>hr</w:t>
      </w:r>
      <w:proofErr w:type="spellEnd"/>
      <w:r>
        <w:rPr>
          <w:rFonts w:cs="Arial"/>
          <w:vertAlign w:val="subscript"/>
        </w:rPr>
        <w:t xml:space="preserve"> 1</w:t>
      </w:r>
      <w:r>
        <w:rPr>
          <w:rFonts w:cs="Arial"/>
        </w:rPr>
        <w:t>)…(GHR</w:t>
      </w:r>
      <w:r>
        <w:rPr>
          <w:rFonts w:cs="Arial"/>
          <w:vertAlign w:val="subscript"/>
        </w:rPr>
        <w:t xml:space="preserve">OIL </w:t>
      </w:r>
      <w:proofErr w:type="spellStart"/>
      <w:r>
        <w:rPr>
          <w:rFonts w:cs="Arial"/>
          <w:vertAlign w:val="subscript"/>
        </w:rPr>
        <w:t>hr</w:t>
      </w:r>
      <w:proofErr w:type="spellEnd"/>
      <w:r>
        <w:rPr>
          <w:rFonts w:cs="Arial"/>
          <w:vertAlign w:val="subscript"/>
        </w:rPr>
        <w:t xml:space="preserve"> N</w:t>
      </w:r>
      <w:r>
        <w:rPr>
          <w:rFonts w:cs="Arial"/>
        </w:rPr>
        <w:t>*</w:t>
      </w:r>
    </w:p>
    <w:p w:rsidRPr="00580466" w:rsidR="00D96326" w:rsidP="00D96326" w:rsidRDefault="00D96326" w14:paraId="1634126A" w14:textId="77777777">
      <w:pPr>
        <w:keepNext/>
        <w:tabs>
          <w:tab w:val="left" w:pos="720"/>
          <w:tab w:val="left" w:pos="1440"/>
          <w:tab w:val="left" w:pos="2160"/>
          <w:tab w:val="left" w:pos="2880"/>
        </w:tabs>
        <w:ind w:left="1170" w:right="-1440"/>
        <w:rPr>
          <w:rFonts w:cs="Arial"/>
        </w:rPr>
      </w:pPr>
      <w:r>
        <w:rPr>
          <w:rFonts w:cs="Arial"/>
        </w:rPr>
        <w:tab/>
      </w:r>
      <w:r>
        <w:rPr>
          <w:rFonts w:cs="Arial"/>
        </w:rPr>
        <w:tab/>
      </w:r>
      <w:r>
        <w:rPr>
          <w:rFonts w:cs="Arial"/>
        </w:rPr>
        <w:tab/>
      </w:r>
      <w:r>
        <w:rPr>
          <w:rFonts w:cs="Arial"/>
        </w:rPr>
        <w:tab/>
        <w:t>SE</w:t>
      </w:r>
      <w:r>
        <w:rPr>
          <w:rFonts w:eastAsia="MS Mincho" w:cs="Arial"/>
          <w:w w:val="0"/>
          <w:vertAlign w:val="subscript"/>
        </w:rPr>
        <w:t>OIL-</w:t>
      </w:r>
      <w:r>
        <w:rPr>
          <w:rFonts w:cs="Arial"/>
          <w:vertAlign w:val="subscript"/>
        </w:rPr>
        <w:t xml:space="preserve">AR </w:t>
      </w:r>
      <w:proofErr w:type="spellStart"/>
      <w:r>
        <w:rPr>
          <w:rFonts w:cs="Arial"/>
          <w:vertAlign w:val="subscript"/>
        </w:rPr>
        <w:t>hr</w:t>
      </w:r>
      <w:proofErr w:type="spellEnd"/>
      <w:r>
        <w:rPr>
          <w:rFonts w:cs="Arial"/>
          <w:vertAlign w:val="subscript"/>
        </w:rPr>
        <w:t xml:space="preserve"> N</w:t>
      </w:r>
      <w:r>
        <w:rPr>
          <w:rFonts w:cs="Arial"/>
        </w:rPr>
        <w:t xml:space="preserve">)] </w:t>
      </w:r>
      <w:r>
        <w:rPr>
          <w:rFonts w:cs="Arial"/>
        </w:rPr>
        <w:tab/>
      </w:r>
    </w:p>
    <w:p w:rsidRPr="007D17F4" w:rsidR="00D96326" w:rsidP="007D17F4" w:rsidRDefault="00D96326" w14:paraId="682EFF01" w14:textId="09A57B44">
      <w:pPr>
        <w:tabs>
          <w:tab w:val="left" w:pos="-1800"/>
          <w:tab w:val="left" w:pos="0"/>
        </w:tabs>
        <w:ind w:left="2880" w:hanging="1440"/>
        <w:rPr>
          <w:rFonts w:eastAsia="MS Mincho" w:cs="Arial"/>
          <w:w w:val="0"/>
          <w:sz w:val="24"/>
        </w:rPr>
      </w:pPr>
      <w:r>
        <w:rPr>
          <w:rFonts w:cs="Arial"/>
        </w:rPr>
        <w:tab/>
      </w:r>
      <w:r>
        <w:rPr>
          <w:rFonts w:eastAsia="Times New Roman" w:cs="Arial"/>
        </w:rPr>
        <w:tab/>
      </w:r>
    </w:p>
    <w:p w:rsidRPr="00F10071" w:rsidR="00D96326" w:rsidP="00D96326" w:rsidRDefault="00D96326" w14:paraId="6DF9AA8C" w14:textId="77777777">
      <w:pPr>
        <w:suppressAutoHyphens/>
        <w:adjustRightInd w:val="0"/>
        <w:spacing w:before="0" w:after="240"/>
        <w:ind w:left="720"/>
        <w:textAlignment w:val="baseline"/>
        <w:rPr>
          <w:rFonts w:eastAsia="Times New Roman" w:cs="Arial"/>
        </w:rPr>
        <w:sectPr w:rsidRPr="00F10071" w:rsidR="00D96326" w:rsidSect="006B1C54">
          <w:headerReference w:type="default" r:id="rId36"/>
          <w:footerReference w:type="default" r:id="rId37"/>
          <w:pgSz w:w="12240" w:h="15840" w:code="1"/>
          <w:pgMar w:top="1440" w:right="1440" w:bottom="1440" w:left="1440" w:header="720" w:footer="720" w:gutter="0"/>
          <w:paperSrc w:first="15" w:other="15"/>
          <w:cols w:space="1440"/>
        </w:sectPr>
      </w:pPr>
    </w:p>
    <w:p w:rsidRPr="00F10071" w:rsidR="00D96326" w:rsidP="00D96326" w:rsidRDefault="00D96326" w14:paraId="1E109DE5" w14:textId="42059DB3">
      <w:pPr>
        <w:pStyle w:val="zGTitleExhibit"/>
        <w:rPr>
          <w:rFonts w:cs="Arial"/>
        </w:rPr>
      </w:pPr>
      <w:bookmarkStart w:name="_Toc212475777" w:id="476"/>
      <w:bookmarkStart w:name="_Toc227838474" w:id="477"/>
      <w:r>
        <w:rPr>
          <w:rFonts w:cs="Arial"/>
        </w:rPr>
        <w:lastRenderedPageBreak/>
        <w:t>Exhibit D – Technical Limits and Schedule Procedures</w:t>
      </w:r>
      <w:bookmarkEnd w:id="476"/>
      <w:bookmarkEnd w:id="477"/>
      <w:r>
        <w:rPr>
          <w:rFonts w:cs="Arial"/>
          <w:b w:val="0"/>
        </w:rPr>
        <w:t xml:space="preserve"> </w:t>
      </w:r>
    </w:p>
    <w:p w:rsidR="00D96326" w:rsidP="00D96326" w:rsidRDefault="00D96326" w14:paraId="7E86165B" w14:textId="1B9C43BE">
      <w:pPr>
        <w:adjustRightInd w:val="0"/>
        <w:spacing w:before="0" w:after="240"/>
        <w:textAlignment w:val="baseline"/>
        <w:rPr>
          <w:rFonts w:eastAsia="Times New Roman" w:cs="Arial"/>
          <w:b/>
          <w:iCs/>
        </w:rPr>
      </w:pPr>
      <w:r>
        <w:rPr>
          <w:rFonts w:eastAsia="Times New Roman" w:cs="Arial"/>
          <w:b/>
          <w:iCs/>
          <w:highlight w:val="cyan"/>
        </w:rPr>
        <w:t>[</w:t>
      </w:r>
      <w:r>
        <w:rPr>
          <w:b/>
          <w:bCs/>
          <w:i/>
          <w:iCs/>
          <w:highlight w:val="cyan"/>
          <w:u w:val="single"/>
        </w:rPr>
        <w:t>Note to Bidders</w:t>
      </w:r>
      <w:r>
        <w:rPr>
          <w:rFonts w:eastAsia="Times New Roman" w:cs="Arial"/>
          <w:b/>
          <w:i/>
          <w:iCs/>
          <w:highlight w:val="cyan"/>
        </w:rPr>
        <w:t>: The following is based on one manufacturer’s recommendations. To the extent that bidders are proposing technology from another manufacturer, bidder should propose values consistent with such other manufacturer’s recommendations.</w:t>
      </w:r>
      <w:r>
        <w:rPr>
          <w:rFonts w:eastAsia="Times New Roman" w:cs="Arial"/>
          <w:b/>
          <w:iCs/>
          <w:highlight w:val="cyan"/>
        </w:rPr>
        <w:t>]</w:t>
      </w:r>
    </w:p>
    <w:p w:rsidRPr="00527929" w:rsidR="00D96326" w:rsidP="00D96326" w:rsidRDefault="00D96326" w14:paraId="79149BCA" w14:textId="7881AFE5">
      <w:pPr>
        <w:adjustRightInd w:val="0"/>
        <w:spacing w:before="0" w:after="240"/>
        <w:textAlignment w:val="baseline"/>
        <w:rPr>
          <w:rFonts w:eastAsia="Times New Roman" w:cs="Arial"/>
          <w:bCs/>
          <w:iCs/>
        </w:rPr>
      </w:pPr>
      <w:r>
        <w:rPr>
          <w:rFonts w:eastAsia="Times New Roman" w:cs="Arial"/>
          <w:bCs/>
          <w:iCs/>
        </w:rPr>
        <w:t xml:space="preserve">The following Technical Limits and Schedule </w:t>
      </w:r>
      <w:r w:rsidR="00DD1C95">
        <w:rPr>
          <w:rFonts w:eastAsia="Times New Roman" w:cs="Arial"/>
          <w:bCs/>
          <w:iCs/>
        </w:rPr>
        <w:t xml:space="preserve">procedures </w:t>
      </w:r>
      <w:r>
        <w:rPr>
          <w:rFonts w:eastAsia="Times New Roman" w:cs="Arial"/>
          <w:bCs/>
          <w:iCs/>
        </w:rPr>
        <w:t xml:space="preserve">apply to the operation of both Natural Gas and Fuel Oil. </w:t>
      </w:r>
    </w:p>
    <w:p w:rsidRPr="003A5D86" w:rsidR="00D96326" w:rsidP="00E62CF6" w:rsidRDefault="00D96326" w14:paraId="26A9829B" w14:textId="77777777">
      <w:pPr>
        <w:pStyle w:val="zG01"/>
        <w:numPr>
          <w:ilvl w:val="0"/>
          <w:numId w:val="24"/>
        </w:numPr>
      </w:pPr>
      <w:r>
        <w:t>Technical Limits</w:t>
      </w:r>
    </w:p>
    <w:p w:rsidRPr="003A5D86" w:rsidR="00D96326" w:rsidP="00D96326" w:rsidRDefault="00D96326" w14:paraId="50042F47" w14:textId="6035B48A">
      <w:pPr>
        <w:pStyle w:val="zG02"/>
      </w:pPr>
      <w:r>
        <w:t>General Requirements. Subject to the Technical Limits set forth in Sections 1.2 (</w:t>
      </w:r>
      <w:r>
        <w:rPr>
          <w:i/>
          <w:iCs/>
        </w:rPr>
        <w:t>Minimum Capacity Limits / Net Output)</w:t>
      </w:r>
      <w:r>
        <w:t>, 1.3 (</w:t>
      </w:r>
      <w:r>
        <w:rPr>
          <w:i/>
          <w:iCs/>
        </w:rPr>
        <w:t>Maximum Ramp Rate</w:t>
      </w:r>
      <w:r>
        <w:t>), 1.4 (</w:t>
      </w:r>
      <w:r>
        <w:rPr>
          <w:i/>
          <w:iCs/>
        </w:rPr>
        <w:t>Minimum Schedule and Minimum Down Times</w:t>
      </w:r>
      <w:r>
        <w:t>), 1.5 (</w:t>
      </w:r>
      <w:r>
        <w:rPr>
          <w:i/>
          <w:iCs/>
        </w:rPr>
        <w:t>Starts</w:t>
      </w:r>
      <w:r>
        <w:t>), and 1.6 (</w:t>
      </w:r>
      <w:r>
        <w:rPr>
          <w:i/>
          <w:iCs/>
        </w:rPr>
        <w:t>Required Startup Notification</w:t>
      </w:r>
      <w:r>
        <w:t xml:space="preserve">), the </w:t>
      </w:r>
      <w:r w:rsidR="002A79F4">
        <w:t xml:space="preserve">Facility </w:t>
      </w:r>
      <w:r>
        <w:t>must be capable of meeting GPC’s Schedules at all times during the Term following the Delivery Commencement Date, twenty-four Hours per Day, seven Days per week. Seller may propose modifications or changes to the Technical Limits based on specifications and recommendations, as may be modified during the Term, of the equipment manufacturers of the CT and CT generator, so long as: (</w:t>
      </w:r>
      <w:proofErr w:type="spellStart"/>
      <w:r>
        <w:t>i</w:t>
      </w:r>
      <w:proofErr w:type="spellEnd"/>
      <w:r>
        <w:t xml:space="preserve">) any modifications or changes that in GPC’s sole judgment may adversely affect GPC’s Scheduling flexibility (including without limitation, magnitude, duration and response time) under this PPA will be subject to the prior written approval of GPC’s Operating Representative; and (ii) in the event such changes limit GPC’s Scheduling flexibility more than the limits as set forth in this Exhibit D, Seller must make commercially reasonable efforts to minimize the effect of any equipment manufacturer’s specifications or recommendations on Seller’s ability to deliver energy in response to GPC’s Schedules. The Parties will develop procedures for the testing contemplated in this Exhibit D, but reasonable demonstration of the capabilities from prior testing or operation may be used instead. </w:t>
      </w:r>
    </w:p>
    <w:p w:rsidRPr="008A1CF0" w:rsidR="00D96326" w:rsidP="00D96326" w:rsidRDefault="00D96326" w14:paraId="4B968EC2" w14:textId="0D2262CA">
      <w:pPr>
        <w:pStyle w:val="zG02"/>
        <w:rPr>
          <w:b/>
        </w:rPr>
      </w:pPr>
      <w:r>
        <w:rPr>
          <w:b/>
          <w:bCs/>
        </w:rPr>
        <w:t>Minimum Capacity Limits / Net Output.</w:t>
      </w:r>
      <w:r>
        <w:t xml:space="preserve"> Minimum output level will be established at the Minimum Capacity. Each Unit is estimated to have a Minimum Capacity of approximately #MinimumCapacityValue MW, subject to emissions limitations and ambient conditions.</w:t>
      </w:r>
    </w:p>
    <w:p w:rsidRPr="008A1CF0" w:rsidR="00D96326" w:rsidP="00D96326" w:rsidRDefault="00D96326" w14:paraId="69EF8BC1" w14:textId="04A3DD79">
      <w:pPr>
        <w:pStyle w:val="zG02"/>
      </w:pPr>
      <w:r>
        <w:rPr>
          <w:b/>
          <w:bCs/>
        </w:rPr>
        <w:t>Maximum Ramp Rate.</w:t>
      </w:r>
      <w:r>
        <w:t xml:space="preserve"> The Maximum Ramp Rate will be 12 MW per minute per Unit from minimum load to maximum load. </w:t>
      </w:r>
    </w:p>
    <w:p w:rsidRPr="008A1CF0" w:rsidR="00D96326" w:rsidP="00D96326" w:rsidRDefault="00D96326" w14:paraId="6A089BCC" w14:textId="50CBA44D">
      <w:pPr>
        <w:pStyle w:val="zG02"/>
      </w:pPr>
      <w:r>
        <w:rPr>
          <w:b/>
          <w:bCs/>
        </w:rPr>
        <w:t>Minimum Schedule and Minimum Down Times.</w:t>
      </w:r>
      <w:r>
        <w:t xml:space="preserve"> The minimum Schedule time for the Base Operating Mode two consecutive Hours. Start-up and ramping will be accomplished before the Scheduled Hours. The minimum down is four Hours.</w:t>
      </w:r>
    </w:p>
    <w:p w:rsidRPr="008A1CF0" w:rsidR="00D96326" w:rsidP="00D96326" w:rsidRDefault="00D96326" w14:paraId="674DCC08" w14:textId="7C25B22C">
      <w:pPr>
        <w:pStyle w:val="zG02"/>
      </w:pPr>
      <w:r>
        <w:rPr>
          <w:b/>
          <w:bCs/>
        </w:rPr>
        <w:t>Starts.</w:t>
      </w:r>
      <w:r>
        <w:t xml:space="preserve"> The maximum number of </w:t>
      </w:r>
      <w:proofErr w:type="gramStart"/>
      <w:r>
        <w:t>turbine</w:t>
      </w:r>
      <w:proofErr w:type="gramEnd"/>
      <w:r>
        <w:t xml:space="preserve"> starts is one start per turbine per Day, except that GPC has the right to start one turbine (and HRSG) twice a Day not to exceed a total of 30 Days per Annual Period.  </w:t>
      </w:r>
    </w:p>
    <w:p w:rsidRPr="008A1CF0" w:rsidR="00D96326" w:rsidP="00D96326" w:rsidRDefault="00D96326" w14:paraId="2E993077" w14:textId="77777777">
      <w:pPr>
        <w:pStyle w:val="zG02"/>
      </w:pPr>
      <w:r>
        <w:rPr>
          <w:b/>
          <w:bCs/>
        </w:rPr>
        <w:t>Required Startup Notification.</w:t>
      </w:r>
      <w:r>
        <w:t xml:space="preserve"> Plant start times are as specified in the following table:</w:t>
      </w:r>
    </w:p>
    <w:p w:rsidRPr="00F10071" w:rsidR="00D96326" w:rsidP="00D96326" w:rsidRDefault="00D96326" w14:paraId="45E50BBD" w14:textId="77777777">
      <w:pPr>
        <w:adjustRightInd w:val="0"/>
        <w:spacing w:before="0" w:after="0"/>
        <w:textAlignment w:val="baseline"/>
        <w:rPr>
          <w:rFonts w:eastAsia="Times New Roman" w:cs="Arial"/>
        </w:rPr>
      </w:pPr>
    </w:p>
    <w:tbl>
      <w:tblPr>
        <w:tblW w:w="0" w:type="auto"/>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335"/>
        <w:gridCol w:w="2161"/>
        <w:gridCol w:w="1861"/>
      </w:tblGrid>
      <w:tr w:rsidRPr="00F10071" w:rsidR="00D96326" w14:paraId="44218437" w14:textId="77777777">
        <w:tc>
          <w:tcPr>
            <w:tcW w:w="6357" w:type="dxa"/>
            <w:gridSpan w:val="3"/>
            <w:shd w:val="clear" w:color="auto" w:fill="D9D9D9" w:themeFill="background1" w:themeFillShade="D9"/>
          </w:tcPr>
          <w:p w:rsidRPr="00E37DA1" w:rsidR="00D96326" w:rsidRDefault="00D96326" w14:paraId="7F002893" w14:textId="77777777">
            <w:pPr>
              <w:adjustRightInd w:val="0"/>
              <w:spacing w:before="0" w:after="0"/>
              <w:jc w:val="center"/>
              <w:textAlignment w:val="baseline"/>
              <w:rPr>
                <w:rFonts w:eastAsia="Times New Roman" w:cs="Arial"/>
                <w:b/>
                <w:bCs/>
              </w:rPr>
            </w:pPr>
            <w:r>
              <w:rPr>
                <w:rFonts w:eastAsia="Times New Roman" w:cs="Arial"/>
                <w:b/>
                <w:bCs/>
              </w:rPr>
              <w:t>Plant Start Times</w:t>
            </w:r>
          </w:p>
        </w:tc>
      </w:tr>
      <w:tr w:rsidRPr="00F10071" w:rsidR="00D96326" w14:paraId="1E1B18A3" w14:textId="77777777">
        <w:tc>
          <w:tcPr>
            <w:tcW w:w="2335" w:type="dxa"/>
            <w:shd w:val="clear" w:color="auto" w:fill="F2F2F2" w:themeFill="background1" w:themeFillShade="F2"/>
          </w:tcPr>
          <w:p w:rsidRPr="00E37DA1" w:rsidR="00D96326" w:rsidRDefault="00D96326" w14:paraId="54DA12B6" w14:textId="77777777">
            <w:pPr>
              <w:adjustRightInd w:val="0"/>
              <w:spacing w:before="0" w:after="0"/>
              <w:textAlignment w:val="baseline"/>
              <w:rPr>
                <w:rFonts w:eastAsia="Times New Roman" w:cs="Arial"/>
                <w:b/>
                <w:bCs/>
              </w:rPr>
            </w:pPr>
            <w:r>
              <w:rPr>
                <w:rFonts w:eastAsia="Times New Roman" w:cs="Arial"/>
                <w:b/>
                <w:bCs/>
              </w:rPr>
              <w:t>Start Classification</w:t>
            </w:r>
          </w:p>
          <w:p w:rsidRPr="00E37DA1" w:rsidR="00D96326" w:rsidRDefault="00D96326" w14:paraId="4D0CBD10" w14:textId="77777777">
            <w:pPr>
              <w:adjustRightInd w:val="0"/>
              <w:spacing w:before="0" w:after="0"/>
              <w:textAlignment w:val="baseline"/>
              <w:rPr>
                <w:rFonts w:eastAsia="Times New Roman" w:cs="Arial"/>
                <w:b/>
                <w:bCs/>
              </w:rPr>
            </w:pPr>
            <w:r>
              <w:rPr>
                <w:rFonts w:eastAsia="Times New Roman" w:cs="Arial"/>
                <w:b/>
                <w:bCs/>
              </w:rPr>
              <w:t>(Off-line Hours)</w:t>
            </w:r>
          </w:p>
        </w:tc>
        <w:tc>
          <w:tcPr>
            <w:tcW w:w="2161" w:type="dxa"/>
            <w:shd w:val="clear" w:color="auto" w:fill="F2F2F2" w:themeFill="background1" w:themeFillShade="F2"/>
          </w:tcPr>
          <w:p w:rsidRPr="00E37DA1" w:rsidR="00D96326" w:rsidRDefault="00D96326" w14:paraId="7CBDECB2" w14:textId="77777777">
            <w:pPr>
              <w:adjustRightInd w:val="0"/>
              <w:spacing w:before="0" w:after="0"/>
              <w:jc w:val="center"/>
              <w:textAlignment w:val="baseline"/>
              <w:rPr>
                <w:rFonts w:eastAsia="Times New Roman" w:cs="Arial"/>
                <w:b/>
                <w:bCs/>
              </w:rPr>
            </w:pPr>
            <w:r>
              <w:rPr>
                <w:rFonts w:eastAsia="Times New Roman" w:cs="Arial"/>
                <w:b/>
                <w:bCs/>
              </w:rPr>
              <w:t>Start Time to Minimum (1)</w:t>
            </w:r>
          </w:p>
          <w:p w:rsidRPr="00E37DA1" w:rsidR="00D96326" w:rsidRDefault="00D96326" w14:paraId="1D2E595C" w14:textId="2F6B0C45">
            <w:pPr>
              <w:adjustRightInd w:val="0"/>
              <w:spacing w:before="0" w:after="0"/>
              <w:jc w:val="center"/>
              <w:textAlignment w:val="baseline"/>
              <w:rPr>
                <w:rFonts w:eastAsia="Times New Roman" w:cs="Arial"/>
                <w:b/>
                <w:bCs/>
              </w:rPr>
            </w:pPr>
            <w:r>
              <w:rPr>
                <w:rFonts w:eastAsia="Times New Roman" w:cs="Arial"/>
                <w:b/>
                <w:bCs/>
              </w:rPr>
              <w:t>(Hours)</w:t>
            </w:r>
          </w:p>
        </w:tc>
        <w:tc>
          <w:tcPr>
            <w:tcW w:w="1861" w:type="dxa"/>
            <w:shd w:val="clear" w:color="auto" w:fill="F2F2F2" w:themeFill="background1" w:themeFillShade="F2"/>
          </w:tcPr>
          <w:p w:rsidRPr="00E37DA1" w:rsidR="00D96326" w:rsidRDefault="00D96326" w14:paraId="1626D918" w14:textId="77777777">
            <w:pPr>
              <w:adjustRightInd w:val="0"/>
              <w:spacing w:before="0" w:after="0"/>
              <w:jc w:val="center"/>
              <w:textAlignment w:val="baseline"/>
              <w:rPr>
                <w:rFonts w:eastAsia="Times New Roman" w:cs="Arial"/>
                <w:b/>
                <w:bCs/>
              </w:rPr>
            </w:pPr>
            <w:r>
              <w:rPr>
                <w:rFonts w:eastAsia="Times New Roman" w:cs="Arial"/>
                <w:b/>
                <w:bCs/>
              </w:rPr>
              <w:t>Start Time to</w:t>
            </w:r>
          </w:p>
          <w:p w:rsidRPr="00E37DA1" w:rsidR="00D96326" w:rsidRDefault="00D96326" w14:paraId="6B6329CF" w14:textId="77777777">
            <w:pPr>
              <w:adjustRightInd w:val="0"/>
              <w:spacing w:before="0" w:after="0"/>
              <w:jc w:val="center"/>
              <w:textAlignment w:val="baseline"/>
              <w:rPr>
                <w:rFonts w:eastAsia="Times New Roman" w:cs="Arial"/>
                <w:b/>
                <w:bCs/>
              </w:rPr>
            </w:pPr>
            <w:r>
              <w:rPr>
                <w:rFonts w:eastAsia="Times New Roman" w:cs="Arial"/>
                <w:b/>
                <w:bCs/>
              </w:rPr>
              <w:t>Full Load (1)</w:t>
            </w:r>
          </w:p>
          <w:p w:rsidRPr="00E37DA1" w:rsidR="00D96326" w:rsidRDefault="00D96326" w14:paraId="5647DDF6" w14:textId="38C274EE">
            <w:pPr>
              <w:adjustRightInd w:val="0"/>
              <w:spacing w:before="0" w:after="0"/>
              <w:jc w:val="center"/>
              <w:textAlignment w:val="baseline"/>
              <w:rPr>
                <w:rFonts w:eastAsia="Times New Roman" w:cs="Arial"/>
                <w:b/>
                <w:bCs/>
              </w:rPr>
            </w:pPr>
            <w:r>
              <w:rPr>
                <w:rFonts w:eastAsia="Times New Roman" w:cs="Arial"/>
                <w:b/>
                <w:bCs/>
              </w:rPr>
              <w:t>(Hours)</w:t>
            </w:r>
          </w:p>
        </w:tc>
      </w:tr>
      <w:tr w:rsidRPr="00F10071" w:rsidR="00D96326" w14:paraId="5BC14592" w14:textId="77777777">
        <w:tc>
          <w:tcPr>
            <w:tcW w:w="2335" w:type="dxa"/>
            <w:vAlign w:val="center"/>
          </w:tcPr>
          <w:p w:rsidRPr="00E37DA1" w:rsidR="00D96326" w:rsidRDefault="00D96326" w14:paraId="108CD8C5" w14:textId="77777777">
            <w:pPr>
              <w:adjustRightInd w:val="0"/>
              <w:spacing w:before="0" w:after="0"/>
              <w:textAlignment w:val="baseline"/>
              <w:rPr>
                <w:rFonts w:eastAsia="Times New Roman" w:cs="Arial"/>
                <w:b/>
                <w:bCs/>
              </w:rPr>
            </w:pPr>
            <w:r>
              <w:rPr>
                <w:rFonts w:eastAsia="Times New Roman" w:cs="Arial"/>
                <w:b/>
                <w:bCs/>
              </w:rPr>
              <w:t>Hot</w:t>
            </w:r>
          </w:p>
          <w:p w:rsidRPr="00E37DA1" w:rsidR="00D96326" w:rsidRDefault="00D96326" w14:paraId="0664AFD9" w14:textId="170C9B57">
            <w:pPr>
              <w:adjustRightInd w:val="0"/>
              <w:spacing w:before="0" w:after="0"/>
              <w:textAlignment w:val="baseline"/>
              <w:rPr>
                <w:rFonts w:eastAsia="Times New Roman" w:cs="Arial"/>
                <w:b/>
                <w:bCs/>
              </w:rPr>
            </w:pPr>
            <w:r>
              <w:rPr>
                <w:rFonts w:eastAsia="Times New Roman" w:cs="Arial"/>
                <w:b/>
                <w:bCs/>
              </w:rPr>
              <w:t>(&lt; 8 Hours)</w:t>
            </w:r>
          </w:p>
        </w:tc>
        <w:tc>
          <w:tcPr>
            <w:tcW w:w="2161" w:type="dxa"/>
            <w:vAlign w:val="center"/>
          </w:tcPr>
          <w:p w:rsidRPr="00F10071" w:rsidR="00D96326" w:rsidRDefault="001A4157" w14:paraId="5FBAC6BC" w14:textId="59B01A04">
            <w:pPr>
              <w:adjustRightInd w:val="0"/>
              <w:spacing w:before="0" w:after="0"/>
              <w:jc w:val="center"/>
              <w:textAlignment w:val="baseline"/>
              <w:rPr>
                <w:rFonts w:eastAsia="Times New Roman" w:cs="Arial"/>
              </w:rPr>
            </w:pPr>
            <w:r>
              <w:rPr>
                <w:rFonts w:eastAsia="Times New Roman" w:cs="Arial"/>
                <w:highlight w:val="yellow"/>
              </w:rPr>
              <w:t>#Value</w:t>
            </w:r>
          </w:p>
        </w:tc>
        <w:tc>
          <w:tcPr>
            <w:tcW w:w="1861" w:type="dxa"/>
            <w:vAlign w:val="center"/>
          </w:tcPr>
          <w:p w:rsidRPr="00F10071" w:rsidR="00D96326" w:rsidRDefault="00016799" w14:paraId="1B670F43" w14:textId="53E2FB3F">
            <w:pPr>
              <w:adjustRightInd w:val="0"/>
              <w:spacing w:before="0" w:after="0"/>
              <w:jc w:val="center"/>
              <w:textAlignment w:val="baseline"/>
              <w:rPr>
                <w:rFonts w:eastAsia="Times New Roman" w:cs="Arial"/>
              </w:rPr>
            </w:pPr>
            <w:r>
              <w:rPr>
                <w:rFonts w:eastAsia="Times New Roman" w:cs="Arial"/>
                <w:highlight w:val="yellow"/>
              </w:rPr>
              <w:t>#Value</w:t>
            </w:r>
          </w:p>
        </w:tc>
      </w:tr>
      <w:tr w:rsidRPr="00F10071" w:rsidR="00D96326" w14:paraId="44C40794" w14:textId="77777777">
        <w:tc>
          <w:tcPr>
            <w:tcW w:w="2335" w:type="dxa"/>
            <w:vAlign w:val="center"/>
          </w:tcPr>
          <w:p w:rsidRPr="00E37DA1" w:rsidR="00D96326" w:rsidRDefault="00D96326" w14:paraId="2096CFC7" w14:textId="77777777">
            <w:pPr>
              <w:adjustRightInd w:val="0"/>
              <w:spacing w:before="0" w:after="0"/>
              <w:textAlignment w:val="baseline"/>
              <w:rPr>
                <w:rFonts w:eastAsia="Times New Roman" w:cs="Arial"/>
                <w:b/>
                <w:bCs/>
              </w:rPr>
            </w:pPr>
            <w:r>
              <w:rPr>
                <w:rFonts w:eastAsia="Times New Roman" w:cs="Arial"/>
                <w:b/>
                <w:bCs/>
              </w:rPr>
              <w:t>Warm</w:t>
            </w:r>
          </w:p>
          <w:p w:rsidRPr="00E37DA1" w:rsidR="00D96326" w:rsidRDefault="00D96326" w14:paraId="54ADC1AF" w14:textId="45CD7A07">
            <w:pPr>
              <w:adjustRightInd w:val="0"/>
              <w:spacing w:before="0" w:after="0"/>
              <w:textAlignment w:val="baseline"/>
              <w:rPr>
                <w:rFonts w:eastAsia="Times New Roman" w:cs="Arial"/>
                <w:b/>
                <w:bCs/>
              </w:rPr>
            </w:pPr>
            <w:r>
              <w:rPr>
                <w:rFonts w:eastAsia="Times New Roman" w:cs="Arial"/>
                <w:b/>
                <w:bCs/>
              </w:rPr>
              <w:t>(8 &lt; Hours &lt; 48)</w:t>
            </w:r>
          </w:p>
        </w:tc>
        <w:tc>
          <w:tcPr>
            <w:tcW w:w="2161" w:type="dxa"/>
            <w:vAlign w:val="center"/>
          </w:tcPr>
          <w:p w:rsidRPr="00F10071" w:rsidR="00D96326" w:rsidRDefault="00016799" w14:paraId="28EC3FDA" w14:textId="76CF25B9">
            <w:pPr>
              <w:adjustRightInd w:val="0"/>
              <w:spacing w:before="0" w:after="0"/>
              <w:jc w:val="center"/>
              <w:textAlignment w:val="baseline"/>
              <w:rPr>
                <w:rFonts w:eastAsia="Times New Roman" w:cs="Arial"/>
              </w:rPr>
            </w:pPr>
            <w:r>
              <w:rPr>
                <w:rFonts w:eastAsia="Times New Roman" w:cs="Arial"/>
                <w:highlight w:val="yellow"/>
              </w:rPr>
              <w:t>#Value</w:t>
            </w:r>
          </w:p>
        </w:tc>
        <w:tc>
          <w:tcPr>
            <w:tcW w:w="1861" w:type="dxa"/>
            <w:vAlign w:val="center"/>
          </w:tcPr>
          <w:p w:rsidRPr="00F10071" w:rsidR="00D96326" w:rsidRDefault="00016799" w14:paraId="0A5A498B" w14:textId="03E7197B">
            <w:pPr>
              <w:adjustRightInd w:val="0"/>
              <w:spacing w:before="0" w:after="0"/>
              <w:jc w:val="center"/>
              <w:textAlignment w:val="baseline"/>
              <w:rPr>
                <w:rFonts w:eastAsia="Times New Roman" w:cs="Arial"/>
              </w:rPr>
            </w:pPr>
            <w:r>
              <w:rPr>
                <w:rFonts w:eastAsia="Times New Roman" w:cs="Arial"/>
                <w:highlight w:val="yellow"/>
              </w:rPr>
              <w:t>#Value</w:t>
            </w:r>
          </w:p>
        </w:tc>
      </w:tr>
      <w:tr w:rsidRPr="00F10071" w:rsidR="00D96326" w14:paraId="2DDE0243" w14:textId="77777777">
        <w:tc>
          <w:tcPr>
            <w:tcW w:w="2335" w:type="dxa"/>
            <w:vAlign w:val="center"/>
          </w:tcPr>
          <w:p w:rsidRPr="00E37DA1" w:rsidR="00D96326" w:rsidRDefault="00D96326" w14:paraId="2F638771" w14:textId="77777777">
            <w:pPr>
              <w:adjustRightInd w:val="0"/>
              <w:spacing w:before="0" w:after="0"/>
              <w:textAlignment w:val="baseline"/>
              <w:rPr>
                <w:rFonts w:eastAsia="Times New Roman" w:cs="Arial"/>
                <w:b/>
                <w:bCs/>
              </w:rPr>
            </w:pPr>
            <w:r>
              <w:rPr>
                <w:rFonts w:eastAsia="Times New Roman" w:cs="Arial"/>
                <w:b/>
                <w:bCs/>
              </w:rPr>
              <w:t>Cold</w:t>
            </w:r>
          </w:p>
          <w:p w:rsidRPr="00E37DA1" w:rsidR="00D96326" w:rsidRDefault="00D96326" w14:paraId="184FC941" w14:textId="53C92D1E">
            <w:pPr>
              <w:adjustRightInd w:val="0"/>
              <w:spacing w:before="0" w:after="0"/>
              <w:textAlignment w:val="baseline"/>
              <w:rPr>
                <w:rFonts w:eastAsia="Times New Roman" w:cs="Arial"/>
                <w:b/>
                <w:bCs/>
              </w:rPr>
            </w:pPr>
            <w:r>
              <w:rPr>
                <w:rFonts w:eastAsia="Times New Roman" w:cs="Arial"/>
                <w:b/>
                <w:bCs/>
              </w:rPr>
              <w:t>(&gt; 48 Hours)</w:t>
            </w:r>
          </w:p>
        </w:tc>
        <w:tc>
          <w:tcPr>
            <w:tcW w:w="2161" w:type="dxa"/>
            <w:vAlign w:val="center"/>
          </w:tcPr>
          <w:p w:rsidRPr="00F10071" w:rsidR="00D96326" w:rsidRDefault="00016799" w14:paraId="47E875DD" w14:textId="67D4C2E5">
            <w:pPr>
              <w:adjustRightInd w:val="0"/>
              <w:spacing w:before="0" w:after="0"/>
              <w:jc w:val="center"/>
              <w:textAlignment w:val="baseline"/>
              <w:rPr>
                <w:rFonts w:eastAsia="Times New Roman" w:cs="Arial"/>
              </w:rPr>
            </w:pPr>
            <w:r>
              <w:rPr>
                <w:rFonts w:eastAsia="Times New Roman" w:cs="Arial"/>
                <w:highlight w:val="yellow"/>
              </w:rPr>
              <w:t>#Value</w:t>
            </w:r>
          </w:p>
        </w:tc>
        <w:tc>
          <w:tcPr>
            <w:tcW w:w="1861" w:type="dxa"/>
            <w:vAlign w:val="center"/>
          </w:tcPr>
          <w:p w:rsidRPr="00F10071" w:rsidR="00D96326" w:rsidRDefault="00016799" w14:paraId="3BFE826A" w14:textId="6845B3B7">
            <w:pPr>
              <w:adjustRightInd w:val="0"/>
              <w:spacing w:before="0" w:after="0"/>
              <w:jc w:val="center"/>
              <w:textAlignment w:val="baseline"/>
              <w:rPr>
                <w:rFonts w:eastAsia="Times New Roman" w:cs="Arial"/>
              </w:rPr>
            </w:pPr>
            <w:r>
              <w:rPr>
                <w:rFonts w:eastAsia="Times New Roman" w:cs="Arial"/>
                <w:highlight w:val="yellow"/>
              </w:rPr>
              <w:t>#Value</w:t>
            </w:r>
          </w:p>
        </w:tc>
      </w:tr>
      <w:tr w:rsidRPr="00F10071" w:rsidR="00D96326" w14:paraId="55C3EF86" w14:textId="77777777">
        <w:tc>
          <w:tcPr>
            <w:tcW w:w="2335" w:type="dxa"/>
            <w:vAlign w:val="center"/>
          </w:tcPr>
          <w:p w:rsidRPr="00E37DA1" w:rsidR="00D96326" w:rsidRDefault="00D96326" w14:paraId="39099171" w14:textId="77777777">
            <w:pPr>
              <w:adjustRightInd w:val="0"/>
              <w:spacing w:before="0" w:after="0"/>
              <w:textAlignment w:val="baseline"/>
              <w:rPr>
                <w:rFonts w:eastAsia="Times New Roman" w:cs="Arial"/>
                <w:b/>
                <w:bCs/>
              </w:rPr>
            </w:pPr>
            <w:r>
              <w:rPr>
                <w:rFonts w:eastAsia="Times New Roman" w:cs="Arial"/>
                <w:b/>
                <w:bCs/>
              </w:rPr>
              <w:t>Winter Cold (2)</w:t>
            </w:r>
          </w:p>
          <w:p w:rsidRPr="00E37DA1" w:rsidR="00D96326" w:rsidRDefault="00D96326" w14:paraId="3F1D725E" w14:textId="550C5C3B">
            <w:pPr>
              <w:adjustRightInd w:val="0"/>
              <w:spacing w:before="0" w:after="0"/>
              <w:textAlignment w:val="baseline"/>
              <w:rPr>
                <w:rFonts w:eastAsia="Times New Roman" w:cs="Arial"/>
                <w:b/>
                <w:bCs/>
              </w:rPr>
            </w:pPr>
            <w:r>
              <w:rPr>
                <w:rFonts w:eastAsia="Times New Roman" w:cs="Arial"/>
                <w:b/>
                <w:bCs/>
              </w:rPr>
              <w:t>(&gt; 48 Hours)</w:t>
            </w:r>
          </w:p>
        </w:tc>
        <w:tc>
          <w:tcPr>
            <w:tcW w:w="2161" w:type="dxa"/>
            <w:vAlign w:val="center"/>
          </w:tcPr>
          <w:p w:rsidRPr="00F10071" w:rsidR="00D96326" w:rsidRDefault="00016799" w14:paraId="67B96394" w14:textId="563B1AB9">
            <w:pPr>
              <w:adjustRightInd w:val="0"/>
              <w:spacing w:before="0" w:after="0"/>
              <w:jc w:val="center"/>
              <w:textAlignment w:val="baseline"/>
              <w:rPr>
                <w:rFonts w:eastAsia="Times New Roman" w:cs="Arial"/>
              </w:rPr>
            </w:pPr>
            <w:r>
              <w:rPr>
                <w:rFonts w:eastAsia="Times New Roman" w:cs="Arial"/>
                <w:highlight w:val="yellow"/>
              </w:rPr>
              <w:t>#Value</w:t>
            </w:r>
          </w:p>
        </w:tc>
        <w:tc>
          <w:tcPr>
            <w:tcW w:w="1861" w:type="dxa"/>
            <w:vAlign w:val="center"/>
          </w:tcPr>
          <w:p w:rsidRPr="00F10071" w:rsidR="00D96326" w:rsidRDefault="00016799" w14:paraId="4E2E0007" w14:textId="347D1C80">
            <w:pPr>
              <w:adjustRightInd w:val="0"/>
              <w:spacing w:before="0" w:after="0"/>
              <w:jc w:val="center"/>
              <w:textAlignment w:val="baseline"/>
              <w:rPr>
                <w:rFonts w:eastAsia="Times New Roman" w:cs="Arial"/>
              </w:rPr>
            </w:pPr>
            <w:r>
              <w:rPr>
                <w:rFonts w:eastAsia="Times New Roman" w:cs="Arial"/>
                <w:highlight w:val="yellow"/>
              </w:rPr>
              <w:t>#Value</w:t>
            </w:r>
          </w:p>
        </w:tc>
      </w:tr>
      <w:tr w:rsidRPr="00F10071" w:rsidR="00D96326" w14:paraId="4CDB75B9" w14:textId="77777777">
        <w:trPr>
          <w:cantSplit/>
        </w:trPr>
        <w:tc>
          <w:tcPr>
            <w:tcW w:w="6357" w:type="dxa"/>
            <w:gridSpan w:val="3"/>
            <w:vAlign w:val="center"/>
          </w:tcPr>
          <w:p w:rsidRPr="005E718C" w:rsidR="00D96326" w:rsidRDefault="00D96326" w14:paraId="58C8BF7F" w14:textId="77777777">
            <w:pPr>
              <w:adjustRightInd w:val="0"/>
              <w:spacing w:before="0" w:after="0"/>
              <w:textAlignment w:val="baseline"/>
              <w:rPr>
                <w:rFonts w:eastAsia="Times New Roman" w:cs="Arial"/>
                <w:b/>
                <w:bCs/>
                <w:u w:val="single"/>
              </w:rPr>
            </w:pPr>
            <w:r>
              <w:rPr>
                <w:rFonts w:eastAsia="Times New Roman" w:cs="Arial"/>
                <w:b/>
                <w:bCs/>
                <w:u w:val="single"/>
              </w:rPr>
              <w:lastRenderedPageBreak/>
              <w:t>Notes:</w:t>
            </w:r>
          </w:p>
          <w:p w:rsidRPr="00F10071" w:rsidR="00D96326" w:rsidRDefault="00D96326" w14:paraId="2867407B" w14:textId="075C04DA">
            <w:pPr>
              <w:adjustRightInd w:val="0"/>
              <w:spacing w:before="0" w:after="0"/>
              <w:textAlignment w:val="baseline"/>
              <w:rPr>
                <w:rFonts w:eastAsia="Times New Roman" w:cs="Arial"/>
              </w:rPr>
            </w:pPr>
            <w:r>
              <w:rPr>
                <w:rFonts w:eastAsia="Times New Roman" w:cs="Arial"/>
              </w:rPr>
              <w:t xml:space="preserve">1. Start Time equals time of notice. Seller must provide GPC with copies of results of any tests that demonstrate the ability of </w:t>
            </w:r>
            <w:r w:rsidR="002A79F4">
              <w:rPr>
                <w:rFonts w:eastAsia="Times New Roman" w:cs="Arial"/>
              </w:rPr>
              <w:t xml:space="preserve">each </w:t>
            </w:r>
            <w:r>
              <w:rPr>
                <w:rFonts w:eastAsia="Times New Roman" w:cs="Arial"/>
              </w:rPr>
              <w:t>Unit to meet the above start times.</w:t>
            </w:r>
          </w:p>
          <w:p w:rsidRPr="00F10071" w:rsidR="00D96326" w:rsidRDefault="00D96326" w14:paraId="1C218441" w14:textId="57106BAC">
            <w:pPr>
              <w:adjustRightInd w:val="0"/>
              <w:spacing w:before="0" w:after="0"/>
              <w:textAlignment w:val="baseline"/>
              <w:rPr>
                <w:rFonts w:eastAsia="Times New Roman" w:cs="Arial"/>
              </w:rPr>
            </w:pPr>
            <w:r>
              <w:rPr>
                <w:rFonts w:eastAsia="Times New Roman" w:cs="Arial"/>
              </w:rPr>
              <w:t>2. Winter cold applies when operator has taken freeze mitigation actions, but Seller must promptly notify GPC before implementing any planned freeze mitigation actions and afford GPC a reasonable opportunity to Schedule the Unit</w:t>
            </w:r>
            <w:r w:rsidR="002A79F4">
              <w:rPr>
                <w:rFonts w:eastAsia="Times New Roman" w:cs="Arial"/>
              </w:rPr>
              <w:t>(s)</w:t>
            </w:r>
            <w:r>
              <w:rPr>
                <w:rFonts w:eastAsia="Times New Roman" w:cs="Arial"/>
              </w:rPr>
              <w:t xml:space="preserve"> in lieu of implementing such freeze mitigation actions.</w:t>
            </w:r>
          </w:p>
        </w:tc>
      </w:tr>
    </w:tbl>
    <w:p w:rsidRPr="00F10071" w:rsidR="00D96326" w:rsidP="00D96326" w:rsidRDefault="00D96326" w14:paraId="1A401852" w14:textId="77777777">
      <w:pPr>
        <w:adjustRightInd w:val="0"/>
        <w:spacing w:before="0" w:after="0"/>
        <w:textAlignment w:val="baseline"/>
        <w:rPr>
          <w:rFonts w:eastAsia="Times New Roman" w:cs="Arial"/>
        </w:rPr>
      </w:pPr>
    </w:p>
    <w:p w:rsidRPr="005E718C" w:rsidR="00D96326" w:rsidP="00D96326" w:rsidRDefault="00D96326" w14:paraId="27F1BAA9" w14:textId="7354D16D">
      <w:pPr>
        <w:pStyle w:val="zG02"/>
      </w:pPr>
      <w:r>
        <w:rPr>
          <w:b/>
          <w:bCs/>
        </w:rPr>
        <w:t>Natural Gas Pipeline Pressure.</w:t>
      </w:r>
      <w:r>
        <w:t xml:space="preserve"> Natural Gas deliveries under this PPA will be at a pressure that is greater than or equal to the lower of (</w:t>
      </w:r>
      <w:proofErr w:type="spellStart"/>
      <w:r>
        <w:t>i</w:t>
      </w:r>
      <w:proofErr w:type="spellEnd"/>
      <w:r>
        <w:t xml:space="preserve">) </w:t>
      </w:r>
      <w:r>
        <w:rPr>
          <w:highlight w:val="yellow"/>
        </w:rPr>
        <w:t>#Number</w:t>
      </w:r>
      <w:r>
        <w:t xml:space="preserve"> </w:t>
      </w:r>
      <w:proofErr w:type="spellStart"/>
      <w:r>
        <w:t>psig</w:t>
      </w:r>
      <w:proofErr w:type="spellEnd"/>
      <w:r>
        <w:t>, or (ii) the minimum pressure recommended by the manufacturer to operate a Unit on Natural Gas, as such modification may be modified from time to time.</w:t>
      </w:r>
    </w:p>
    <w:p w:rsidRPr="00E50681" w:rsidR="00D96326" w:rsidP="00D96326" w:rsidRDefault="00D96326" w14:paraId="7F92BA0F" w14:textId="77777777">
      <w:pPr>
        <w:pStyle w:val="zG01"/>
      </w:pPr>
      <w:r>
        <w:t>Schedule Procedures</w:t>
      </w:r>
    </w:p>
    <w:p w:rsidRPr="00F10071" w:rsidR="00D96326" w:rsidP="00D96326" w:rsidRDefault="00D96326" w14:paraId="3AF8DB65" w14:textId="6072A2D0">
      <w:pPr>
        <w:pStyle w:val="zGNormal"/>
      </w:pPr>
      <w:r>
        <w:t>This Part 2 sets forth the procedures to be followed by GPC and Seller for notification and Scheduling the Unit</w:t>
      </w:r>
      <w:r w:rsidR="002A79F4">
        <w:t>(s)</w:t>
      </w:r>
      <w:r>
        <w:t xml:space="preserve"> when required by GPC. The procedures specified are subject to change upon mutual agreement of the Parties.</w:t>
      </w:r>
    </w:p>
    <w:p w:rsidRPr="00F10071" w:rsidR="00D96326" w:rsidP="00D96326" w:rsidRDefault="00D96326" w14:paraId="78057499" w14:textId="77777777">
      <w:pPr>
        <w:pStyle w:val="zG02"/>
      </w:pPr>
      <w:r>
        <w:rPr>
          <w:b/>
          <w:bCs/>
        </w:rPr>
        <w:t>Notification Communication.</w:t>
      </w:r>
    </w:p>
    <w:p w:rsidRPr="00F10071" w:rsidR="00D96326" w:rsidP="00D96326" w:rsidRDefault="00D96326" w14:paraId="045719A8" w14:textId="3EBB268D">
      <w:pPr>
        <w:pStyle w:val="zG03"/>
      </w:pPr>
      <w:r>
        <w:rPr>
          <w:b/>
          <w:bCs/>
        </w:rPr>
        <w:t xml:space="preserve">Seller Contacts for Scheduling Energy. </w:t>
      </w:r>
      <w:r>
        <w:t>Three Months before the Delivery Commencement Date, Seller will supply the Scheduling Center with the names of the personnel who can be called to Schedule energy. Seller must provide GPC a single phone number that will be answered 24 Hours a Day and corresponding fax number and email address. Seller will keep this information current.</w:t>
      </w:r>
    </w:p>
    <w:p w:rsidRPr="00F10071" w:rsidR="00D96326" w:rsidP="00D96326" w:rsidRDefault="00D96326" w14:paraId="1C7FF01D" w14:textId="694FFC13">
      <w:pPr>
        <w:pStyle w:val="zG03"/>
      </w:pPr>
      <w:r>
        <w:rPr>
          <w:b/>
          <w:bCs/>
        </w:rPr>
        <w:t xml:space="preserve">Scheduling Center Contacts for </w:t>
      </w:r>
      <w:r w:rsidR="000306B5">
        <w:rPr>
          <w:b/>
          <w:bCs/>
        </w:rPr>
        <w:t xml:space="preserve">Facility </w:t>
      </w:r>
      <w:r>
        <w:rPr>
          <w:b/>
          <w:bCs/>
        </w:rPr>
        <w:t>Availability and Energy Schedules.</w:t>
      </w:r>
      <w:r>
        <w:t xml:space="preserve"> Three Months before the Delivery Commencement Date, the Scheduling Center will supply Seller with the names of individuals to be contacted concerning availability of the </w:t>
      </w:r>
      <w:r w:rsidR="000306B5">
        <w:t xml:space="preserve">Facility </w:t>
      </w:r>
      <w:r>
        <w:t>and energy Schedules. The Scheduling Center will provide Seller with a single phone number that will be answered 24 Hours per Day and corresponding fax number and email address. The Scheduling Center will keep this information current.</w:t>
      </w:r>
    </w:p>
    <w:p w:rsidRPr="00B10832" w:rsidR="00D96326" w:rsidP="00D96326" w:rsidRDefault="00D96326" w14:paraId="732B5735" w14:textId="77777777">
      <w:pPr>
        <w:pStyle w:val="zG02"/>
        <w:rPr>
          <w:b/>
          <w:bCs/>
        </w:rPr>
      </w:pPr>
      <w:r>
        <w:rPr>
          <w:b/>
          <w:bCs/>
        </w:rPr>
        <w:t>Scheduling and Notification Procedures.</w:t>
      </w:r>
    </w:p>
    <w:p w:rsidRPr="00CB241B" w:rsidR="00D96326" w:rsidP="00D96326" w:rsidRDefault="00D96326" w14:paraId="60BD81D1" w14:textId="49C1C44D">
      <w:pPr>
        <w:pStyle w:val="zG03"/>
      </w:pPr>
      <w:r>
        <w:rPr>
          <w:b/>
          <w:bCs/>
        </w:rPr>
        <w:t xml:space="preserve">Scheduling Period. </w:t>
      </w:r>
      <w:r>
        <w:t>By 12:00 p.m. (noon) CPT of each Business Day, or by 9:00 a.m. CPT if Seller has elected to deliver from an Alternate Resource, the Scheduling Center will contact Seller if it anticipates submitting a Schedule for the next Business Day and any subsequent Days which are not Business Days (the period covered by such Schedule being referred to as a “Scheduling Period”). The Scheduling Center will provide a Schedule for each Hour of the Scheduling Period in accordance with Part 12 (</w:t>
      </w:r>
      <w:r>
        <w:rPr>
          <w:i/>
          <w:iCs/>
        </w:rPr>
        <w:t>Energy Scheduling and Transmission</w:t>
      </w:r>
      <w:r>
        <w:t>). The Scheduling Center will also provide a good faith, non-binding estimate for the next Scheduling Period. The Scheduling Center is not obligated to contact Seller if it does not plan to submit a Schedule for a Scheduling Period.</w:t>
      </w:r>
    </w:p>
    <w:p w:rsidRPr="00CB241B" w:rsidR="00D96326" w:rsidP="00D96326" w:rsidRDefault="00D96326" w14:paraId="612A089D" w14:textId="0A8B525D">
      <w:pPr>
        <w:pStyle w:val="zG03"/>
      </w:pPr>
      <w:r>
        <w:rPr>
          <w:b/>
          <w:bCs/>
        </w:rPr>
        <w:t xml:space="preserve">Unit De-Rating Notice. </w:t>
      </w:r>
      <w:r>
        <w:t xml:space="preserve">By no later than 1:30 p.m. CPT, Seller must inform the Scheduling Center if the </w:t>
      </w:r>
      <w:r w:rsidR="000306B5">
        <w:t xml:space="preserve">Facility, including any Unit, </w:t>
      </w:r>
      <w:r>
        <w:t xml:space="preserve">or in the case of Alternate Delivery, the Alternate Resource, will be de-rated during the next Scheduling Period. Seller must provide an estimate of the time and degree to which the generation levels will be reduced. Unless due to the declaration of an FME, the Seller notification does not preclude GPC from requesting any amount of energy from the </w:t>
      </w:r>
      <w:r w:rsidR="000306B5">
        <w:t xml:space="preserve">Facility </w:t>
      </w:r>
      <w:r>
        <w:t>or relieve Seller of its obligation to deliver energy in accordance with any Scheduling Instructions.</w:t>
      </w:r>
    </w:p>
    <w:p w:rsidRPr="00CB241B" w:rsidR="00D96326" w:rsidP="00D96326" w:rsidRDefault="00D96326" w14:paraId="24995923" w14:textId="3A19E70C">
      <w:pPr>
        <w:pStyle w:val="zG03"/>
      </w:pPr>
      <w:r>
        <w:rPr>
          <w:b/>
          <w:bCs/>
        </w:rPr>
        <w:t xml:space="preserve">Equipment Problem or Unplanned Outage Notice. </w:t>
      </w:r>
      <w:r>
        <w:t xml:space="preserve">Seller must promptly inform the Scheduling Center of any equipment problems or unplanned outages and the expected time and degree to which generation levels will be reduced. During </w:t>
      </w:r>
      <w:r w:rsidR="000306B5">
        <w:t xml:space="preserve">Facility </w:t>
      </w:r>
      <w:r>
        <w:t xml:space="preserve">Outages, Seller must continue to keep GPC informed regarding the expected date when the </w:t>
      </w:r>
      <w:r w:rsidR="000306B5">
        <w:t>Facility</w:t>
      </w:r>
      <w:r>
        <w:t>, or in the case of Alternate Delivery, the Alternate Resource, will be returned to service for dispatch.</w:t>
      </w:r>
    </w:p>
    <w:p w:rsidRPr="00CB241B" w:rsidR="00D96326" w:rsidP="008A2099" w:rsidRDefault="00D96326" w14:paraId="29FD4EFC" w14:textId="1608A915">
      <w:pPr>
        <w:pStyle w:val="zG03"/>
      </w:pPr>
      <w:r>
        <w:rPr>
          <w:b/>
          <w:bCs/>
        </w:rPr>
        <w:t xml:space="preserve">Intra-Day Scheduling. </w:t>
      </w:r>
      <w:r>
        <w:t>Intra-Day Scheduling will be permitted in accordance with Part 12 (</w:t>
      </w:r>
      <w:r>
        <w:rPr>
          <w:i/>
          <w:iCs/>
        </w:rPr>
        <w:t xml:space="preserve">Energy </w:t>
      </w:r>
      <w:r>
        <w:rPr>
          <w:i/>
          <w:iCs/>
        </w:rPr>
        <w:lastRenderedPageBreak/>
        <w:t>Scheduling and Transmission</w:t>
      </w:r>
      <w:r>
        <w:t>).</w:t>
      </w:r>
    </w:p>
    <w:p w:rsidRPr="00797D8B" w:rsidR="00D96326" w:rsidP="008A2099" w:rsidRDefault="00D96326" w14:paraId="75CBE705" w14:textId="77777777">
      <w:pPr>
        <w:pStyle w:val="zG03"/>
      </w:pPr>
      <w:r>
        <w:rPr>
          <w:b/>
          <w:bCs/>
        </w:rPr>
        <w:t xml:space="preserve">Alternate Resource Scheduling. </w:t>
      </w:r>
      <w:r>
        <w:t>Procedures will be established as needed for the Scheduling of energy delivered from an Alternate Resource, so long as Seller bears the ultimate responsibility for all tagging and other transmission arrangements regarding the deliveries.</w:t>
      </w:r>
    </w:p>
    <w:p w:rsidRPr="00F10071" w:rsidR="00D96326" w:rsidP="000A2525" w:rsidRDefault="00D96326" w14:paraId="2A6AA3FA" w14:textId="77777777">
      <w:pPr>
        <w:widowControl w:val="0"/>
        <w:adjustRightInd w:val="0"/>
        <w:spacing w:before="0" w:after="600" w:line="360" w:lineRule="atLeast"/>
        <w:ind w:left="2160"/>
        <w:textAlignment w:val="baseline"/>
        <w:rPr>
          <w:rFonts w:eastAsia="Times New Roman" w:cs="Arial"/>
        </w:rPr>
        <w:sectPr w:rsidRPr="00F10071" w:rsidR="00D96326" w:rsidSect="006B1C54">
          <w:headerReference w:type="default" r:id="rId38"/>
          <w:footerReference w:type="default" r:id="rId39"/>
          <w:pgSz w:w="12240" w:h="15840" w:code="1"/>
          <w:pgMar w:top="1440" w:right="1440" w:bottom="1440" w:left="1440" w:header="720" w:footer="720" w:gutter="0"/>
          <w:paperSrc w:first="15" w:other="15"/>
          <w:cols w:space="1440"/>
        </w:sectPr>
      </w:pPr>
    </w:p>
    <w:p w:rsidRPr="00E37DA1" w:rsidR="00D96326" w:rsidP="00D51057" w:rsidRDefault="00D96326" w14:paraId="17BA82F3" w14:textId="1BFC79CA">
      <w:pPr>
        <w:pStyle w:val="zGTitleExhibit"/>
      </w:pPr>
      <w:bookmarkStart w:name="_Toc212475778" w:id="478"/>
      <w:bookmarkStart w:name="_Toc227838475" w:id="479"/>
      <w:r>
        <w:lastRenderedPageBreak/>
        <w:t>Exhibit E – Performance Testing Procedures</w:t>
      </w:r>
      <w:bookmarkEnd w:id="478"/>
      <w:bookmarkEnd w:id="479"/>
      <w:r>
        <w:t xml:space="preserve"> </w:t>
      </w:r>
    </w:p>
    <w:p w:rsidRPr="00CB241B" w:rsidR="00D51057" w:rsidP="00E62CF6" w:rsidRDefault="00D51057" w14:paraId="18087B11" w14:textId="16FFA614">
      <w:pPr>
        <w:pStyle w:val="zG01"/>
        <w:numPr>
          <w:ilvl w:val="0"/>
          <w:numId w:val="35"/>
        </w:numPr>
      </w:pPr>
      <w:r>
        <w:t>Objective</w:t>
      </w:r>
    </w:p>
    <w:p w:rsidRPr="00CB241B" w:rsidR="00D96326" w:rsidP="00D96326" w:rsidRDefault="00D96326" w14:paraId="693E7187" w14:textId="2F658BCF">
      <w:pPr>
        <w:adjustRightInd w:val="0"/>
        <w:textAlignment w:val="baseline"/>
        <w:rPr>
          <w:rFonts w:eastAsia="Times New Roman" w:cs="Arial"/>
        </w:rPr>
      </w:pPr>
      <w:r>
        <w:rPr>
          <w:rFonts w:eastAsia="Times New Roman" w:cs="Arial"/>
        </w:rPr>
        <w:t xml:space="preserve">The purpose of this </w:t>
      </w:r>
      <w:r>
        <w:rPr>
          <w:rFonts w:cs="Arial"/>
          <w:bCs/>
        </w:rPr>
        <w:t>Exhibit</w:t>
      </w:r>
      <w:r>
        <w:rPr>
          <w:rFonts w:eastAsia="Times New Roman" w:cs="Arial"/>
          <w:bCs/>
        </w:rPr>
        <w:t xml:space="preserve"> E</w:t>
      </w:r>
      <w:r>
        <w:rPr>
          <w:rFonts w:eastAsia="Times New Roman" w:cs="Arial"/>
        </w:rPr>
        <w:t xml:space="preserve"> is to provide an agreed upon method for the determination of Tested Reliable Capacity. Consistent, past performance of the </w:t>
      </w:r>
      <w:r w:rsidR="00B51E60">
        <w:rPr>
          <w:rFonts w:eastAsia="Times New Roman" w:cs="Arial"/>
        </w:rPr>
        <w:t xml:space="preserve">Facility </w:t>
      </w:r>
      <w:r>
        <w:rPr>
          <w:rFonts w:eastAsia="Times New Roman" w:cs="Arial"/>
        </w:rPr>
        <w:t xml:space="preserve">in reliably meeting the Declared Capacity and in reliably meeting the Scheduling Instructions </w:t>
      </w:r>
      <w:r>
        <w:rPr>
          <w:rFonts w:cs="Arial"/>
        </w:rPr>
        <w:t>will</w:t>
      </w:r>
      <w:r>
        <w:rPr>
          <w:rFonts w:eastAsia="Times New Roman" w:cs="Arial"/>
        </w:rPr>
        <w:t xml:space="preserve"> be deemed as acceptable demonstration of the capability of the </w:t>
      </w:r>
      <w:r w:rsidR="00B51E60">
        <w:rPr>
          <w:rFonts w:eastAsia="Times New Roman" w:cs="Arial"/>
        </w:rPr>
        <w:t>Facility</w:t>
      </w:r>
      <w:r>
        <w:rPr>
          <w:rFonts w:eastAsia="Times New Roman" w:cs="Arial"/>
        </w:rPr>
        <w:t xml:space="preserve">.  </w:t>
      </w:r>
    </w:p>
    <w:p w:rsidRPr="00CB241B" w:rsidR="00D96326" w:rsidP="00D96326" w:rsidRDefault="00D96326" w14:paraId="1B962C4D" w14:textId="5ED389ED">
      <w:pPr>
        <w:adjustRightInd w:val="0"/>
        <w:textAlignment w:val="baseline"/>
        <w:rPr>
          <w:rFonts w:eastAsia="Times New Roman" w:cs="Arial"/>
          <w:bCs/>
        </w:rPr>
      </w:pPr>
      <w:r>
        <w:rPr>
          <w:rFonts w:eastAsia="Times New Roman" w:cs="Arial"/>
        </w:rPr>
        <w:t xml:space="preserve">During the Performance Test for purposes of determining the Tested Standard Reliable Capacity, the </w:t>
      </w:r>
      <w:r w:rsidR="00B51E60">
        <w:rPr>
          <w:rFonts w:eastAsia="Times New Roman" w:cs="Arial"/>
        </w:rPr>
        <w:t xml:space="preserve">Facility’s </w:t>
      </w:r>
      <w:r>
        <w:rPr>
          <w:rFonts w:eastAsia="Times New Roman" w:cs="Arial"/>
        </w:rPr>
        <w:t xml:space="preserve">actual net plant output will be corrected to Reference Conditions for the Standard Seasonal Performance Periods at the Site, and for purposes of determining the Tested Winter Reliable Capacity, the </w:t>
      </w:r>
      <w:r w:rsidR="00B51E60">
        <w:rPr>
          <w:rFonts w:eastAsia="Times New Roman" w:cs="Arial"/>
        </w:rPr>
        <w:t xml:space="preserve">Facility’s </w:t>
      </w:r>
      <w:r>
        <w:rPr>
          <w:rFonts w:eastAsia="Times New Roman" w:cs="Arial"/>
        </w:rPr>
        <w:t>actual net plant output will be corrected to Reference Conditions for the Winter Seasonal Performance Period at the Site.</w:t>
      </w:r>
    </w:p>
    <w:p w:rsidRPr="00CB241B" w:rsidR="00D96326" w:rsidP="00D96326" w:rsidRDefault="00D96326" w14:paraId="6B2E3ACB" w14:textId="77777777">
      <w:pPr>
        <w:pStyle w:val="zG01"/>
      </w:pPr>
      <w:r>
        <w:t>Operating Conditions</w:t>
      </w:r>
    </w:p>
    <w:p w:rsidRPr="00CB241B" w:rsidR="00D96326" w:rsidP="00D96326" w:rsidRDefault="00D96326" w14:paraId="6792801F" w14:textId="036CC49A">
      <w:pPr>
        <w:adjustRightInd w:val="0"/>
        <w:textAlignment w:val="baseline"/>
        <w:rPr>
          <w:rFonts w:eastAsia="Times New Roman" w:cs="Arial"/>
        </w:rPr>
      </w:pPr>
      <w:r>
        <w:rPr>
          <w:rFonts w:eastAsia="Times New Roman" w:cs="Arial"/>
        </w:rPr>
        <w:t xml:space="preserve">During the Performance Test, the </w:t>
      </w:r>
      <w:r w:rsidR="00B51E60">
        <w:rPr>
          <w:rFonts w:eastAsia="Times New Roman" w:cs="Arial"/>
        </w:rPr>
        <w:t xml:space="preserve">Facility </w:t>
      </w:r>
      <w:r>
        <w:rPr>
          <w:rFonts w:eastAsia="Times New Roman" w:cs="Arial"/>
        </w:rPr>
        <w:t xml:space="preserve">will be operated within the normal design limits, consistent with continuous operation, and in accordance with Prudent Industry Practices, as confirmed by available </w:t>
      </w:r>
      <w:r w:rsidR="00B51E60">
        <w:rPr>
          <w:rFonts w:eastAsia="Times New Roman" w:cs="Arial"/>
        </w:rPr>
        <w:t xml:space="preserve">Facility </w:t>
      </w:r>
      <w:r>
        <w:rPr>
          <w:rFonts w:eastAsia="Times New Roman" w:cs="Arial"/>
        </w:rPr>
        <w:t>operating data. The gas turbines will be operated at Base Operating Mode for the duration of the test. All auxiliary systems will be operated as appropriate for the actual ambient conditions existing during the test period.</w:t>
      </w:r>
    </w:p>
    <w:p w:rsidRPr="00CB241B" w:rsidR="00D96326" w:rsidP="00D96326" w:rsidRDefault="00D96326" w14:paraId="7A4A0132" w14:textId="77777777">
      <w:pPr>
        <w:pStyle w:val="zG01"/>
      </w:pPr>
      <w:r>
        <w:t>Testing</w:t>
      </w:r>
    </w:p>
    <w:p w:rsidRPr="00CB241B" w:rsidR="00D96326" w:rsidP="00D96326" w:rsidRDefault="00D96326" w14:paraId="041CD680" w14:textId="19B7C97B">
      <w:pPr>
        <w:adjustRightInd w:val="0"/>
        <w:textAlignment w:val="baseline"/>
        <w:rPr>
          <w:rFonts w:eastAsia="Times New Roman" w:cs="Arial"/>
          <w:i/>
          <w:iCs/>
        </w:rPr>
      </w:pPr>
      <w:r>
        <w:rPr>
          <w:rFonts w:eastAsia="Times New Roman" w:cs="Arial"/>
        </w:rPr>
        <w:t xml:space="preserve">On the date of the Performance Test, the </w:t>
      </w:r>
      <w:r w:rsidR="00B51E60">
        <w:rPr>
          <w:rFonts w:eastAsia="Times New Roman" w:cs="Arial"/>
        </w:rPr>
        <w:t xml:space="preserve">Facility </w:t>
      </w:r>
      <w:r>
        <w:rPr>
          <w:rFonts w:cs="Arial"/>
        </w:rPr>
        <w:t>will</w:t>
      </w:r>
      <w:r>
        <w:rPr>
          <w:rFonts w:eastAsia="Times New Roman" w:cs="Arial"/>
        </w:rPr>
        <w:t xml:space="preserve"> be brought to maximum load using Natural Gas. The Performance Test </w:t>
      </w:r>
      <w:r>
        <w:rPr>
          <w:rFonts w:cs="Arial"/>
        </w:rPr>
        <w:t>will</w:t>
      </w:r>
      <w:r>
        <w:rPr>
          <w:rFonts w:eastAsia="Times New Roman" w:cs="Arial"/>
        </w:rPr>
        <w:t xml:space="preserve"> be scheduled between the weekday Hours of 7:00</w:t>
      </w:r>
      <w:r>
        <w:rPr>
          <w:rFonts w:eastAsia="MS Mincho" w:cs="Arial"/>
          <w:w w:val="0"/>
        </w:rPr>
        <w:t xml:space="preserve"> </w:t>
      </w:r>
      <w:r>
        <w:rPr>
          <w:rFonts w:eastAsia="Times New Roman" w:cs="Arial"/>
        </w:rPr>
        <w:t xml:space="preserve">a.m. and 7:00 p.m. CPT and as close as practical with GPC’s Scheduling requirements. During the test period data will be collected for a minimum of two Hours once the CT has achieved stable operations at Base Operating Mode. To the extent the </w:t>
      </w:r>
      <w:r w:rsidR="00106ECA">
        <w:rPr>
          <w:rFonts w:eastAsia="Times New Roman" w:cs="Arial"/>
        </w:rPr>
        <w:t xml:space="preserve">Facility </w:t>
      </w:r>
      <w:r>
        <w:rPr>
          <w:rFonts w:eastAsia="Times New Roman" w:cs="Arial"/>
        </w:rPr>
        <w:t xml:space="preserve">experiences equipment malfunction, unsteady operation or unreliability during any Performance Test or its historical operating records show difficulty or unreliability during testing of the </w:t>
      </w:r>
      <w:r w:rsidR="00106ECA">
        <w:rPr>
          <w:rFonts w:eastAsia="Times New Roman" w:cs="Arial"/>
        </w:rPr>
        <w:t xml:space="preserve">Facility </w:t>
      </w:r>
      <w:r>
        <w:rPr>
          <w:rFonts w:eastAsia="Times New Roman" w:cs="Arial"/>
        </w:rPr>
        <w:t xml:space="preserve">or deficiencies in meeting GPC’s Schedules, GPC may request that Seller perform additional testing of the </w:t>
      </w:r>
      <w:r w:rsidR="00106ECA">
        <w:rPr>
          <w:rFonts w:eastAsia="Times New Roman" w:cs="Arial"/>
        </w:rPr>
        <w:t xml:space="preserve">Facility </w:t>
      </w:r>
      <w:r>
        <w:rPr>
          <w:rFonts w:eastAsia="Times New Roman" w:cs="Arial"/>
        </w:rPr>
        <w:t xml:space="preserve">at Seller’s expense to demonstrate to GPC’s reasonable satisfaction the reliability of the </w:t>
      </w:r>
      <w:r w:rsidR="00106ECA">
        <w:rPr>
          <w:rFonts w:eastAsia="Times New Roman" w:cs="Arial"/>
        </w:rPr>
        <w:t>Facility</w:t>
      </w:r>
      <w:r>
        <w:rPr>
          <w:rFonts w:eastAsia="Times New Roman" w:cs="Arial"/>
        </w:rPr>
        <w:t>.</w:t>
      </w:r>
    </w:p>
    <w:p w:rsidRPr="00CB241B" w:rsidR="00D96326" w:rsidP="00D96326" w:rsidRDefault="00F92165" w14:paraId="615D9F60" w14:textId="3AB93565">
      <w:pPr>
        <w:adjustRightInd w:val="0"/>
        <w:textAlignment w:val="baseline"/>
        <w:rPr>
          <w:rFonts w:eastAsia="Times New Roman" w:cs="Arial"/>
        </w:rPr>
      </w:pPr>
      <w:r>
        <w:rPr>
          <w:rFonts w:eastAsia="Times New Roman" w:cs="Arial"/>
        </w:rPr>
        <w:t xml:space="preserve">Performance Testing will be performed in accordance with ASME Performance Test Code and other applicable industry standards and all </w:t>
      </w:r>
      <w:r>
        <w:t>applicable laws</w:t>
      </w:r>
      <w:r>
        <w:rPr>
          <w:rFonts w:eastAsia="Times New Roman" w:cs="Arial"/>
        </w:rPr>
        <w:t xml:space="preserve">. All Performance Test activities will be conducted by, or under the supervision of, Seller and its Representatives. GPC </w:t>
      </w:r>
      <w:r>
        <w:rPr>
          <w:rFonts w:cs="Arial"/>
        </w:rPr>
        <w:t>will</w:t>
      </w:r>
      <w:r>
        <w:rPr>
          <w:rFonts w:eastAsia="Times New Roman" w:cs="Arial"/>
        </w:rPr>
        <w:t xml:space="preserve"> have the right to have a representative present to witness Performance Tests conducted in accordance with this PPA. Each Party will notify the other of its intent to conduct any Performance Test with a six Business Day advanced notice as specified in Exhibit B (</w:t>
      </w:r>
      <w:r>
        <w:rPr>
          <w:rFonts w:eastAsia="Times New Roman" w:cs="Arial"/>
          <w:i/>
          <w:iCs/>
        </w:rPr>
        <w:t>Capacity; Capacity Payments and Payment Reductions; Buydown</w:t>
      </w:r>
      <w:r>
        <w:rPr>
          <w:rFonts w:eastAsia="Times New Roman" w:cs="Arial"/>
        </w:rPr>
        <w:t>).</w:t>
      </w:r>
    </w:p>
    <w:p w:rsidRPr="00CB241B" w:rsidR="00D96326" w:rsidP="00D96326" w:rsidRDefault="00D96326" w14:paraId="5FB80C86" w14:textId="6E4248FE">
      <w:pPr>
        <w:adjustRightInd w:val="0"/>
        <w:textAlignment w:val="baseline"/>
        <w:rPr>
          <w:rFonts w:eastAsia="Times New Roman" w:cs="Arial"/>
        </w:rPr>
      </w:pPr>
      <w:r>
        <w:rPr>
          <w:rFonts w:eastAsia="Times New Roman" w:cs="Arial"/>
        </w:rPr>
        <w:t xml:space="preserve">Actual net output of the </w:t>
      </w:r>
      <w:r w:rsidR="00106ECA">
        <w:rPr>
          <w:rFonts w:eastAsia="Times New Roman" w:cs="Arial"/>
        </w:rPr>
        <w:t xml:space="preserve">Facility </w:t>
      </w:r>
      <w:r>
        <w:rPr>
          <w:rFonts w:eastAsia="Times New Roman" w:cs="Arial"/>
        </w:rPr>
        <w:t>will be metered with the Metering System. No commercial test tolerances or measurement uncertainties will be applied to test results.</w:t>
      </w:r>
    </w:p>
    <w:p w:rsidRPr="00CB241B" w:rsidR="00D96326" w:rsidP="00D96326" w:rsidRDefault="00D96326" w14:paraId="32C56B0A" w14:textId="77777777">
      <w:pPr>
        <w:pStyle w:val="zG01"/>
      </w:pPr>
      <w:r>
        <w:t>Reduction of Data</w:t>
      </w:r>
    </w:p>
    <w:p w:rsidRPr="00CB241B" w:rsidR="00D96326" w:rsidP="00D96326" w:rsidRDefault="00D96326" w14:paraId="5AA829DC" w14:textId="34E5A066">
      <w:pPr>
        <w:adjustRightInd w:val="0"/>
        <w:textAlignment w:val="baseline"/>
        <w:rPr>
          <w:rFonts w:eastAsia="MS Mincho" w:cs="Arial"/>
          <w:w w:val="0"/>
        </w:rPr>
      </w:pPr>
      <w:r>
        <w:rPr>
          <w:rFonts w:eastAsia="MS Mincho" w:cs="Arial"/>
          <w:w w:val="0"/>
        </w:rPr>
        <w:t>Actual tested capacity will be adjusted to the applicable Reference Conditions, using correction curves provided by Seller or its engineer in accordance with the equations set forth below, to determine the following capacity values:</w:t>
      </w:r>
    </w:p>
    <w:p w:rsidRPr="00CB241B" w:rsidR="00D96326" w:rsidP="00D96326" w:rsidRDefault="00D96326" w14:paraId="005AC4DA" w14:textId="2E78D6CD">
      <w:pPr>
        <w:adjustRightInd w:val="0"/>
        <w:textAlignment w:val="baseline"/>
        <w:rPr>
          <w:rFonts w:eastAsia="MS Mincho" w:cs="Arial"/>
          <w:w w:val="0"/>
        </w:rPr>
      </w:pPr>
      <w:r>
        <w:rPr>
          <w:rFonts w:eastAsia="MS Mincho" w:cs="Arial"/>
          <w:b/>
          <w:w w:val="0"/>
        </w:rPr>
        <w:t>Tested Standard Reliable Capacity</w:t>
      </w:r>
      <w:r>
        <w:rPr>
          <w:rFonts w:eastAsia="MS Mincho" w:cs="Arial"/>
          <w:w w:val="0"/>
        </w:rPr>
        <w:t xml:space="preserve"> = Measured Base Load Net Output x </w:t>
      </w:r>
      <w:proofErr w:type="spellStart"/>
      <w:r>
        <w:rPr>
          <w:rFonts w:eastAsia="MS Mincho" w:cs="Arial"/>
          <w:w w:val="0"/>
        </w:rPr>
        <w:t>Fwetblb</w:t>
      </w:r>
      <w:proofErr w:type="spellEnd"/>
      <w:r>
        <w:rPr>
          <w:rFonts w:eastAsia="MS Mincho" w:cs="Arial"/>
          <w:w w:val="0"/>
        </w:rPr>
        <w:t xml:space="preserve"> x </w:t>
      </w:r>
      <w:proofErr w:type="spellStart"/>
      <w:r>
        <w:rPr>
          <w:rFonts w:eastAsia="MS Mincho" w:cs="Arial"/>
          <w:w w:val="0"/>
        </w:rPr>
        <w:t>Fbaro</w:t>
      </w:r>
      <w:proofErr w:type="spellEnd"/>
      <w:r>
        <w:rPr>
          <w:rFonts w:eastAsia="MS Mincho" w:cs="Arial"/>
          <w:w w:val="0"/>
        </w:rPr>
        <w:t xml:space="preserve"> x Fpf1</w:t>
      </w:r>
    </w:p>
    <w:p w:rsidRPr="00CB241B" w:rsidR="00A40B0B" w:rsidP="00D96326" w:rsidRDefault="00A40B0B" w14:paraId="4A41F748" w14:textId="2C861E1A">
      <w:pPr>
        <w:adjustRightInd w:val="0"/>
        <w:textAlignment w:val="baseline"/>
        <w:rPr>
          <w:rFonts w:eastAsia="MS Mincho" w:cs="Arial"/>
          <w:w w:val="0"/>
        </w:rPr>
      </w:pPr>
      <w:r>
        <w:rPr>
          <w:rFonts w:eastAsia="MS Mincho" w:cs="Arial"/>
          <w:b/>
          <w:bCs/>
          <w:w w:val="0"/>
        </w:rPr>
        <w:t>Tested Winter Reliable Capacity</w:t>
      </w:r>
      <w:r>
        <w:rPr>
          <w:rFonts w:eastAsia="MS Mincho" w:cs="Arial"/>
          <w:w w:val="0"/>
        </w:rPr>
        <w:t xml:space="preserve"> = Measured Base Load Net Output x </w:t>
      </w:r>
      <w:proofErr w:type="spellStart"/>
      <w:r>
        <w:rPr>
          <w:rFonts w:eastAsia="MS Mincho" w:cs="Arial"/>
          <w:w w:val="0"/>
        </w:rPr>
        <w:t>Fwetblb</w:t>
      </w:r>
      <w:proofErr w:type="spellEnd"/>
      <w:r>
        <w:rPr>
          <w:rFonts w:eastAsia="MS Mincho" w:cs="Arial"/>
          <w:w w:val="0"/>
        </w:rPr>
        <w:t xml:space="preserve"> x </w:t>
      </w:r>
      <w:proofErr w:type="spellStart"/>
      <w:r>
        <w:rPr>
          <w:rFonts w:eastAsia="MS Mincho" w:cs="Arial"/>
          <w:w w:val="0"/>
        </w:rPr>
        <w:t>Fbaro</w:t>
      </w:r>
      <w:proofErr w:type="spellEnd"/>
      <w:r>
        <w:rPr>
          <w:rFonts w:eastAsia="MS Mincho" w:cs="Arial"/>
          <w:w w:val="0"/>
        </w:rPr>
        <w:t xml:space="preserve"> x Fpf1</w:t>
      </w:r>
    </w:p>
    <w:p w:rsidRPr="00CB241B" w:rsidR="00D96326" w:rsidP="00D96326" w:rsidRDefault="00D96326" w14:paraId="4C120970" w14:textId="77777777">
      <w:pPr>
        <w:adjustRightInd w:val="0"/>
        <w:textAlignment w:val="baseline"/>
        <w:rPr>
          <w:rFonts w:eastAsia="MS Mincho" w:cs="Arial"/>
          <w:w w:val="0"/>
        </w:rPr>
      </w:pPr>
      <w:r>
        <w:rPr>
          <w:rFonts w:eastAsia="MS Mincho" w:cs="Arial"/>
          <w:w w:val="0"/>
        </w:rPr>
        <w:t>Where:</w:t>
      </w:r>
    </w:p>
    <w:p w:rsidRPr="00CB241B" w:rsidR="00D96326" w:rsidP="00D96326" w:rsidRDefault="00D96326" w14:paraId="6B00E8F3" w14:textId="47D18E00">
      <w:pPr>
        <w:adjustRightInd w:val="0"/>
        <w:textAlignment w:val="baseline"/>
        <w:rPr>
          <w:rFonts w:eastAsia="MS Mincho" w:cs="Arial"/>
          <w:w w:val="0"/>
        </w:rPr>
      </w:pPr>
      <w:r>
        <w:rPr>
          <w:rFonts w:eastAsia="MS Mincho" w:cs="Arial"/>
          <w:b/>
          <w:w w:val="0"/>
        </w:rPr>
        <w:t>Measured Base Load Net Output</w:t>
      </w:r>
      <w:r>
        <w:rPr>
          <w:rFonts w:eastAsia="MS Mincho" w:cs="Arial"/>
          <w:w w:val="0"/>
        </w:rPr>
        <w:t xml:space="preserve"> = actual net </w:t>
      </w:r>
      <w:r w:rsidR="00F433EC">
        <w:rPr>
          <w:rFonts w:eastAsia="Times New Roman" w:cs="Arial"/>
        </w:rPr>
        <w:t>Facility</w:t>
      </w:r>
      <w:r w:rsidR="00F433EC">
        <w:rPr>
          <w:rFonts w:eastAsia="MS Mincho" w:cs="Arial"/>
          <w:w w:val="0"/>
        </w:rPr>
        <w:t xml:space="preserve"> </w:t>
      </w:r>
      <w:r>
        <w:rPr>
          <w:rFonts w:eastAsia="MS Mincho" w:cs="Arial"/>
          <w:w w:val="0"/>
        </w:rPr>
        <w:t>output measured during the test conducted at Base Operating Mode.</w:t>
      </w:r>
    </w:p>
    <w:p w:rsidRPr="00CB241B" w:rsidR="00D96326" w:rsidP="00D96326" w:rsidRDefault="00D96326" w14:paraId="146BDCDF" w14:textId="4D417E3A">
      <w:pPr>
        <w:adjustRightInd w:val="0"/>
        <w:textAlignment w:val="baseline"/>
        <w:rPr>
          <w:rFonts w:eastAsia="MS Mincho" w:cs="Arial"/>
          <w:w w:val="0"/>
        </w:rPr>
      </w:pPr>
      <w:proofErr w:type="spellStart"/>
      <w:r>
        <w:rPr>
          <w:rFonts w:eastAsia="MS Mincho" w:cs="Arial"/>
          <w:b/>
          <w:w w:val="0"/>
        </w:rPr>
        <w:lastRenderedPageBreak/>
        <w:t>Fwetblb</w:t>
      </w:r>
      <w:proofErr w:type="spellEnd"/>
      <w:r>
        <w:rPr>
          <w:rFonts w:eastAsia="MS Mincho" w:cs="Arial"/>
          <w:w w:val="0"/>
        </w:rPr>
        <w:t xml:space="preserve"> = correction factor for dry bulb temperature and relative humidity from actual conditions to Reference Conditions. </w:t>
      </w:r>
      <w:proofErr w:type="spellStart"/>
      <w:r>
        <w:rPr>
          <w:rFonts w:eastAsia="MS Mincho" w:cs="Arial"/>
          <w:w w:val="0"/>
        </w:rPr>
        <w:t>Fwetblb</w:t>
      </w:r>
      <w:proofErr w:type="spellEnd"/>
      <w:r>
        <w:rPr>
          <w:rFonts w:eastAsia="MS Mincho" w:cs="Arial"/>
          <w:w w:val="0"/>
        </w:rPr>
        <w:t xml:space="preserve"> for the </w:t>
      </w:r>
      <w:r w:rsidR="00F433EC">
        <w:rPr>
          <w:rFonts w:eastAsia="MS Mincho" w:cs="Arial"/>
          <w:w w:val="0"/>
        </w:rPr>
        <w:t xml:space="preserve">Facility </w:t>
      </w:r>
      <w:r>
        <w:rPr>
          <w:rFonts w:eastAsia="MS Mincho" w:cs="Arial"/>
          <w:w w:val="0"/>
        </w:rPr>
        <w:t>= Figure E1 (</w:t>
      </w:r>
      <w:r>
        <w:rPr>
          <w:rFonts w:eastAsia="Times New Roman" w:cs="Arial"/>
          <w:i/>
          <w:iCs/>
        </w:rPr>
        <w:t>Power Output vs. Dry Bulb Temperature and Relative Humidity</w:t>
      </w:r>
      <w:r>
        <w:rPr>
          <w:rFonts w:eastAsia="MS Mincho" w:cs="Arial"/>
          <w:w w:val="0"/>
        </w:rPr>
        <w:t>).</w:t>
      </w:r>
    </w:p>
    <w:p w:rsidRPr="00CB241B" w:rsidR="00D96326" w:rsidP="00D96326" w:rsidRDefault="00D96326" w14:paraId="09050CF7" w14:textId="26FF82B1">
      <w:pPr>
        <w:adjustRightInd w:val="0"/>
        <w:textAlignment w:val="baseline"/>
        <w:rPr>
          <w:rFonts w:eastAsia="MS Mincho" w:cs="Arial"/>
          <w:w w:val="0"/>
        </w:rPr>
      </w:pPr>
      <w:proofErr w:type="spellStart"/>
      <w:r>
        <w:rPr>
          <w:rFonts w:eastAsia="MS Mincho" w:cs="Arial"/>
          <w:b/>
          <w:w w:val="0"/>
        </w:rPr>
        <w:t>Fbaro</w:t>
      </w:r>
      <w:proofErr w:type="spellEnd"/>
      <w:r>
        <w:rPr>
          <w:rFonts w:eastAsia="MS Mincho" w:cs="Arial"/>
          <w:w w:val="0"/>
        </w:rPr>
        <w:t xml:space="preserve"> = correction for barometric pressure from actual test conditions to Reference Conditions. </w:t>
      </w:r>
      <w:proofErr w:type="spellStart"/>
      <w:r>
        <w:rPr>
          <w:rFonts w:eastAsia="MS Mincho" w:cs="Arial"/>
          <w:w w:val="0"/>
        </w:rPr>
        <w:t>Fbaro</w:t>
      </w:r>
      <w:proofErr w:type="spellEnd"/>
      <w:r>
        <w:rPr>
          <w:rFonts w:eastAsia="MS Mincho" w:cs="Arial"/>
          <w:w w:val="0"/>
        </w:rPr>
        <w:t xml:space="preserve"> for the </w:t>
      </w:r>
      <w:r w:rsidR="00F433EC">
        <w:rPr>
          <w:rFonts w:eastAsia="Times New Roman" w:cs="Arial"/>
        </w:rPr>
        <w:t>Facility</w:t>
      </w:r>
      <w:r w:rsidR="00F433EC">
        <w:rPr>
          <w:rFonts w:eastAsia="MS Mincho" w:cs="Arial"/>
          <w:w w:val="0"/>
        </w:rPr>
        <w:t xml:space="preserve"> </w:t>
      </w:r>
      <w:r>
        <w:rPr>
          <w:rFonts w:eastAsia="MS Mincho" w:cs="Arial"/>
          <w:w w:val="0"/>
        </w:rPr>
        <w:t>= Figure E2 (</w:t>
      </w:r>
      <w:r>
        <w:rPr>
          <w:rFonts w:eastAsia="Times New Roman" w:cs="Arial"/>
          <w:i/>
          <w:iCs/>
        </w:rPr>
        <w:t>Power Output vs. Barometric Pressure</w:t>
      </w:r>
      <w:r>
        <w:rPr>
          <w:rFonts w:eastAsia="MS Mincho" w:cs="Arial"/>
          <w:w w:val="0"/>
        </w:rPr>
        <w:t>).</w:t>
      </w:r>
    </w:p>
    <w:p w:rsidRPr="00F10071" w:rsidR="00D96326" w:rsidP="00D96326" w:rsidRDefault="00D96326" w14:paraId="21CF0AD1" w14:textId="334589BB">
      <w:pPr>
        <w:adjustRightInd w:val="0"/>
        <w:textAlignment w:val="baseline"/>
        <w:rPr>
          <w:rFonts w:eastAsia="MS Mincho" w:cs="Arial"/>
          <w:w w:val="0"/>
        </w:rPr>
      </w:pPr>
      <w:proofErr w:type="spellStart"/>
      <w:r>
        <w:rPr>
          <w:rFonts w:eastAsia="MS Mincho" w:cs="Arial"/>
          <w:b/>
          <w:w w:val="0"/>
        </w:rPr>
        <w:t>Fpf</w:t>
      </w:r>
      <w:proofErr w:type="spellEnd"/>
      <w:r>
        <w:rPr>
          <w:rFonts w:eastAsia="MS Mincho" w:cs="Arial"/>
          <w:w w:val="0"/>
        </w:rPr>
        <w:t xml:space="preserve"> = correction for reactive power output from actual test conditions to Reference Conditions. </w:t>
      </w:r>
      <w:proofErr w:type="spellStart"/>
      <w:r>
        <w:rPr>
          <w:rFonts w:eastAsia="MS Mincho" w:cs="Arial"/>
          <w:w w:val="0"/>
        </w:rPr>
        <w:t>Fpf</w:t>
      </w:r>
      <w:proofErr w:type="spellEnd"/>
      <w:r>
        <w:rPr>
          <w:rFonts w:eastAsia="MS Mincho" w:cs="Arial"/>
          <w:w w:val="0"/>
        </w:rPr>
        <w:t xml:space="preserve"> for the </w:t>
      </w:r>
      <w:r w:rsidR="00F433EC">
        <w:rPr>
          <w:rFonts w:eastAsia="MS Mincho" w:cs="Arial"/>
          <w:w w:val="0"/>
        </w:rPr>
        <w:t xml:space="preserve">Facility </w:t>
      </w:r>
      <w:r>
        <w:rPr>
          <w:rFonts w:eastAsia="MS Mincho" w:cs="Arial"/>
          <w:w w:val="0"/>
        </w:rPr>
        <w:t>= Figure E3 (</w:t>
      </w:r>
      <w:r>
        <w:rPr>
          <w:rFonts w:eastAsia="Times New Roman" w:cs="Arial"/>
          <w:i/>
          <w:iCs/>
        </w:rPr>
        <w:t>Power Output vs. Generator Reactive Power Output</w:t>
      </w:r>
      <w:r>
        <w:rPr>
          <w:rFonts w:eastAsia="MS Mincho" w:cs="Arial"/>
          <w:w w:val="0"/>
        </w:rPr>
        <w:t>).</w:t>
      </w:r>
    </w:p>
    <w:p w:rsidRPr="00F10071" w:rsidR="00D96326" w:rsidP="00D96326" w:rsidRDefault="00D96326" w14:paraId="61556EBB" w14:textId="77777777">
      <w:pPr>
        <w:adjustRightInd w:val="0"/>
        <w:spacing w:before="0" w:after="480"/>
        <w:textAlignment w:val="baseline"/>
        <w:rPr>
          <w:rFonts w:eastAsia="Times New Roman" w:cs="Arial"/>
        </w:rPr>
      </w:pPr>
    </w:p>
    <w:p w:rsidRPr="00F10071" w:rsidR="00D96326" w:rsidP="00D96326" w:rsidRDefault="00D96326" w14:paraId="2585ECED" w14:textId="77777777">
      <w:pPr>
        <w:adjustRightInd w:val="0"/>
        <w:spacing w:before="0" w:after="480"/>
        <w:textAlignment w:val="baseline"/>
        <w:rPr>
          <w:rFonts w:eastAsia="Times New Roman" w:cs="Arial"/>
        </w:rPr>
      </w:pPr>
    </w:p>
    <w:p w:rsidRPr="00E37DA1" w:rsidR="00D96326" w:rsidP="00D96326" w:rsidRDefault="00D96326" w14:paraId="1DDF16A4" w14:textId="77777777">
      <w:pPr>
        <w:adjustRightInd w:val="0"/>
        <w:spacing w:before="0" w:after="480"/>
        <w:jc w:val="center"/>
        <w:textAlignment w:val="baseline"/>
        <w:rPr>
          <w:rFonts w:eastAsia="Times New Roman" w:cs="Arial"/>
          <w:iCs/>
        </w:rPr>
      </w:pPr>
      <w:r>
        <w:rPr>
          <w:rFonts w:eastAsia="Times New Roman" w:cs="Arial"/>
          <w:iCs/>
          <w:highlight w:val="yellow"/>
        </w:rPr>
        <w:t>[To be provided by Bidder]</w:t>
      </w:r>
    </w:p>
    <w:p w:rsidRPr="00F10071" w:rsidR="00D96326" w:rsidP="00D96326" w:rsidRDefault="00D96326" w14:paraId="1274638E" w14:textId="7CC904D1">
      <w:pPr>
        <w:adjustRightInd w:val="0"/>
        <w:spacing w:before="0" w:after="480"/>
        <w:jc w:val="left"/>
        <w:textAlignment w:val="baseline"/>
        <w:rPr>
          <w:rFonts w:eastAsia="Times New Roman" w:cs="Arial"/>
        </w:rPr>
      </w:pPr>
      <w:r>
        <w:rPr>
          <w:rFonts w:eastAsia="Times New Roman" w:cs="Arial"/>
          <w:b/>
        </w:rPr>
        <w:t>Figure E1</w:t>
      </w:r>
      <w:r>
        <w:rPr>
          <w:rFonts w:eastAsia="Times New Roman" w:cs="Arial"/>
        </w:rPr>
        <w:t>: Power Output vs. Dry Bulb Temperature and Relative Humidity</w:t>
      </w:r>
    </w:p>
    <w:p w:rsidRPr="00F10071" w:rsidR="00D96326" w:rsidP="00D96326" w:rsidRDefault="00D96326" w14:paraId="161BE720" w14:textId="77777777">
      <w:pPr>
        <w:adjustRightInd w:val="0"/>
        <w:spacing w:before="0" w:after="480"/>
        <w:jc w:val="left"/>
        <w:textAlignment w:val="baseline"/>
        <w:rPr>
          <w:rFonts w:eastAsia="Times New Roman" w:cs="Arial"/>
          <w:i/>
        </w:rPr>
      </w:pPr>
    </w:p>
    <w:p w:rsidRPr="00F10071" w:rsidR="00D96326" w:rsidP="00D96326" w:rsidRDefault="00D96326" w14:paraId="7B7FB84E" w14:textId="77777777">
      <w:pPr>
        <w:adjustRightInd w:val="0"/>
        <w:spacing w:before="0" w:after="480"/>
        <w:jc w:val="left"/>
        <w:textAlignment w:val="baseline"/>
        <w:rPr>
          <w:rFonts w:eastAsia="Times New Roman" w:cs="Arial"/>
          <w:i/>
        </w:rPr>
      </w:pPr>
    </w:p>
    <w:p w:rsidRPr="00F10071" w:rsidR="00D96326" w:rsidP="00D96326" w:rsidRDefault="00D96326" w14:paraId="6DCE89E2" w14:textId="77777777">
      <w:pPr>
        <w:adjustRightInd w:val="0"/>
        <w:spacing w:before="0" w:after="480"/>
        <w:jc w:val="left"/>
        <w:textAlignment w:val="baseline"/>
        <w:rPr>
          <w:rFonts w:eastAsia="Times New Roman" w:cs="Arial"/>
          <w:i/>
        </w:rPr>
      </w:pPr>
    </w:p>
    <w:p w:rsidRPr="00F10071" w:rsidR="00D96326" w:rsidP="00D96326" w:rsidRDefault="00D96326" w14:paraId="278CA58E" w14:textId="77777777">
      <w:pPr>
        <w:adjustRightInd w:val="0"/>
        <w:spacing w:before="0" w:after="480"/>
        <w:jc w:val="left"/>
        <w:textAlignment w:val="baseline"/>
        <w:rPr>
          <w:rFonts w:eastAsia="Times New Roman" w:cs="Arial"/>
          <w:i/>
        </w:rPr>
      </w:pPr>
    </w:p>
    <w:p w:rsidRPr="00E37DA1" w:rsidR="00D96326" w:rsidP="00D96326" w:rsidRDefault="00D96326" w14:paraId="59B7F534" w14:textId="77777777">
      <w:pPr>
        <w:adjustRightInd w:val="0"/>
        <w:spacing w:before="0" w:after="480"/>
        <w:jc w:val="center"/>
        <w:textAlignment w:val="baseline"/>
        <w:rPr>
          <w:rFonts w:eastAsia="Times New Roman" w:cs="Arial"/>
          <w:iCs/>
        </w:rPr>
      </w:pPr>
      <w:r>
        <w:rPr>
          <w:rFonts w:eastAsia="Times New Roman" w:cs="Arial"/>
          <w:iCs/>
          <w:highlight w:val="yellow"/>
        </w:rPr>
        <w:t>[To be provided by Bidder]</w:t>
      </w:r>
    </w:p>
    <w:p w:rsidRPr="00F10071" w:rsidR="00D96326" w:rsidP="00D96326" w:rsidRDefault="00D96326" w14:paraId="0146A3B6" w14:textId="3B9E95F5">
      <w:pPr>
        <w:adjustRightInd w:val="0"/>
        <w:spacing w:before="0" w:after="480"/>
        <w:jc w:val="left"/>
        <w:textAlignment w:val="baseline"/>
        <w:rPr>
          <w:rFonts w:eastAsia="Times New Roman" w:cs="Arial"/>
        </w:rPr>
      </w:pPr>
      <w:r>
        <w:rPr>
          <w:rFonts w:eastAsia="Times New Roman" w:cs="Arial"/>
          <w:b/>
        </w:rPr>
        <w:t>Figure E2</w:t>
      </w:r>
      <w:r>
        <w:rPr>
          <w:rFonts w:eastAsia="Times New Roman" w:cs="Arial"/>
        </w:rPr>
        <w:t>: Power Output vs. Barometric Pressure</w:t>
      </w:r>
    </w:p>
    <w:p w:rsidRPr="00F10071" w:rsidR="00D96326" w:rsidP="00D96326" w:rsidRDefault="00D96326" w14:paraId="0E032C1A" w14:textId="77777777">
      <w:pPr>
        <w:adjustRightInd w:val="0"/>
        <w:spacing w:before="0" w:after="480"/>
        <w:jc w:val="left"/>
        <w:textAlignment w:val="baseline"/>
        <w:rPr>
          <w:rFonts w:eastAsia="Times New Roman" w:cs="Arial"/>
          <w:i/>
        </w:rPr>
      </w:pPr>
    </w:p>
    <w:p w:rsidRPr="00F10071" w:rsidR="00D96326" w:rsidP="00D96326" w:rsidRDefault="00D96326" w14:paraId="2ABF90A7" w14:textId="77777777">
      <w:pPr>
        <w:adjustRightInd w:val="0"/>
        <w:spacing w:before="0" w:after="480"/>
        <w:jc w:val="left"/>
        <w:textAlignment w:val="baseline"/>
        <w:rPr>
          <w:rFonts w:eastAsia="Times New Roman" w:cs="Arial"/>
          <w:i/>
        </w:rPr>
      </w:pPr>
    </w:p>
    <w:p w:rsidRPr="00F10071" w:rsidR="00D96326" w:rsidP="00D96326" w:rsidRDefault="00D96326" w14:paraId="03525E8E" w14:textId="77777777">
      <w:pPr>
        <w:adjustRightInd w:val="0"/>
        <w:spacing w:before="0" w:after="480"/>
        <w:jc w:val="left"/>
        <w:textAlignment w:val="baseline"/>
        <w:rPr>
          <w:rFonts w:eastAsia="Times New Roman" w:cs="Arial"/>
          <w:i/>
        </w:rPr>
      </w:pPr>
    </w:p>
    <w:p w:rsidRPr="00C0477A" w:rsidR="00D96326" w:rsidP="00D96326" w:rsidRDefault="00D96326" w14:paraId="0A0226DF" w14:textId="77777777">
      <w:pPr>
        <w:adjustRightInd w:val="0"/>
        <w:spacing w:before="0" w:after="480"/>
        <w:jc w:val="center"/>
        <w:textAlignment w:val="baseline"/>
        <w:rPr>
          <w:rFonts w:eastAsia="Times New Roman" w:cs="Arial"/>
          <w:iCs/>
        </w:rPr>
      </w:pPr>
      <w:r>
        <w:rPr>
          <w:rFonts w:eastAsia="Times New Roman" w:cs="Arial"/>
          <w:iCs/>
          <w:highlight w:val="yellow"/>
        </w:rPr>
        <w:t>[To be provided by Bidder]</w:t>
      </w:r>
    </w:p>
    <w:p w:rsidRPr="007B1B47" w:rsidR="00D96326" w:rsidP="00D96326" w:rsidRDefault="00D96326" w14:paraId="0F99FA78" w14:textId="07394ED0">
      <w:pPr>
        <w:spacing w:after="480"/>
        <w:jc w:val="left"/>
        <w:rPr>
          <w:rFonts w:cs="Arial"/>
          <w:b/>
        </w:rPr>
        <w:sectPr w:rsidRPr="007B1B47" w:rsidR="00D96326" w:rsidSect="006B1C54">
          <w:headerReference w:type="default" r:id="rId40"/>
          <w:footerReference w:type="default" r:id="rId41"/>
          <w:pgSz w:w="12240" w:h="15840" w:code="1"/>
          <w:pgMar w:top="1440" w:right="1440" w:bottom="1440" w:left="1440" w:header="720" w:footer="720" w:gutter="0"/>
          <w:paperSrc w:first="15" w:other="15"/>
          <w:cols w:space="1440"/>
        </w:sectPr>
      </w:pPr>
      <w:r>
        <w:rPr>
          <w:rFonts w:eastAsia="Times New Roman" w:cs="Arial"/>
          <w:b/>
        </w:rPr>
        <w:t>Figure E3</w:t>
      </w:r>
      <w:r>
        <w:rPr>
          <w:rFonts w:eastAsia="Times New Roman" w:cs="Arial"/>
        </w:rPr>
        <w:t>: Power Output vs. Generator Reactive Power Output</w:t>
      </w:r>
      <w:r>
        <w:rPr>
          <w:rFonts w:cs="Arial"/>
        </w:rPr>
        <w:t xml:space="preserve">  </w:t>
      </w:r>
    </w:p>
    <w:p w:rsidRPr="00F10071" w:rsidR="00D4327D" w:rsidP="00D4327D" w:rsidRDefault="00D4327D" w14:paraId="5BED24F4" w14:textId="6BAE07B0">
      <w:pPr>
        <w:pStyle w:val="zGTitleExhibit"/>
        <w:rPr>
          <w:rFonts w:cs="Arial"/>
        </w:rPr>
      </w:pPr>
      <w:bookmarkStart w:name="_Toc212475779" w:id="480"/>
      <w:bookmarkStart w:name="_Toc227838476" w:id="481"/>
      <w:r>
        <w:rPr>
          <w:rFonts w:cs="Arial"/>
        </w:rPr>
        <w:lastRenderedPageBreak/>
        <w:t>Exhibit F – Guaranteed Heat Rates</w:t>
      </w:r>
      <w:bookmarkEnd w:id="480"/>
      <w:bookmarkEnd w:id="481"/>
    </w:p>
    <w:p w:rsidRPr="00F10071" w:rsidR="007A4214" w:rsidP="007A4214" w:rsidRDefault="007A4214" w14:paraId="11EAD9F8" w14:textId="13A47630">
      <w:pPr>
        <w:adjustRightInd w:val="0"/>
        <w:spacing w:before="0" w:after="480"/>
        <w:textAlignment w:val="baseline"/>
        <w:outlineLvl w:val="0"/>
        <w:rPr>
          <w:rFonts w:eastAsia="Times New Roman" w:cs="Arial"/>
        </w:rPr>
      </w:pPr>
      <w:r>
        <w:rPr>
          <w:rFonts w:eastAsia="Times New Roman" w:cs="Arial"/>
        </w:rPr>
        <w:t xml:space="preserve">Energy produced by Seller and delivered to GPC from synchronization to Minimum Capacity and from Minimum Capacity to offline will be paid for at the Guaranteed Heat Rate at Minimum Capacity. Guaranteed Heat Rate will be established at Reference Conditions for each mode of operation. </w:t>
      </w:r>
      <w:r>
        <w:rPr>
          <w:rFonts w:eastAsia="Times New Roman" w:cs="Arial"/>
          <w:b/>
          <w:i/>
        </w:rPr>
        <w:t>GPC recognizes that this may not completely compensate bidders for the cost incurred to reach minimum output. Therefore, bidders should include any shortfall in the fuel startup charge.</w:t>
      </w:r>
    </w:p>
    <w:p w:rsidRPr="00CB241B" w:rsidR="007A4214" w:rsidP="007A4214" w:rsidRDefault="007A4214" w14:paraId="4133B3D8" w14:textId="77777777">
      <w:pPr>
        <w:spacing w:before="0" w:after="480" w:line="360" w:lineRule="atLeast"/>
        <w:jc w:val="center"/>
        <w:outlineLvl w:val="0"/>
        <w:rPr>
          <w:rFonts w:eastAsia="Times New Roman" w:cs="Arial"/>
          <w:b/>
          <w:bCs/>
        </w:rPr>
      </w:pPr>
      <w:r>
        <w:rPr>
          <w:rFonts w:eastAsia="Times New Roman" w:cs="Arial"/>
          <w:b/>
          <w:bCs/>
        </w:rPr>
        <w:t>Guaranteed Heat Rate (in MMBtu/MWh) = Ap + B + C/p</w:t>
      </w:r>
    </w:p>
    <w:p w:rsidRPr="00CB241B" w:rsidR="007A4214" w:rsidP="007A4214" w:rsidRDefault="007A4214" w14:paraId="7787411A" w14:textId="77777777">
      <w:pPr>
        <w:spacing w:before="0" w:after="480" w:line="360" w:lineRule="atLeast"/>
        <w:jc w:val="center"/>
        <w:outlineLvl w:val="0"/>
        <w:rPr>
          <w:rFonts w:eastAsia="Times New Roman" w:cs="Arial"/>
          <w:b/>
          <w:bCs/>
        </w:rPr>
      </w:pPr>
      <w:r>
        <w:rPr>
          <w:rFonts w:eastAsia="Times New Roman" w:cs="Arial"/>
          <w:b/>
          <w:bCs/>
        </w:rPr>
        <w:t>Where p = net output from the Facility</w:t>
      </w:r>
    </w:p>
    <w:p w:rsidRPr="00B806CC" w:rsidR="00D4327D" w:rsidP="00D4327D" w:rsidRDefault="00D4327D" w14:paraId="71150983" w14:textId="4552BB5E">
      <w:pPr>
        <w:adjustRightInd w:val="0"/>
        <w:spacing w:before="0" w:after="480" w:line="360" w:lineRule="atLeast"/>
        <w:jc w:val="center"/>
        <w:textAlignment w:val="baseline"/>
        <w:outlineLvl w:val="0"/>
        <w:rPr>
          <w:rFonts w:eastAsia="Times New Roman" w:cs="Arial"/>
          <w:b/>
        </w:rPr>
        <w:sectPr w:rsidRPr="00B806CC" w:rsidR="00D4327D" w:rsidSect="006B1C54">
          <w:headerReference w:type="default" r:id="rId42"/>
          <w:footerReference w:type="default" r:id="rId43"/>
          <w:pgSz w:w="12240" w:h="15840" w:code="1"/>
          <w:pgMar w:top="1440" w:right="1440" w:bottom="1440" w:left="1440" w:header="720" w:footer="720" w:gutter="0"/>
          <w:paperSrc w:first="15" w:other="15"/>
          <w:cols w:space="1440"/>
        </w:sectPr>
      </w:pPr>
    </w:p>
    <w:p w:rsidRPr="00F10071" w:rsidR="00CC1967" w:rsidP="00E646E8" w:rsidRDefault="00CC1967" w14:paraId="508969B7" w14:textId="34AE9909">
      <w:pPr>
        <w:pStyle w:val="zGTitleExhibit"/>
        <w:tabs>
          <w:tab w:val="left" w:pos="8280"/>
        </w:tabs>
        <w:rPr>
          <w:rFonts w:cs="Arial"/>
        </w:rPr>
      </w:pPr>
      <w:bookmarkStart w:name="_Toc159988040" w:id="482"/>
      <w:bookmarkStart w:name="_Toc212475780" w:id="483"/>
      <w:bookmarkStart w:name="_Toc227838477" w:id="484"/>
      <w:r>
        <w:rPr>
          <w:rFonts w:cs="Arial"/>
        </w:rPr>
        <w:lastRenderedPageBreak/>
        <w:t>Exhibit G – Form of Guaranty</w:t>
      </w:r>
      <w:bookmarkEnd w:id="482"/>
      <w:bookmarkEnd w:id="483"/>
      <w:bookmarkEnd w:id="484"/>
    </w:p>
    <w:p w:rsidRPr="00E14CB1" w:rsidR="00CC1967" w:rsidP="00CC1967" w:rsidRDefault="00CC1967" w14:paraId="42A97CB4" w14:textId="77777777">
      <w:pPr>
        <w:rPr>
          <w:rFonts w:eastAsia="Times New Roman"/>
        </w:rPr>
      </w:pPr>
      <w:r>
        <w:rPr>
          <w:rFonts w:eastAsia="Times New Roman"/>
        </w:rPr>
        <w:t xml:space="preserve">This </w:t>
      </w:r>
      <w:r>
        <w:rPr>
          <w:rFonts w:eastAsia="Times New Roman"/>
          <w:b/>
        </w:rPr>
        <w:t>Guaranty Agreement</w:t>
      </w:r>
      <w:r>
        <w:rPr>
          <w:rFonts w:eastAsia="Times New Roman"/>
        </w:rPr>
        <w:t xml:space="preserve"> (“</w:t>
      </w:r>
      <w:r>
        <w:rPr>
          <w:rFonts w:eastAsia="Times New Roman"/>
          <w:b/>
        </w:rPr>
        <w:t>Guaranty</w:t>
      </w:r>
      <w:r>
        <w:rPr>
          <w:rFonts w:eastAsia="Times New Roman"/>
        </w:rPr>
        <w:t>”), effective as of ___________, 20__ (“</w:t>
      </w:r>
      <w:r>
        <w:rPr>
          <w:rFonts w:eastAsia="Times New Roman"/>
          <w:b/>
        </w:rPr>
        <w:t>Effective Date</w:t>
      </w:r>
      <w:r>
        <w:rPr>
          <w:rFonts w:eastAsia="Times New Roman"/>
        </w:rPr>
        <w:t>”), is entered into by __________________ (“</w:t>
      </w:r>
      <w:r>
        <w:rPr>
          <w:rFonts w:eastAsia="Times New Roman"/>
          <w:b/>
        </w:rPr>
        <w:t>Guarantor</w:t>
      </w:r>
      <w:r>
        <w:rPr>
          <w:rFonts w:eastAsia="Times New Roman"/>
        </w:rPr>
        <w:t>”) in favor of Georgia Power Company (“</w:t>
      </w:r>
      <w:r>
        <w:rPr>
          <w:rFonts w:eastAsia="Times New Roman"/>
          <w:b/>
        </w:rPr>
        <w:t>Beneficiary</w:t>
      </w:r>
      <w:r>
        <w:rPr>
          <w:rFonts w:eastAsia="Times New Roman"/>
        </w:rPr>
        <w:t>”). Guarantor acknowledges:</w:t>
      </w:r>
    </w:p>
    <w:p w:rsidRPr="00E14CB1" w:rsidR="00CC1967" w:rsidP="00E62CF6" w:rsidRDefault="00C13E08" w14:paraId="7B21DC74" w14:textId="58E69115">
      <w:pPr>
        <w:numPr>
          <w:ilvl w:val="0"/>
          <w:numId w:val="20"/>
        </w:numPr>
        <w:spacing w:after="0"/>
        <w:rPr>
          <w:rFonts w:eastAsia="Times New Roman"/>
          <w:spacing w:val="-4"/>
        </w:rPr>
      </w:pPr>
      <w:bookmarkStart w:name="_DV_M826" w:id="485"/>
      <w:bookmarkEnd w:id="485"/>
      <w:r>
        <w:rPr>
          <w:rFonts w:eastAsia="Times New Roman"/>
          <w:spacing w:val="-4"/>
        </w:rPr>
        <w:t>Beneficiary and ____________________ (“</w:t>
      </w:r>
      <w:r>
        <w:rPr>
          <w:rFonts w:eastAsia="Times New Roman"/>
          <w:b/>
          <w:bCs/>
          <w:spacing w:val="-4"/>
        </w:rPr>
        <w:t>Company</w:t>
      </w:r>
      <w:r>
        <w:rPr>
          <w:rFonts w:eastAsia="Times New Roman"/>
          <w:spacing w:val="-4"/>
        </w:rPr>
        <w:t>”), [an Affiliate of Guarantor], have entered into a</w:t>
      </w:r>
      <w:r>
        <w:t xml:space="preserve"> </w:t>
      </w:r>
      <w:bookmarkStart w:name="_Hlk142671291" w:id="486"/>
      <w:r>
        <w:rPr>
          <w:rStyle w:val="eop"/>
          <w:rFonts w:cs="Arial"/>
          <w:b/>
          <w:shd w:val="clear" w:color="auto" w:fill="FFFFFF"/>
        </w:rPr>
        <w:t xml:space="preserve">Power Purchase Agreement for </w:t>
      </w:r>
      <w:r>
        <w:rPr>
          <w:rStyle w:val="eop"/>
          <w:rFonts w:cs="Arial"/>
          <w:b/>
          <w:bCs/>
          <w:shd w:val="clear" w:color="auto" w:fill="FFFFFF"/>
        </w:rPr>
        <w:t>Firm Capacity, Firm</w:t>
      </w:r>
      <w:r>
        <w:rPr>
          <w:rStyle w:val="eop"/>
          <w:rFonts w:cs="Arial"/>
          <w:b/>
          <w:shd w:val="clear" w:color="auto" w:fill="FFFFFF"/>
        </w:rPr>
        <w:t xml:space="preserve"> Energy, and Ancillary Services from a Combustion Turbine Facility</w:t>
      </w:r>
      <w:r>
        <w:rPr>
          <w:rFonts w:eastAsia="Times New Roman" w:cs="Arial"/>
          <w:b/>
        </w:rPr>
        <w:t xml:space="preserve"> </w:t>
      </w:r>
      <w:r>
        <w:rPr>
          <w:rFonts w:eastAsia="Times New Roman" w:cs="Arial"/>
          <w:b/>
          <w:bCs/>
        </w:rPr>
        <w:t xml:space="preserve">for </w:t>
      </w:r>
      <w:r>
        <w:rPr>
          <w:rFonts w:eastAsia="Times New Roman" w:cs="Arial"/>
          <w:b/>
        </w:rPr>
        <w:t xml:space="preserve">2026 All-Source Capacity </w:t>
      </w:r>
      <w:bookmarkEnd w:id="486"/>
      <w:r>
        <w:rPr>
          <w:rFonts w:eastAsia="Times New Roman" w:cs="Arial"/>
          <w:b/>
        </w:rPr>
        <w:t>Request for Proposals for Need Years 2032</w:t>
      </w:r>
      <w:r>
        <w:rPr>
          <w:rFonts w:cs="Arial"/>
          <w:b/>
        </w:rPr>
        <w:t>–</w:t>
      </w:r>
      <w:r>
        <w:rPr>
          <w:rFonts w:eastAsia="Times New Roman" w:cs="Arial"/>
          <w:b/>
        </w:rPr>
        <w:t>2033</w:t>
      </w:r>
      <w:r>
        <w:rPr>
          <w:b/>
          <w:bCs/>
        </w:rPr>
        <w:t xml:space="preserve"> </w:t>
      </w:r>
      <w:r>
        <w:rPr>
          <w:rFonts w:eastAsia="Times New Roman"/>
          <w:spacing w:val="-4"/>
        </w:rPr>
        <w:t xml:space="preserve">dated as of ____________, 20__ </w:t>
      </w:r>
      <w:r>
        <w:rPr>
          <w:rFonts w:eastAsia="Times New Roman"/>
        </w:rPr>
        <w:t>(as amended, restated, supplemented or otherwise modified from time to time, “</w:t>
      </w:r>
      <w:r>
        <w:rPr>
          <w:rFonts w:eastAsia="Times New Roman"/>
          <w:b/>
          <w:spacing w:val="-4"/>
        </w:rPr>
        <w:t>PPA</w:t>
      </w:r>
      <w:r>
        <w:rPr>
          <w:rFonts w:eastAsia="Times New Roman"/>
          <w:spacing w:val="-4"/>
        </w:rPr>
        <w:t xml:space="preserve">”) regarding combustion turbine facility located in </w:t>
      </w:r>
      <w:r>
        <w:rPr>
          <w:rFonts w:eastAsia="Times New Roman"/>
          <w:spacing w:val="-4"/>
          <w:highlight w:val="yellow"/>
        </w:rPr>
        <w:t>#FacilityCity,</w:t>
      </w:r>
      <w:r>
        <w:rPr>
          <w:rFonts w:eastAsia="Times New Roman"/>
          <w:spacing w:val="-4"/>
        </w:rPr>
        <w:t xml:space="preserve"> </w:t>
      </w:r>
      <w:r>
        <w:rPr>
          <w:rFonts w:eastAsia="Times New Roman"/>
          <w:spacing w:val="-4"/>
          <w:highlight w:val="yellow"/>
        </w:rPr>
        <w:t>#FacilityState</w:t>
      </w:r>
      <w:r>
        <w:rPr>
          <w:rFonts w:eastAsia="Times New Roman"/>
          <w:spacing w:val="-4"/>
        </w:rPr>
        <w:t>, as further described in Exhibit A (</w:t>
      </w:r>
      <w:r>
        <w:rPr>
          <w:rFonts w:eastAsia="Times New Roman"/>
          <w:i/>
          <w:spacing w:val="-4"/>
        </w:rPr>
        <w:t>Facility Description and Additional Details</w:t>
      </w:r>
      <w:r>
        <w:rPr>
          <w:rFonts w:eastAsia="Times New Roman"/>
          <w:spacing w:val="-4"/>
        </w:rPr>
        <w:t>);</w:t>
      </w:r>
      <w:bookmarkStart w:name="_DV_M827" w:id="487"/>
      <w:bookmarkEnd w:id="487"/>
    </w:p>
    <w:p w:rsidRPr="00E14CB1" w:rsidR="00CC1967" w:rsidP="00E62CF6" w:rsidRDefault="00CC1967" w14:paraId="5D1350E4" w14:textId="77777777">
      <w:pPr>
        <w:numPr>
          <w:ilvl w:val="0"/>
          <w:numId w:val="20"/>
        </w:numPr>
        <w:spacing w:after="0"/>
        <w:rPr>
          <w:rFonts w:eastAsia="Times New Roman"/>
          <w:spacing w:val="-4"/>
        </w:rPr>
      </w:pPr>
      <w:r>
        <w:rPr>
          <w:rFonts w:eastAsia="Times New Roman"/>
          <w:spacing w:val="-4"/>
        </w:rPr>
        <w:t xml:space="preserve">Beneficiary has required, as </w:t>
      </w:r>
      <w:r>
        <w:rPr>
          <w:rFonts w:eastAsia="Times New Roman"/>
        </w:rPr>
        <w:t>an inducement</w:t>
      </w:r>
      <w:r>
        <w:rPr>
          <w:rFonts w:eastAsia="Times New Roman"/>
          <w:spacing w:val="-4"/>
        </w:rPr>
        <w:t xml:space="preserve"> to its entry into the PPA, that Guarantor deliver to the Beneficiary this Guaranty or other Eligible Collateral as and when required under the </w:t>
      </w:r>
      <w:proofErr w:type="gramStart"/>
      <w:r>
        <w:rPr>
          <w:rFonts w:eastAsia="Times New Roman"/>
          <w:spacing w:val="-4"/>
        </w:rPr>
        <w:t>PPA;</w:t>
      </w:r>
      <w:bookmarkStart w:name="_DV_M828" w:id="488"/>
      <w:bookmarkEnd w:id="488"/>
      <w:proofErr w:type="gramEnd"/>
    </w:p>
    <w:p w:rsidRPr="00E14CB1" w:rsidR="00CC1967" w:rsidP="00E62CF6" w:rsidRDefault="00CC1967" w14:paraId="49131351" w14:textId="77777777">
      <w:pPr>
        <w:numPr>
          <w:ilvl w:val="0"/>
          <w:numId w:val="20"/>
        </w:numPr>
        <w:spacing w:after="0"/>
        <w:rPr>
          <w:rFonts w:eastAsia="Times New Roman"/>
          <w:spacing w:val="-4"/>
        </w:rPr>
      </w:pPr>
      <w:r>
        <w:rPr>
          <w:rFonts w:eastAsia="Times New Roman"/>
          <w:spacing w:val="-4"/>
        </w:rPr>
        <w:t>Guarantor qualifies as a Seller Guarantor under the PPA, and this Guaranty qualifies as Eligible Collateral under the PPA; and</w:t>
      </w:r>
      <w:bookmarkStart w:name="_DV_M829" w:id="489"/>
      <w:bookmarkEnd w:id="489"/>
    </w:p>
    <w:p w:rsidRPr="00E14CB1" w:rsidR="00CC1967" w:rsidP="00E62CF6" w:rsidRDefault="00CC1967" w14:paraId="7BD8F81E" w14:textId="77777777">
      <w:pPr>
        <w:numPr>
          <w:ilvl w:val="0"/>
          <w:numId w:val="20"/>
        </w:numPr>
        <w:spacing w:after="0"/>
        <w:rPr>
          <w:rFonts w:eastAsia="Times New Roman"/>
          <w:spacing w:val="-4"/>
        </w:rPr>
      </w:pPr>
      <w:r>
        <w:rPr>
          <w:rFonts w:eastAsia="Times New Roman"/>
          <w:spacing w:val="-4"/>
        </w:rPr>
        <w:t>Guarantor will derive substantial direct and indirect benefit from the transactions contemplated by the PPA.</w:t>
      </w:r>
    </w:p>
    <w:p w:rsidRPr="00E14CB1" w:rsidR="004611CF" w:rsidP="004611CF" w:rsidRDefault="004611CF" w14:paraId="4DB3941A" w14:textId="77777777">
      <w:pPr>
        <w:rPr>
          <w:rFonts w:eastAsia="Times New Roman"/>
        </w:rPr>
      </w:pPr>
      <w:bookmarkStart w:name="_DV_M830" w:id="490"/>
      <w:bookmarkEnd w:id="490"/>
      <w:r>
        <w:rPr>
          <w:rFonts w:eastAsia="Times New Roman"/>
        </w:rPr>
        <w:t xml:space="preserve">To induce Beneficiary to </w:t>
      </w:r>
      <w:proofErr w:type="gramStart"/>
      <w:r>
        <w:rPr>
          <w:rFonts w:eastAsia="Times New Roman"/>
        </w:rPr>
        <w:t>enter into</w:t>
      </w:r>
      <w:proofErr w:type="gramEnd"/>
      <w:r>
        <w:rPr>
          <w:rFonts w:eastAsia="Times New Roman"/>
        </w:rPr>
        <w:t xml:space="preserve"> and perform its obligations under the PPA, and for and in consideration of the foregoing premises, the mutual agreements contained herein, and other good and valuable consideration, the receipt and sufficiency of which are acknowledged, Guarantor agrees as follows:</w:t>
      </w:r>
    </w:p>
    <w:p w:rsidRPr="00E14CB1" w:rsidR="004611CF" w:rsidP="004611CF" w:rsidRDefault="004611CF" w14:paraId="7D45975D" w14:textId="5BEB21E2">
      <w:pPr>
        <w:keepNext/>
        <w:autoSpaceDE w:val="0"/>
        <w:autoSpaceDN w:val="0"/>
        <w:adjustRightInd w:val="0"/>
        <w:spacing w:before="240"/>
        <w:jc w:val="left"/>
        <w:outlineLvl w:val="0"/>
        <w:rPr>
          <w:rFonts w:eastAsia="Times New Roman"/>
          <w:b/>
          <w:caps/>
        </w:rPr>
      </w:pPr>
      <w:bookmarkStart w:name="_DV_M831" w:id="491"/>
      <w:bookmarkEnd w:id="491"/>
      <w:r>
        <w:rPr>
          <w:rFonts w:eastAsia="Times New Roman"/>
          <w:b/>
          <w:caps/>
        </w:rPr>
        <w:t>PART 1 Definitions</w:t>
      </w:r>
    </w:p>
    <w:p w:rsidRPr="00E14CB1" w:rsidR="004611CF" w:rsidP="00E62CF6" w:rsidRDefault="004611CF" w14:paraId="71CCB688" w14:textId="77777777">
      <w:pPr>
        <w:numPr>
          <w:ilvl w:val="0"/>
          <w:numId w:val="19"/>
        </w:numPr>
        <w:tabs>
          <w:tab w:val="left" w:pos="540"/>
        </w:tabs>
        <w:autoSpaceDE w:val="0"/>
        <w:autoSpaceDN w:val="0"/>
        <w:adjustRightInd w:val="0"/>
        <w:ind w:left="0" w:firstLine="0"/>
        <w:outlineLvl w:val="1"/>
        <w:rPr>
          <w:rFonts w:eastAsia="Times New Roman"/>
        </w:rPr>
      </w:pPr>
      <w:bookmarkStart w:name="_DV_M832" w:id="492"/>
      <w:bookmarkEnd w:id="492"/>
      <w:r>
        <w:rPr>
          <w:rFonts w:eastAsia="Times New Roman"/>
          <w:b/>
        </w:rPr>
        <w:t>Definitions.</w:t>
      </w:r>
      <w:r>
        <w:rPr>
          <w:rFonts w:eastAsia="Times New Roman"/>
        </w:rPr>
        <w:t xml:space="preserve"> Unless otherwise defined in this Guaranty, capitalized terms have the meanings specified or referred to in the PPA.</w:t>
      </w:r>
    </w:p>
    <w:p w:rsidRPr="00E14CB1" w:rsidR="004611CF" w:rsidP="004611CF" w:rsidRDefault="004611CF" w14:paraId="55836109" w14:textId="667FC4C0">
      <w:pPr>
        <w:keepNext/>
        <w:autoSpaceDE w:val="0"/>
        <w:autoSpaceDN w:val="0"/>
        <w:adjustRightInd w:val="0"/>
        <w:spacing w:before="240"/>
        <w:jc w:val="left"/>
        <w:outlineLvl w:val="0"/>
        <w:rPr>
          <w:rFonts w:eastAsia="Times New Roman"/>
          <w:b/>
          <w:caps/>
        </w:rPr>
      </w:pPr>
      <w:bookmarkStart w:name="_DV_M833" w:id="493"/>
      <w:bookmarkEnd w:id="493"/>
      <w:r>
        <w:rPr>
          <w:rFonts w:eastAsia="Times New Roman"/>
          <w:b/>
          <w:caps/>
        </w:rPr>
        <w:t>PART 2 Guaranty</w:t>
      </w:r>
    </w:p>
    <w:p w:rsidRPr="00CB241B" w:rsidR="004611CF" w:rsidP="00E62CF6" w:rsidRDefault="004611CF" w14:paraId="2C2E8A2F" w14:textId="7B6EDA90">
      <w:pPr>
        <w:numPr>
          <w:ilvl w:val="0"/>
          <w:numId w:val="19"/>
        </w:numPr>
        <w:tabs>
          <w:tab w:val="left" w:pos="540"/>
        </w:tabs>
        <w:autoSpaceDE w:val="0"/>
        <w:autoSpaceDN w:val="0"/>
        <w:adjustRightInd w:val="0"/>
        <w:ind w:left="0" w:firstLine="0"/>
        <w:outlineLvl w:val="1"/>
        <w:rPr>
          <w:rFonts w:eastAsia="Times New Roman"/>
        </w:rPr>
      </w:pPr>
      <w:bookmarkStart w:name="_DV_M834" w:id="494"/>
      <w:bookmarkEnd w:id="494"/>
      <w:r>
        <w:rPr>
          <w:rFonts w:eastAsia="Times New Roman"/>
          <w:b/>
        </w:rPr>
        <w:t>Guaranty.</w:t>
      </w:r>
      <w:r>
        <w:rPr>
          <w:rFonts w:eastAsia="Times New Roman"/>
          <w:i/>
        </w:rPr>
        <w:t xml:space="preserve"> </w:t>
      </w:r>
      <w:r>
        <w:rPr>
          <w:rFonts w:eastAsia="Times New Roman"/>
        </w:rPr>
        <w:t>Guarantor unconditionally and irrevocably guarantees to Beneficiary and Beneficiary’s successors and assigns, that Guarantor will make prompt and full payment of any obligations of Company to Beneficiary when due, whether by acceleration or otherwise, with any interest as may accrue under the PPA or under any other documents or instruments now or in the future evidencing, securing, or otherwise relating to the PPA (“</w:t>
      </w:r>
      <w:r>
        <w:rPr>
          <w:rFonts w:eastAsia="Times New Roman"/>
          <w:b/>
        </w:rPr>
        <w:t>Guaranteed Obligations</w:t>
      </w:r>
      <w:r>
        <w:rPr>
          <w:rFonts w:eastAsia="Times New Roman"/>
        </w:rPr>
        <w:t>”), except that Guarantor’s liability under this Guaranty will in no event exceed the aggregate amount of Eligible Collateral that Company must provide in accordance with PPA Part 6 (</w:t>
      </w:r>
      <w:r>
        <w:rPr>
          <w:rFonts w:eastAsia="Times New Roman"/>
          <w:i/>
          <w:iCs/>
        </w:rPr>
        <w:t>Performance Security</w:t>
      </w:r>
      <w:r>
        <w:rPr>
          <w:rFonts w:eastAsia="Times New Roman"/>
        </w:rPr>
        <w:t>) (plus costs of enforcement of this Guaranty as provided in Section 4.4 (</w:t>
      </w:r>
      <w:r>
        <w:rPr>
          <w:rFonts w:eastAsia="Times New Roman"/>
          <w:i/>
        </w:rPr>
        <w:t>Expenses</w:t>
      </w:r>
      <w:r>
        <w:rPr>
          <w:rFonts w:eastAsia="Times New Roman"/>
        </w:rPr>
        <w:t>)). Guarantor must immediately pay for any obligation of Company upon demand by Beneficiary.</w:t>
      </w:r>
    </w:p>
    <w:p w:rsidRPr="00E14CB1" w:rsidR="004611CF" w:rsidP="004611CF" w:rsidRDefault="004611CF" w14:paraId="107806D7" w14:textId="77777777">
      <w:pPr>
        <w:tabs>
          <w:tab w:val="left" w:pos="540"/>
          <w:tab w:val="left" w:pos="1440"/>
        </w:tabs>
        <w:autoSpaceDE w:val="0"/>
        <w:autoSpaceDN w:val="0"/>
        <w:adjustRightInd w:val="0"/>
        <w:outlineLvl w:val="1"/>
        <w:rPr>
          <w:rFonts w:eastAsia="Times New Roman"/>
          <w:b/>
          <w:i/>
        </w:rPr>
      </w:pPr>
      <w:bookmarkStart w:name="_DV_M835" w:id="495"/>
      <w:bookmarkEnd w:id="495"/>
      <w:r>
        <w:rPr>
          <w:rFonts w:eastAsia="Times New Roman"/>
          <w:b/>
        </w:rPr>
        <w:t>2.2</w:t>
      </w:r>
      <w:r>
        <w:rPr>
          <w:rFonts w:eastAsia="Times New Roman"/>
          <w:b/>
          <w:i/>
        </w:rPr>
        <w:tab/>
      </w:r>
      <w:r>
        <w:rPr>
          <w:rFonts w:eastAsia="Times New Roman"/>
          <w:b/>
        </w:rPr>
        <w:t>Guaranty Absolute</w:t>
      </w:r>
      <w:r>
        <w:rPr>
          <w:rFonts w:eastAsia="Times New Roman"/>
          <w:b/>
          <w:i/>
        </w:rPr>
        <w:t>.</w:t>
      </w:r>
    </w:p>
    <w:p w:rsidRPr="00E14CB1" w:rsidR="004611CF" w:rsidP="004611CF" w:rsidRDefault="004611CF" w14:paraId="67AB30CF" w14:textId="77777777">
      <w:pPr>
        <w:tabs>
          <w:tab w:val="left" w:pos="1440"/>
        </w:tabs>
        <w:autoSpaceDE w:val="0"/>
        <w:autoSpaceDN w:val="0"/>
        <w:adjustRightInd w:val="0"/>
        <w:ind w:left="270"/>
        <w:outlineLvl w:val="1"/>
        <w:rPr>
          <w:rFonts w:eastAsia="Times New Roman"/>
        </w:rPr>
      </w:pPr>
      <w:bookmarkStart w:name="_DV_M836" w:id="496"/>
      <w:bookmarkEnd w:id="496"/>
      <w:r>
        <w:rPr>
          <w:rFonts w:eastAsia="Times New Roman"/>
          <w:b/>
          <w:iCs/>
        </w:rPr>
        <w:t>2.2.1. Guarantor Guarantees.</w:t>
      </w:r>
      <w:r>
        <w:rPr>
          <w:rFonts w:eastAsia="Times New Roman"/>
        </w:rPr>
        <w:t xml:space="preserve"> Guarantor absolutely guarantees that the Guaranteed Obligations will be paid strictly in accordance with the terms of the PPA, regardless of any law or regulation in effect now, or that may come into effect in the future, in any jurisdiction affecting any of the terms or the rights of Beneficiary regarding the PPA. This Guaranty constitutes a guarantee of payment and not of collection. The obligations of Guarantor under this Guaranty are primary obligations and are several from Company or any other Person, and Guarantor is the principal obligor under this Guaranty. Guarantor’s liability under this Guaranty will be direct and immediate and not conditional or contingent upon the pursuit of any remedies against Company or any other person, nor against securities or liens available to Beneficiary or Beneficiary’s successors or assigns. </w:t>
      </w:r>
      <w:r>
        <w:rPr>
          <w:rFonts w:eastAsia="Times New Roman"/>
          <w:b/>
          <w:bCs/>
        </w:rPr>
        <w:t>Guarantor’s liability under this Guaranty will be irrevocable, absolute, and unconditional irrespective of, and Guarantor unconditionally and irrevocably waives any defenses it may now have or later acquire in any way relating to:</w:t>
      </w:r>
    </w:p>
    <w:p w:rsidRPr="00E14CB1" w:rsidR="004611CF" w:rsidP="00E62CF6" w:rsidRDefault="004611CF" w14:paraId="2D7C52B6" w14:textId="3FCEF4D7">
      <w:pPr>
        <w:widowControl w:val="0"/>
        <w:numPr>
          <w:ilvl w:val="6"/>
          <w:numId w:val="16"/>
        </w:numPr>
        <w:tabs>
          <w:tab w:val="left" w:pos="1080"/>
          <w:tab w:val="left" w:pos="5788"/>
        </w:tabs>
        <w:autoSpaceDE w:val="0"/>
        <w:autoSpaceDN w:val="0"/>
        <w:adjustRightInd w:val="0"/>
        <w:ind w:left="540" w:firstLine="0"/>
        <w:outlineLvl w:val="6"/>
        <w:rPr>
          <w:rFonts w:eastAsia="Times New Roman"/>
          <w:b/>
        </w:rPr>
      </w:pPr>
      <w:bookmarkStart w:name="_DV_M837" w:id="497"/>
      <w:bookmarkEnd w:id="497"/>
      <w:r>
        <w:rPr>
          <w:rFonts w:eastAsia="Times New Roman"/>
          <w:b/>
        </w:rPr>
        <w:t xml:space="preserve">any change in the time, manner, or place of payment of, or in any other term of, any of the Guaranteed Obligations, or any other amendment, modification, or waiver of, or any </w:t>
      </w:r>
      <w:r>
        <w:rPr>
          <w:rFonts w:eastAsia="Times New Roman"/>
          <w:b/>
        </w:rPr>
        <w:lastRenderedPageBreak/>
        <w:t xml:space="preserve">consent to departure from, the terms of any Guaranteed Obligations, or any compromise, settlement, release, or termination of any of the Guaranteed </w:t>
      </w:r>
      <w:proofErr w:type="gramStart"/>
      <w:r>
        <w:rPr>
          <w:rFonts w:eastAsia="Times New Roman"/>
          <w:b/>
        </w:rPr>
        <w:t>Obligations;</w:t>
      </w:r>
      <w:bookmarkStart w:name="_DV_M838" w:id="498"/>
      <w:bookmarkEnd w:id="498"/>
      <w:proofErr w:type="gramEnd"/>
    </w:p>
    <w:p w:rsidRPr="00E14CB1" w:rsidR="004611CF" w:rsidP="00E62CF6" w:rsidRDefault="004611CF" w14:paraId="157DDDF8" w14:textId="77777777">
      <w:pPr>
        <w:widowControl w:val="0"/>
        <w:numPr>
          <w:ilvl w:val="6"/>
          <w:numId w:val="16"/>
        </w:numPr>
        <w:tabs>
          <w:tab w:val="left" w:pos="1080"/>
          <w:tab w:val="left" w:pos="5788"/>
        </w:tabs>
        <w:autoSpaceDE w:val="0"/>
        <w:autoSpaceDN w:val="0"/>
        <w:adjustRightInd w:val="0"/>
        <w:ind w:left="540" w:firstLine="0"/>
        <w:outlineLvl w:val="6"/>
        <w:rPr>
          <w:rFonts w:eastAsia="Times New Roman"/>
          <w:b/>
        </w:rPr>
      </w:pPr>
      <w:r>
        <w:rPr>
          <w:rFonts w:eastAsia="Times New Roman"/>
          <w:b/>
        </w:rPr>
        <w:t xml:space="preserve">any change, restructuring, or termination of the corporate structure or existence of Company or any of its subsidiaries, including Guarantor’s disposal of any part of Guarantor’s interest in Company, or Guarantor’s alteration of Guarantor’s investment in Company in any </w:t>
      </w:r>
      <w:proofErr w:type="gramStart"/>
      <w:r>
        <w:rPr>
          <w:rFonts w:eastAsia="Times New Roman"/>
          <w:b/>
        </w:rPr>
        <w:t>manner;</w:t>
      </w:r>
      <w:bookmarkStart w:name="_DV_M839" w:id="499"/>
      <w:bookmarkEnd w:id="499"/>
      <w:proofErr w:type="gramEnd"/>
    </w:p>
    <w:p w:rsidRPr="00E14CB1" w:rsidR="004611CF" w:rsidP="00E62CF6" w:rsidRDefault="004611CF" w14:paraId="18B9425F" w14:textId="77777777">
      <w:pPr>
        <w:keepNext/>
        <w:keepLines/>
        <w:numPr>
          <w:ilvl w:val="6"/>
          <w:numId w:val="16"/>
        </w:numPr>
        <w:tabs>
          <w:tab w:val="left" w:pos="1080"/>
          <w:tab w:val="left" w:pos="5788"/>
        </w:tabs>
        <w:autoSpaceDE w:val="0"/>
        <w:autoSpaceDN w:val="0"/>
        <w:adjustRightInd w:val="0"/>
        <w:ind w:left="547" w:firstLine="0"/>
        <w:outlineLvl w:val="6"/>
        <w:rPr>
          <w:rFonts w:eastAsia="Times New Roman"/>
          <w:b/>
        </w:rPr>
      </w:pPr>
      <w:r>
        <w:rPr>
          <w:rFonts w:eastAsia="Times New Roman"/>
          <w:b/>
        </w:rPr>
        <w:t xml:space="preserve">any lack of validity or enforceability, in whole or in part, of the Guaranteed Obligations, the PPA, or any agreement or instrument </w:t>
      </w:r>
      <w:proofErr w:type="gramStart"/>
      <w:r>
        <w:rPr>
          <w:rFonts w:eastAsia="Times New Roman"/>
          <w:b/>
        </w:rPr>
        <w:t>relating</w:t>
      </w:r>
      <w:proofErr w:type="gramEnd"/>
      <w:r>
        <w:rPr>
          <w:rFonts w:eastAsia="Times New Roman"/>
          <w:b/>
        </w:rPr>
        <w:t xml:space="preserve"> the Guaranteed Obligations or the </w:t>
      </w:r>
      <w:proofErr w:type="gramStart"/>
      <w:r>
        <w:rPr>
          <w:rFonts w:eastAsia="Times New Roman"/>
          <w:b/>
        </w:rPr>
        <w:t>PPA;</w:t>
      </w:r>
      <w:bookmarkStart w:name="_DV_M840" w:id="500"/>
      <w:bookmarkEnd w:id="500"/>
      <w:proofErr w:type="gramEnd"/>
    </w:p>
    <w:p w:rsidRPr="00E14CB1" w:rsidR="004611CF" w:rsidP="00E62CF6" w:rsidRDefault="004611CF" w14:paraId="1633F0BC" w14:textId="77777777">
      <w:pPr>
        <w:widowControl w:val="0"/>
        <w:numPr>
          <w:ilvl w:val="6"/>
          <w:numId w:val="16"/>
        </w:numPr>
        <w:tabs>
          <w:tab w:val="left" w:pos="1080"/>
          <w:tab w:val="left" w:pos="5788"/>
        </w:tabs>
        <w:autoSpaceDE w:val="0"/>
        <w:autoSpaceDN w:val="0"/>
        <w:adjustRightInd w:val="0"/>
        <w:ind w:left="540" w:firstLine="0"/>
        <w:outlineLvl w:val="6"/>
        <w:rPr>
          <w:rFonts w:eastAsia="Times New Roman"/>
          <w:b/>
        </w:rPr>
      </w:pPr>
      <w:r>
        <w:rPr>
          <w:rFonts w:eastAsia="Times New Roman"/>
          <w:b/>
        </w:rPr>
        <w:t xml:space="preserve">any failure of Beneficiary to disclose to either Company or Guarantor any information relating to the business, condition (financial or otherwise), operations, performance, properties, or prospects of either Company or any of its subsidiaries now or in the future known to Beneficiary (Guarantor </w:t>
      </w:r>
      <w:proofErr w:type="gramStart"/>
      <w:r>
        <w:rPr>
          <w:rFonts w:eastAsia="Times New Roman"/>
          <w:b/>
        </w:rPr>
        <w:t>waiving</w:t>
      </w:r>
      <w:proofErr w:type="gramEnd"/>
      <w:r>
        <w:rPr>
          <w:rFonts w:eastAsia="Times New Roman"/>
          <w:b/>
        </w:rPr>
        <w:t xml:space="preserve"> any duty on the part of Beneficiary to disclose </w:t>
      </w:r>
      <w:r>
        <w:rPr>
          <w:rFonts w:eastAsia="Times New Roman"/>
          <w:b/>
          <w:bCs/>
        </w:rPr>
        <w:t>the</w:t>
      </w:r>
      <w:r>
        <w:rPr>
          <w:rFonts w:eastAsia="Times New Roman"/>
          <w:b/>
        </w:rPr>
        <w:t xml:space="preserve"> information</w:t>
      </w:r>
      <w:proofErr w:type="gramStart"/>
      <w:r>
        <w:rPr>
          <w:rFonts w:eastAsia="Times New Roman"/>
          <w:b/>
        </w:rPr>
        <w:t>);</w:t>
      </w:r>
      <w:bookmarkStart w:name="_DV_M841" w:id="501"/>
      <w:bookmarkEnd w:id="501"/>
      <w:proofErr w:type="gramEnd"/>
    </w:p>
    <w:p w:rsidRPr="00E14CB1" w:rsidR="004611CF" w:rsidP="00E62CF6" w:rsidRDefault="004611CF" w14:paraId="61A714F1" w14:textId="77777777">
      <w:pPr>
        <w:widowControl w:val="0"/>
        <w:numPr>
          <w:ilvl w:val="6"/>
          <w:numId w:val="16"/>
        </w:numPr>
        <w:tabs>
          <w:tab w:val="left" w:pos="1080"/>
          <w:tab w:val="left" w:pos="5788"/>
        </w:tabs>
        <w:autoSpaceDE w:val="0"/>
        <w:autoSpaceDN w:val="0"/>
        <w:adjustRightInd w:val="0"/>
        <w:ind w:left="540" w:firstLine="0"/>
        <w:outlineLvl w:val="6"/>
        <w:rPr>
          <w:rFonts w:eastAsia="Times New Roman"/>
          <w:b/>
        </w:rPr>
      </w:pPr>
      <w:r>
        <w:rPr>
          <w:rFonts w:eastAsia="Times New Roman"/>
          <w:b/>
        </w:rPr>
        <w:t xml:space="preserve">any failure, omission, delay, or lack on the part of Beneficiary to enforce, ascertain, or exercise any right, power, or remedy under or pursuant to the terms of the PPA, the Guaranteed Obligations, or this </w:t>
      </w:r>
      <w:proofErr w:type="gramStart"/>
      <w:r>
        <w:rPr>
          <w:rFonts w:eastAsia="Times New Roman"/>
          <w:b/>
        </w:rPr>
        <w:t>Guaranty;</w:t>
      </w:r>
      <w:bookmarkStart w:name="_DV_M842" w:id="502"/>
      <w:bookmarkEnd w:id="502"/>
      <w:proofErr w:type="gramEnd"/>
    </w:p>
    <w:p w:rsidRPr="00E14CB1" w:rsidR="004611CF" w:rsidP="00E62CF6" w:rsidRDefault="004611CF" w14:paraId="61DB47AD" w14:textId="2AC4E22D">
      <w:pPr>
        <w:widowControl w:val="0"/>
        <w:numPr>
          <w:ilvl w:val="6"/>
          <w:numId w:val="16"/>
        </w:numPr>
        <w:tabs>
          <w:tab w:val="left" w:pos="1080"/>
          <w:tab w:val="left" w:pos="5788"/>
        </w:tabs>
        <w:autoSpaceDE w:val="0"/>
        <w:autoSpaceDN w:val="0"/>
        <w:adjustRightInd w:val="0"/>
        <w:ind w:left="540" w:firstLine="0"/>
        <w:outlineLvl w:val="6"/>
        <w:rPr>
          <w:rFonts w:eastAsia="Times New Roman"/>
          <w:b/>
        </w:rPr>
      </w:pPr>
      <w:r>
        <w:rPr>
          <w:rFonts w:eastAsia="Times New Roman"/>
          <w:b/>
        </w:rPr>
        <w:t>any failure by Beneficiary to commence an action against Company, including as contemplated by the provisions of O.C.G.A. Section 10-7-24, as amended;</w:t>
      </w:r>
      <w:bookmarkStart w:name="_DV_M843" w:id="503"/>
      <w:bookmarkEnd w:id="503"/>
      <w:r>
        <w:rPr>
          <w:rFonts w:eastAsia="Times New Roman"/>
          <w:b/>
        </w:rPr>
        <w:t xml:space="preserve"> any lack of due diligence by Beneficiary in the collection or protection of or realization upon any collateral securing the Guaranteed </w:t>
      </w:r>
      <w:proofErr w:type="gramStart"/>
      <w:r>
        <w:rPr>
          <w:rFonts w:eastAsia="Times New Roman"/>
          <w:b/>
        </w:rPr>
        <w:t>Obligations;</w:t>
      </w:r>
      <w:proofErr w:type="gramEnd"/>
      <w:r>
        <w:rPr>
          <w:rFonts w:eastAsia="Times New Roman"/>
          <w:b/>
        </w:rPr>
        <w:t xml:space="preserve"> </w:t>
      </w:r>
      <w:bookmarkStart w:name="_DV_M844" w:id="504"/>
      <w:bookmarkEnd w:id="504"/>
    </w:p>
    <w:p w:rsidRPr="00E14CB1" w:rsidR="004611CF" w:rsidP="00E62CF6" w:rsidRDefault="004611CF" w14:paraId="3459A7CB" w14:textId="77777777">
      <w:pPr>
        <w:widowControl w:val="0"/>
        <w:numPr>
          <w:ilvl w:val="6"/>
          <w:numId w:val="16"/>
        </w:numPr>
        <w:tabs>
          <w:tab w:val="left" w:pos="1080"/>
          <w:tab w:val="left" w:pos="5788"/>
        </w:tabs>
        <w:autoSpaceDE w:val="0"/>
        <w:autoSpaceDN w:val="0"/>
        <w:adjustRightInd w:val="0"/>
        <w:ind w:left="540" w:firstLine="0"/>
        <w:outlineLvl w:val="6"/>
        <w:rPr>
          <w:rFonts w:eastAsia="Times New Roman"/>
          <w:b/>
        </w:rPr>
      </w:pPr>
      <w:r>
        <w:rPr>
          <w:rFonts w:eastAsia="Times New Roman"/>
          <w:b/>
        </w:rPr>
        <w:t xml:space="preserve">the bankruptcy, insolvency, winding up, dissolution, liquidation, administration, reorganization, or other similar or dissimilar failure or financial disability of Guarantor or Company, or any legal limitation, disability, incapacity, or other circumstance relating to Guarantor or </w:t>
      </w:r>
      <w:proofErr w:type="gramStart"/>
      <w:r>
        <w:rPr>
          <w:rFonts w:eastAsia="Times New Roman"/>
          <w:b/>
        </w:rPr>
        <w:t>Company;</w:t>
      </w:r>
      <w:bookmarkStart w:name="_DV_M845" w:id="505"/>
      <w:bookmarkEnd w:id="505"/>
      <w:proofErr w:type="gramEnd"/>
    </w:p>
    <w:p w:rsidRPr="00E14CB1" w:rsidR="004611CF" w:rsidP="00E62CF6" w:rsidRDefault="004611CF" w14:paraId="6E86D875" w14:textId="77777777">
      <w:pPr>
        <w:widowControl w:val="0"/>
        <w:numPr>
          <w:ilvl w:val="6"/>
          <w:numId w:val="16"/>
        </w:numPr>
        <w:tabs>
          <w:tab w:val="left" w:pos="1080"/>
          <w:tab w:val="left" w:pos="5788"/>
        </w:tabs>
        <w:autoSpaceDE w:val="0"/>
        <w:autoSpaceDN w:val="0"/>
        <w:adjustRightInd w:val="0"/>
        <w:ind w:left="540" w:firstLine="0"/>
        <w:outlineLvl w:val="6"/>
        <w:rPr>
          <w:rFonts w:eastAsia="Times New Roman"/>
          <w:b/>
        </w:rPr>
      </w:pPr>
      <w:r>
        <w:rPr>
          <w:rFonts w:eastAsia="Times New Roman"/>
          <w:b/>
        </w:rPr>
        <w:t xml:space="preserve">the addition, substitution or partial or entire release of any guarantor, maker, or other Parson (including Company) primarily or secondarily liable or responsible for the payment and observance of the Guaranteed Obligations or by any extension, waiver, amendment, or other action or instrument that may release or discharge (in whole or in part) a guarantor, maker, or </w:t>
      </w:r>
      <w:r>
        <w:rPr>
          <w:rFonts w:eastAsia="Times New Roman"/>
          <w:b/>
          <w:bCs/>
        </w:rPr>
        <w:t>other Person</w:t>
      </w:r>
      <w:r>
        <w:rPr>
          <w:rFonts w:eastAsia="Times New Roman"/>
          <w:b/>
        </w:rPr>
        <w:t xml:space="preserve"> (other than as a result of the indefeasible payment of the Guaranteed Obligations in full);</w:t>
      </w:r>
      <w:bookmarkStart w:name="_DV_M846" w:id="506"/>
      <w:bookmarkEnd w:id="506"/>
    </w:p>
    <w:p w:rsidRPr="00ED50EA" w:rsidR="004611CF" w:rsidP="00E62CF6" w:rsidRDefault="004611CF" w14:paraId="462AE5CF" w14:textId="77777777">
      <w:pPr>
        <w:widowControl w:val="0"/>
        <w:numPr>
          <w:ilvl w:val="6"/>
          <w:numId w:val="16"/>
        </w:numPr>
        <w:tabs>
          <w:tab w:val="left" w:pos="1080"/>
          <w:tab w:val="left" w:pos="5788"/>
        </w:tabs>
        <w:autoSpaceDE w:val="0"/>
        <w:autoSpaceDN w:val="0"/>
        <w:adjustRightInd w:val="0"/>
        <w:ind w:left="540" w:firstLine="0"/>
        <w:outlineLvl w:val="6"/>
        <w:rPr>
          <w:rFonts w:eastAsia="Times New Roman"/>
          <w:b/>
        </w:rPr>
      </w:pPr>
      <w:r>
        <w:rPr>
          <w:rFonts w:eastAsia="Times New Roman"/>
          <w:b/>
        </w:rPr>
        <w:t xml:space="preserve">the taking, variation, renewal, addition, substitution, subordination, or partial or entire release of any security or other credit support for the Guaranteed Obligations, or the enforcement or neglect to perfect or enforce </w:t>
      </w:r>
      <w:r>
        <w:rPr>
          <w:rFonts w:eastAsia="Times New Roman"/>
          <w:b/>
          <w:bCs/>
        </w:rPr>
        <w:t>the</w:t>
      </w:r>
      <w:r>
        <w:rPr>
          <w:rFonts w:eastAsia="Times New Roman"/>
          <w:b/>
        </w:rPr>
        <w:t xml:space="preserve"> security or support; or </w:t>
      </w:r>
      <w:bookmarkStart w:name="_DV_M847" w:id="507"/>
      <w:bookmarkEnd w:id="507"/>
    </w:p>
    <w:p w:rsidRPr="00E14CB1" w:rsidR="004611CF" w:rsidP="00E62CF6" w:rsidRDefault="004611CF" w14:paraId="76BEFFDA" w14:textId="524D9A15">
      <w:pPr>
        <w:widowControl w:val="0"/>
        <w:numPr>
          <w:ilvl w:val="6"/>
          <w:numId w:val="16"/>
        </w:numPr>
        <w:tabs>
          <w:tab w:val="left" w:pos="1080"/>
          <w:tab w:val="left" w:pos="5788"/>
        </w:tabs>
        <w:autoSpaceDE w:val="0"/>
        <w:autoSpaceDN w:val="0"/>
        <w:adjustRightInd w:val="0"/>
        <w:ind w:left="540" w:firstLine="0"/>
        <w:outlineLvl w:val="6"/>
        <w:rPr>
          <w:rFonts w:eastAsia="Times New Roman"/>
          <w:b/>
        </w:rPr>
      </w:pPr>
      <w:r>
        <w:rPr>
          <w:rFonts w:eastAsia="Times New Roman"/>
          <w:b/>
        </w:rPr>
        <w:t>any circumstance whatsoever (including any statute of limitations) or any act of Beneficiary or any existence of or reliance on any representation by Beneficiary that might otherwise constitute a legal or equitable defense available to, or a discharge of, Guarantor.</w:t>
      </w:r>
    </w:p>
    <w:p w:rsidRPr="00E14CB1" w:rsidR="004611CF" w:rsidP="004611CF" w:rsidRDefault="004611CF" w14:paraId="186A3D3E" w14:textId="77777777">
      <w:pPr>
        <w:tabs>
          <w:tab w:val="left" w:pos="2160"/>
          <w:tab w:val="left" w:pos="5068"/>
        </w:tabs>
        <w:autoSpaceDE w:val="0"/>
        <w:autoSpaceDN w:val="0"/>
        <w:adjustRightInd w:val="0"/>
        <w:ind w:left="270"/>
        <w:outlineLvl w:val="5"/>
        <w:rPr>
          <w:rFonts w:eastAsia="Times New Roman"/>
        </w:rPr>
      </w:pPr>
      <w:bookmarkStart w:name="_DV_M848" w:id="508"/>
      <w:bookmarkStart w:name="_DV_M849" w:id="509"/>
      <w:bookmarkEnd w:id="508"/>
      <w:bookmarkEnd w:id="509"/>
      <w:r>
        <w:rPr>
          <w:rFonts w:eastAsia="Times New Roman"/>
          <w:b/>
        </w:rPr>
        <w:t>2.2.2. Guarantee Effectiveness.</w:t>
      </w:r>
      <w:r>
        <w:rPr>
          <w:rFonts w:eastAsia="Times New Roman"/>
        </w:rPr>
        <w:t xml:space="preserve"> This Guaranty will continue to be effective or must be reinstated by Guarantor, as applicable, if at any time any payment of the Guaranteed Obligations should for any reason subsequently be asserted or declared to be void or voidable, or is unwound in any way under any state or federal law, including any provision of the U.S. Bankruptcy Code related to fraudulent conveyance or preference (each, a “</w:t>
      </w:r>
      <w:r>
        <w:rPr>
          <w:rFonts w:eastAsia="Times New Roman"/>
          <w:b/>
        </w:rPr>
        <w:t>Voidable Transfer</w:t>
      </w:r>
      <w:r>
        <w:rPr>
          <w:rFonts w:eastAsia="Times New Roman"/>
        </w:rPr>
        <w:t>”). Beneficiary or any other person is not required to repay or restore, in whole or in part, any Voidable Transfer, and any attempt to repay or restore any Voidable Transfer will be construed as though the payment had not been made.</w:t>
      </w:r>
    </w:p>
    <w:p w:rsidRPr="00E14CB1" w:rsidR="004611CF" w:rsidP="004611CF" w:rsidRDefault="004611CF" w14:paraId="3EBC2E7E" w14:textId="77777777">
      <w:pPr>
        <w:tabs>
          <w:tab w:val="left" w:pos="2160"/>
          <w:tab w:val="left" w:pos="5068"/>
        </w:tabs>
        <w:autoSpaceDE w:val="0"/>
        <w:autoSpaceDN w:val="0"/>
        <w:adjustRightInd w:val="0"/>
        <w:ind w:left="270"/>
        <w:outlineLvl w:val="5"/>
        <w:rPr>
          <w:rFonts w:eastAsia="Times New Roman"/>
        </w:rPr>
      </w:pPr>
      <w:r>
        <w:rPr>
          <w:rFonts w:eastAsia="Times New Roman"/>
          <w:b/>
        </w:rPr>
        <w:t>2.2.3.</w:t>
      </w:r>
      <w:r>
        <w:rPr>
          <w:rFonts w:eastAsia="Times New Roman"/>
        </w:rPr>
        <w:t xml:space="preserve"> </w:t>
      </w:r>
      <w:r>
        <w:rPr>
          <w:rFonts w:eastAsia="Times New Roman"/>
          <w:b/>
        </w:rPr>
        <w:t xml:space="preserve">No Release of Guaranty. </w:t>
      </w:r>
      <w:r>
        <w:rPr>
          <w:rFonts w:eastAsia="Times New Roman"/>
        </w:rPr>
        <w:t>No action that Beneficiary takes or fails to take in connection with the Guaranteed Obligations, or any security for the payment of any of the Guaranteed Obligations, nor any course of dealing with Company or any other person, will release Guarantor’s obligations under this Guaranty, affect this Guaranty in any way, or give Guarantor any recourse against Beneficiary.</w:t>
      </w:r>
    </w:p>
    <w:p w:rsidRPr="00E14CB1" w:rsidR="004611CF" w:rsidP="004611CF" w:rsidRDefault="004611CF" w14:paraId="54506FBD" w14:textId="77777777">
      <w:pPr>
        <w:tabs>
          <w:tab w:val="left" w:pos="2160"/>
          <w:tab w:val="left" w:pos="5068"/>
        </w:tabs>
        <w:ind w:left="270"/>
        <w:outlineLvl w:val="5"/>
        <w:rPr>
          <w:rFonts w:eastAsia="Times New Roman"/>
        </w:rPr>
      </w:pPr>
      <w:bookmarkStart w:name="_DV_M850" w:id="510"/>
      <w:bookmarkEnd w:id="510"/>
      <w:r>
        <w:rPr>
          <w:rFonts w:eastAsia="Calibri"/>
          <w:b/>
        </w:rPr>
        <w:lastRenderedPageBreak/>
        <w:t>2.2.4. Enforcement following PPA Event of Default.</w:t>
      </w:r>
      <w:r>
        <w:rPr>
          <w:rFonts w:eastAsia="Calibri"/>
        </w:rPr>
        <w:t xml:space="preserve"> </w:t>
      </w:r>
      <w:r>
        <w:rPr>
          <w:rFonts w:eastAsia="Times New Roman"/>
        </w:rPr>
        <w:t>In the case of an Event of Default under the PPA or regarding any of the Guaranteed Obligations, Guarantor agrees that Beneficiary will have the right to enforce its rights, powers, and remedies under the PPA and Guaranty or under any other instrument now or in the future evidencing, securing, or otherwise relating to the Guaranteed Obligations, and apply any payments or credits received by Company or Guarantor or realized from any security, in any manner and in any order as Beneficiary, in its sole discretion, sees fit, and all rights, powers, and remedies available to Beneficiary in that event will be nonexclusive and cumulative of all other rights, powers, and remedies provided under the PPA, this Guaranty, by law, or in equity. If the Guaranteed Obligations are partially paid at the election of Beneficiary or Beneficiary’s successors or assigns, to pursue any of the remedies available to Beneficiary, or if the indebtedness is otherwise partially paid, this Guaranty will nevertheless remain in full force and effect, and Guarantor will remain liable for the entire balance of the Guaranteed Obligations even though any rights that Guarantor may have against Company may be destroyed or diminished by the exercise of the remedy.</w:t>
      </w:r>
    </w:p>
    <w:p w:rsidRPr="00E14CB1" w:rsidR="004611CF" w:rsidP="00E62CF6" w:rsidRDefault="004611CF" w14:paraId="2CDB88F1" w14:textId="77777777">
      <w:pPr>
        <w:keepNext/>
        <w:widowControl w:val="0"/>
        <w:numPr>
          <w:ilvl w:val="1"/>
          <w:numId w:val="18"/>
        </w:numPr>
        <w:tabs>
          <w:tab w:val="left" w:pos="540"/>
        </w:tabs>
        <w:autoSpaceDE w:val="0"/>
        <w:autoSpaceDN w:val="0"/>
        <w:adjustRightInd w:val="0"/>
        <w:ind w:left="0"/>
        <w:outlineLvl w:val="1"/>
        <w:rPr>
          <w:rFonts w:eastAsia="Times New Roman"/>
          <w:b/>
        </w:rPr>
      </w:pPr>
      <w:bookmarkStart w:name="_DV_M851" w:id="511"/>
      <w:bookmarkEnd w:id="511"/>
      <w:r>
        <w:rPr>
          <w:rFonts w:eastAsia="Times New Roman"/>
          <w:b/>
        </w:rPr>
        <w:t>Waivers and Acknowledgments.</w:t>
      </w:r>
    </w:p>
    <w:p w:rsidRPr="00E14CB1" w:rsidR="004611CF" w:rsidP="004611CF" w:rsidRDefault="004611CF" w14:paraId="7D2152E0" w14:textId="77777777">
      <w:pPr>
        <w:autoSpaceDE w:val="0"/>
        <w:autoSpaceDN w:val="0"/>
        <w:adjustRightInd w:val="0"/>
        <w:ind w:left="270"/>
        <w:outlineLvl w:val="5"/>
        <w:rPr>
          <w:rFonts w:eastAsia="Times New Roman"/>
        </w:rPr>
      </w:pPr>
      <w:bookmarkStart w:name="_DV_M852" w:id="512"/>
      <w:bookmarkEnd w:id="512"/>
      <w:r>
        <w:rPr>
          <w:rFonts w:eastAsia="Times New Roman"/>
          <w:b/>
        </w:rPr>
        <w:t>2.3.1. Guarantor Notice Waiver.</w:t>
      </w:r>
      <w:r>
        <w:rPr>
          <w:rFonts w:eastAsia="Times New Roman"/>
        </w:rPr>
        <w:t xml:space="preserve"> Guarantor unconditionally and irrevocably waives promptness, diligence, presentment, demand of payment, acceptance, notice of acceptance, protest, notice of dishonor, and any other notices regarding any of the Guaranteed Obligations and this Guaranty.</w:t>
      </w:r>
    </w:p>
    <w:p w:rsidRPr="00E14CB1" w:rsidR="004611CF" w:rsidP="004611CF" w:rsidRDefault="004611CF" w14:paraId="0275469A" w14:textId="7944D77B">
      <w:pPr>
        <w:tabs>
          <w:tab w:val="left" w:pos="2160"/>
        </w:tabs>
        <w:autoSpaceDE w:val="0"/>
        <w:autoSpaceDN w:val="0"/>
        <w:adjustRightInd w:val="0"/>
        <w:ind w:left="270"/>
        <w:outlineLvl w:val="5"/>
        <w:rPr>
          <w:rFonts w:eastAsia="Times New Roman"/>
        </w:rPr>
      </w:pPr>
      <w:r>
        <w:rPr>
          <w:rFonts w:eastAsia="Times New Roman"/>
          <w:b/>
        </w:rPr>
        <w:t xml:space="preserve">2.3.2. Guarantor Waiver of Guaranty and Acknowledgement of Continuing Obligations. </w:t>
      </w:r>
      <w:r>
        <w:rPr>
          <w:rFonts w:eastAsia="Times New Roman"/>
        </w:rPr>
        <w:t>Guarantor unconditionally and irrevocably waives any right to revoke this Guaranty and acknowledges that this Guaranty is continuing in nature and applies to all Guaranteed Obligations, whether existing now or in the future. The provisions of this Guaranty will extend and be applicable to any modification of the PPA.</w:t>
      </w:r>
    </w:p>
    <w:p w:rsidRPr="00E14CB1" w:rsidR="004611CF" w:rsidP="004611CF" w:rsidRDefault="004611CF" w14:paraId="682232B9" w14:textId="77777777">
      <w:pPr>
        <w:tabs>
          <w:tab w:val="left" w:pos="2160"/>
          <w:tab w:val="left" w:pos="5068"/>
        </w:tabs>
        <w:autoSpaceDE w:val="0"/>
        <w:autoSpaceDN w:val="0"/>
        <w:adjustRightInd w:val="0"/>
        <w:ind w:left="270"/>
        <w:outlineLvl w:val="5"/>
        <w:rPr>
          <w:rFonts w:eastAsia="Times New Roman"/>
        </w:rPr>
      </w:pPr>
      <w:bookmarkStart w:name="_DV_M854" w:id="513"/>
      <w:bookmarkEnd w:id="513"/>
      <w:r>
        <w:rPr>
          <w:rFonts w:eastAsia="Times New Roman"/>
          <w:b/>
        </w:rPr>
        <w:t>2.3.3. Waiver of Rights and Remedies.</w:t>
      </w:r>
      <w:r>
        <w:rPr>
          <w:rFonts w:eastAsia="Times New Roman"/>
        </w:rPr>
        <w:t xml:space="preserve"> Guarantor unconditionally and irrevocably waives all rights and remedies accorded by application of law to sureties or guarantors and Guarantor must not assert or take advantage of those rights or remedies, including:</w:t>
      </w:r>
    </w:p>
    <w:p w:rsidRPr="00E14CB1" w:rsidR="004611CF" w:rsidP="00E62CF6" w:rsidRDefault="004611CF" w14:paraId="0300C691" w14:textId="77777777">
      <w:pPr>
        <w:widowControl w:val="0"/>
        <w:numPr>
          <w:ilvl w:val="6"/>
          <w:numId w:val="17"/>
        </w:numPr>
        <w:tabs>
          <w:tab w:val="left" w:pos="1260"/>
          <w:tab w:val="left" w:pos="2160"/>
          <w:tab w:val="left" w:pos="5788"/>
        </w:tabs>
        <w:autoSpaceDE w:val="0"/>
        <w:autoSpaceDN w:val="0"/>
        <w:adjustRightInd w:val="0"/>
        <w:ind w:left="806" w:firstLine="4"/>
        <w:outlineLvl w:val="6"/>
        <w:rPr>
          <w:rFonts w:eastAsia="Times New Roman"/>
        </w:rPr>
      </w:pPr>
      <w:bookmarkStart w:name="_DV_M855" w:id="514"/>
      <w:bookmarkEnd w:id="514"/>
      <w:r>
        <w:rPr>
          <w:rFonts w:eastAsia="Times New Roman"/>
        </w:rPr>
        <w:t xml:space="preserve">any right to require Beneficiary to proceed against Company or any other person or to proceed against or exhaust any security held by Beneficiary at any time or to pursue any other remedy in Beneficiary’s power before proceeding against </w:t>
      </w:r>
      <w:proofErr w:type="gramStart"/>
      <w:r>
        <w:rPr>
          <w:rFonts w:eastAsia="Times New Roman"/>
        </w:rPr>
        <w:t>Guarantor;</w:t>
      </w:r>
      <w:bookmarkStart w:name="_DV_M856" w:id="515"/>
      <w:bookmarkEnd w:id="515"/>
      <w:proofErr w:type="gramEnd"/>
    </w:p>
    <w:p w:rsidRPr="00E14CB1" w:rsidR="004611CF" w:rsidP="00E62CF6" w:rsidRDefault="004611CF" w14:paraId="4FCE6D9C" w14:textId="77777777">
      <w:pPr>
        <w:widowControl w:val="0"/>
        <w:numPr>
          <w:ilvl w:val="6"/>
          <w:numId w:val="17"/>
        </w:numPr>
        <w:tabs>
          <w:tab w:val="left" w:pos="1260"/>
          <w:tab w:val="left" w:pos="2160"/>
          <w:tab w:val="left" w:pos="5788"/>
        </w:tabs>
        <w:autoSpaceDE w:val="0"/>
        <w:autoSpaceDN w:val="0"/>
        <w:adjustRightInd w:val="0"/>
        <w:ind w:left="806" w:firstLine="4"/>
        <w:outlineLvl w:val="6"/>
        <w:rPr>
          <w:rFonts w:eastAsia="Times New Roman"/>
        </w:rPr>
      </w:pPr>
      <w:r>
        <w:rPr>
          <w:rFonts w:eastAsia="Times New Roman"/>
        </w:rPr>
        <w:t>any defense that may arise because of the incapacity, lack of authority, death, or disability of any other Person or the failure of Beneficiary to file or enforce a claim against the estate (in administration, bankruptcy, or any other proceeding) of any other Person; or</w:t>
      </w:r>
      <w:bookmarkStart w:name="_DV_M857" w:id="516"/>
      <w:bookmarkEnd w:id="516"/>
    </w:p>
    <w:p w:rsidRPr="00E14CB1" w:rsidR="004611CF" w:rsidP="00E62CF6" w:rsidRDefault="004611CF" w14:paraId="3D4FD7B6" w14:textId="77777777">
      <w:pPr>
        <w:widowControl w:val="0"/>
        <w:numPr>
          <w:ilvl w:val="6"/>
          <w:numId w:val="17"/>
        </w:numPr>
        <w:tabs>
          <w:tab w:val="left" w:pos="1260"/>
          <w:tab w:val="left" w:pos="2160"/>
          <w:tab w:val="left" w:pos="5788"/>
        </w:tabs>
        <w:autoSpaceDE w:val="0"/>
        <w:autoSpaceDN w:val="0"/>
        <w:adjustRightInd w:val="0"/>
        <w:ind w:left="806" w:firstLine="4"/>
        <w:outlineLvl w:val="6"/>
        <w:rPr>
          <w:rFonts w:eastAsia="Times New Roman"/>
        </w:rPr>
      </w:pPr>
      <w:r>
        <w:rPr>
          <w:rFonts w:eastAsia="Times New Roman"/>
        </w:rPr>
        <w:t xml:space="preserve">any defense arising because of the exercise of any right or remedy available to, or election made by, Beneficiary </w:t>
      </w:r>
      <w:r>
        <w:rPr>
          <w:rFonts w:eastAsia="Yu Mincho"/>
        </w:rPr>
        <w:t>under</w:t>
      </w:r>
      <w:r>
        <w:rPr>
          <w:rFonts w:eastAsia="Times New Roman"/>
        </w:rPr>
        <w:t xml:space="preserve"> the U.S. Bankruptcy Code, whether as an unsecured or under secured creditor, seeking adequate protection or otherwise.</w:t>
      </w:r>
    </w:p>
    <w:p w:rsidRPr="00E14CB1" w:rsidR="004611CF" w:rsidP="004611CF" w:rsidRDefault="004611CF" w14:paraId="3B132A06" w14:textId="77777777">
      <w:pPr>
        <w:tabs>
          <w:tab w:val="left" w:pos="2160"/>
          <w:tab w:val="left" w:pos="5068"/>
        </w:tabs>
        <w:autoSpaceDE w:val="0"/>
        <w:autoSpaceDN w:val="0"/>
        <w:adjustRightInd w:val="0"/>
        <w:ind w:left="270"/>
        <w:outlineLvl w:val="5"/>
        <w:rPr>
          <w:rFonts w:eastAsia="Times New Roman"/>
        </w:rPr>
      </w:pPr>
      <w:bookmarkStart w:name="_DV_M858" w:id="517"/>
      <w:bookmarkEnd w:id="517"/>
      <w:r>
        <w:rPr>
          <w:rFonts w:eastAsia="Times New Roman"/>
          <w:b/>
        </w:rPr>
        <w:t>2.3.4. Guarantor’s Waiver of Defenses Based on Set-Off or Counterclaim.</w:t>
      </w:r>
      <w:r>
        <w:rPr>
          <w:rFonts w:eastAsia="Times New Roman"/>
        </w:rPr>
        <w:t xml:space="preserve"> Guarantor unconditionally and irrevocably waives any defense based on any right of set-off or counterclaim against or concerning the obligations of Guarantor under this Guaranty.</w:t>
      </w:r>
    </w:p>
    <w:p w:rsidRPr="00E14CB1" w:rsidR="004611CF" w:rsidP="004611CF" w:rsidRDefault="004611CF" w14:paraId="693FF7E7" w14:textId="77777777">
      <w:pPr>
        <w:autoSpaceDE w:val="0"/>
        <w:autoSpaceDN w:val="0"/>
        <w:adjustRightInd w:val="0"/>
        <w:ind w:left="270"/>
        <w:outlineLvl w:val="5"/>
        <w:rPr>
          <w:rFonts w:eastAsia="Times New Roman"/>
        </w:rPr>
      </w:pPr>
      <w:bookmarkStart w:name="_DV_M859" w:id="518"/>
      <w:bookmarkEnd w:id="518"/>
      <w:r>
        <w:rPr>
          <w:rFonts w:eastAsia="Times New Roman"/>
          <w:b/>
        </w:rPr>
        <w:t>2.3.5.</w:t>
      </w:r>
      <w:r>
        <w:rPr>
          <w:rFonts w:eastAsia="Times New Roman"/>
        </w:rPr>
        <w:t xml:space="preserve"> </w:t>
      </w:r>
      <w:r>
        <w:rPr>
          <w:rFonts w:eastAsia="Times New Roman"/>
          <w:b/>
        </w:rPr>
        <w:t xml:space="preserve">Guarantor Waiver of Defenses, Claims, and Discharges. </w:t>
      </w:r>
      <w:r>
        <w:rPr>
          <w:rFonts w:eastAsia="Times New Roman"/>
        </w:rPr>
        <w:t xml:space="preserve">Guarantor unconditionally and irrevocably waives all defenses, claims, and discharges of Company, or any other obligor regarding the Guaranteed Obligations. Without limiting the generality of the preceding sentence, Guarantor will not assert, plead, or enforce against Beneficiary or any other Person any defense of waiver, release, statute of limitations, res judicata, statute of frauds, fraud, incapacity, minority, usury, illegality, or unenforceability that may be available to Company or any other person liable concerning any indebtedness, or any setoff available against Beneficiary to Company or any other Person, whether or not on account of a related transaction. Guarantor expressly waives reliance on any anti-deficiency statute(s). If a foreclosure proceeding is commenced, Guarantor expressly agrees that Guarantor will be and remain unconditionally liable, to the fullest extent permitted by applicable law, for any deficiency remaining after foreclosure of any mortgage or security interest securing indebtedness, whether or not the liability of Company or any other person for the deficiency is discharged </w:t>
      </w:r>
      <w:r>
        <w:rPr>
          <w:rFonts w:eastAsia="Calibri"/>
        </w:rPr>
        <w:t>under</w:t>
      </w:r>
      <w:r>
        <w:rPr>
          <w:rFonts w:eastAsia="Times New Roman"/>
        </w:rPr>
        <w:t xml:space="preserve"> statute or judicial decision.</w:t>
      </w:r>
    </w:p>
    <w:p w:rsidRPr="00E14CB1" w:rsidR="004611CF" w:rsidP="004611CF" w:rsidRDefault="004611CF" w14:paraId="56163CF2" w14:textId="77777777">
      <w:pPr>
        <w:tabs>
          <w:tab w:val="left" w:pos="540"/>
        </w:tabs>
        <w:autoSpaceDE w:val="0"/>
        <w:autoSpaceDN w:val="0"/>
        <w:adjustRightInd w:val="0"/>
        <w:outlineLvl w:val="1"/>
        <w:rPr>
          <w:rFonts w:eastAsia="Times New Roman"/>
        </w:rPr>
      </w:pPr>
      <w:bookmarkStart w:name="_DV_M860" w:id="519"/>
      <w:bookmarkEnd w:id="519"/>
      <w:r>
        <w:rPr>
          <w:rFonts w:eastAsia="Times New Roman"/>
          <w:b/>
        </w:rPr>
        <w:lastRenderedPageBreak/>
        <w:t>2.4</w:t>
      </w:r>
      <w:r>
        <w:rPr>
          <w:rFonts w:eastAsia="Times New Roman"/>
          <w:b/>
        </w:rPr>
        <w:tab/>
        <w:t>Subrogation.</w:t>
      </w:r>
      <w:r>
        <w:rPr>
          <w:rFonts w:eastAsia="Times New Roman"/>
        </w:rPr>
        <w:t xml:space="preserve"> Despite any payment or payments made by Guarantor under this Guaranty, Guarantor unconditionally and irrevocably waives any rights of subrogation to the rights of Beneficiary against Company and any rights of reimbursement, assignment, indemnification, or implied contract or any similar rights (including any statutory rights of subrogation under U.S. Bankruptcy Code Section 509 (11 U.S.C. § 509)) against Company or against any other guarantor of all or any part of the Guaranteed Obligations until when the Guaranteed Obligations have been indefeasibly performed in full. If, despite the preceding sentence, any amount will be paid to Guarantor on account of the subrogation or similar rights at any time when all of the Guaranteed Obligations will not have been indefeasibly paid in full, those amounts will be held by Guarantor in trust for Beneficiary and Guarantor must turn over to Beneficiary those amounts in the exact form received by Guarantor, to be applied against the Guaranteed Obligations in the order that Beneficiary may determine in Beneficiary’s sole discretion.</w:t>
      </w:r>
    </w:p>
    <w:p w:rsidRPr="00E14CB1" w:rsidR="004611CF" w:rsidP="004611CF" w:rsidRDefault="004611CF" w14:paraId="2E2CFC90" w14:textId="77777777">
      <w:pPr>
        <w:tabs>
          <w:tab w:val="left" w:pos="540"/>
        </w:tabs>
        <w:autoSpaceDE w:val="0"/>
        <w:autoSpaceDN w:val="0"/>
        <w:adjustRightInd w:val="0"/>
        <w:outlineLvl w:val="1"/>
        <w:rPr>
          <w:rFonts w:eastAsia="Times New Roman"/>
        </w:rPr>
      </w:pPr>
      <w:bookmarkStart w:name="_DV_M861" w:id="520"/>
      <w:bookmarkEnd w:id="520"/>
      <w:r>
        <w:rPr>
          <w:rFonts w:eastAsia="Times New Roman"/>
          <w:b/>
        </w:rPr>
        <w:t>2.5</w:t>
      </w:r>
      <w:r>
        <w:rPr>
          <w:rFonts w:eastAsia="Times New Roman"/>
          <w:b/>
          <w:i/>
        </w:rPr>
        <w:tab/>
      </w:r>
      <w:r>
        <w:rPr>
          <w:rFonts w:eastAsia="Times New Roman"/>
          <w:b/>
        </w:rPr>
        <w:t>Contribution, Indemnification, Reimbursement.</w:t>
      </w:r>
      <w:r>
        <w:rPr>
          <w:rFonts w:eastAsia="Times New Roman"/>
        </w:rPr>
        <w:t xml:space="preserve"> Guarantor unconditionally, irrevocably, and absolutely waives all right of contribution, indemnification, reimbursement, or similar rights against Company regarding the Guaranty, whether the rights arise under an express or implied contract or by operation of law, and it is the intention of Guarantor and Company that Guarantor will not be deemed to be a “creditor” (as defined in U.S. Bankruptcy Code Section 101 or any other applicable law) of Company because of the existence of this Guaranty if Company becomes a debtor in any proceeding under the U.S. Bankruptcy Code or any other applicable law.</w:t>
      </w:r>
    </w:p>
    <w:p w:rsidRPr="00E14CB1" w:rsidR="004611CF" w:rsidP="004611CF" w:rsidRDefault="004611CF" w14:paraId="0EE1E254" w14:textId="77777777">
      <w:pPr>
        <w:tabs>
          <w:tab w:val="left" w:pos="540"/>
        </w:tabs>
        <w:autoSpaceDE w:val="0"/>
        <w:autoSpaceDN w:val="0"/>
        <w:adjustRightInd w:val="0"/>
        <w:outlineLvl w:val="1"/>
        <w:rPr>
          <w:rFonts w:eastAsia="Times New Roman"/>
        </w:rPr>
      </w:pPr>
      <w:bookmarkStart w:name="_DV_M862" w:id="521"/>
      <w:bookmarkEnd w:id="521"/>
      <w:r>
        <w:rPr>
          <w:rFonts w:eastAsia="Times New Roman"/>
          <w:b/>
        </w:rPr>
        <w:t>2.6</w:t>
      </w:r>
      <w:r>
        <w:rPr>
          <w:rFonts w:eastAsia="Times New Roman"/>
          <w:i/>
        </w:rPr>
        <w:tab/>
      </w:r>
      <w:r>
        <w:rPr>
          <w:rFonts w:eastAsia="Times New Roman"/>
          <w:b/>
        </w:rPr>
        <w:t>Agreement regarding Bankruptcy of Company.</w:t>
      </w:r>
      <w:r>
        <w:rPr>
          <w:rFonts w:eastAsia="Times New Roman"/>
        </w:rPr>
        <w:t xml:space="preserve"> So long as any Guaranteed Obligations are owed to Beneficiary, Guarantor must not, without the prior written consent of Beneficiary, commence, or join with any other person in commencing, any bankruptcy, reorganization or insolvency proceeding against Company.</w:t>
      </w:r>
    </w:p>
    <w:p w:rsidRPr="00E14CB1" w:rsidR="004611CF" w:rsidP="004611CF" w:rsidRDefault="004611CF" w14:paraId="0AB464F8" w14:textId="1AABEAF4">
      <w:pPr>
        <w:keepNext/>
        <w:autoSpaceDE w:val="0"/>
        <w:autoSpaceDN w:val="0"/>
        <w:adjustRightInd w:val="0"/>
        <w:spacing w:before="240"/>
        <w:jc w:val="left"/>
        <w:outlineLvl w:val="0"/>
        <w:rPr>
          <w:rFonts w:eastAsia="Times New Roman"/>
          <w:b/>
          <w:caps/>
        </w:rPr>
      </w:pPr>
      <w:bookmarkStart w:name="_DV_M863" w:id="522"/>
      <w:bookmarkEnd w:id="522"/>
      <w:r>
        <w:rPr>
          <w:rFonts w:eastAsia="Times New Roman"/>
          <w:b/>
          <w:caps/>
        </w:rPr>
        <w:t>PART 3 Representations and Warranties</w:t>
      </w:r>
    </w:p>
    <w:p w:rsidRPr="00E14CB1" w:rsidR="004611CF" w:rsidP="004611CF" w:rsidRDefault="004611CF" w14:paraId="45923744" w14:textId="77777777">
      <w:pPr>
        <w:rPr>
          <w:rFonts w:eastAsia="Times New Roman"/>
        </w:rPr>
      </w:pPr>
      <w:bookmarkStart w:name="_DV_M864" w:id="523"/>
      <w:bookmarkEnd w:id="523"/>
      <w:r>
        <w:rPr>
          <w:rFonts w:eastAsia="Times New Roman"/>
        </w:rPr>
        <w:t>Guarantor hereby represents and warrants as follows:</w:t>
      </w:r>
    </w:p>
    <w:p w:rsidRPr="00E14CB1" w:rsidR="004611CF" w:rsidP="004611CF" w:rsidRDefault="004611CF" w14:paraId="155EF5E3" w14:textId="77777777">
      <w:pPr>
        <w:tabs>
          <w:tab w:val="left" w:pos="540"/>
        </w:tabs>
        <w:autoSpaceDE w:val="0"/>
        <w:autoSpaceDN w:val="0"/>
        <w:adjustRightInd w:val="0"/>
        <w:outlineLvl w:val="1"/>
        <w:rPr>
          <w:rFonts w:eastAsia="Times New Roman"/>
        </w:rPr>
      </w:pPr>
      <w:bookmarkStart w:name="_DV_M865" w:id="524"/>
      <w:bookmarkEnd w:id="524"/>
      <w:r>
        <w:rPr>
          <w:rFonts w:eastAsia="Times New Roman"/>
          <w:b/>
        </w:rPr>
        <w:t>3.1</w:t>
      </w:r>
      <w:r>
        <w:rPr>
          <w:rFonts w:eastAsia="Times New Roman"/>
          <w:i/>
        </w:rPr>
        <w:tab/>
      </w:r>
      <w:r>
        <w:rPr>
          <w:rFonts w:eastAsia="Times New Roman"/>
          <w:b/>
        </w:rPr>
        <w:t>Organization.</w:t>
      </w:r>
      <w:r>
        <w:rPr>
          <w:rFonts w:eastAsia="Times New Roman"/>
        </w:rPr>
        <w:t xml:space="preserve"> Guarantor is </w:t>
      </w:r>
      <w:r>
        <w:rPr>
          <w:rFonts w:eastAsia="Times New Roman"/>
          <w:highlight w:val="yellow"/>
        </w:rPr>
        <w:t xml:space="preserve">#a </w:t>
      </w:r>
      <w:r>
        <w:rPr>
          <w:rFonts w:eastAsia="Times New Roman"/>
          <w:b/>
          <w:i/>
          <w:color w:val="FF0000"/>
          <w:highlight w:val="yellow"/>
          <w:u w:val="single"/>
        </w:rPr>
        <w:t>OR</w:t>
      </w:r>
      <w:r>
        <w:rPr>
          <w:rFonts w:eastAsia="Times New Roman"/>
          <w:highlight w:val="yellow"/>
        </w:rPr>
        <w:t xml:space="preserve"> #an</w:t>
      </w:r>
      <w:r>
        <w:rPr>
          <w:rFonts w:eastAsia="Times New Roman"/>
        </w:rPr>
        <w:t xml:space="preserve"> </w:t>
      </w:r>
      <w:r>
        <w:rPr>
          <w:rFonts w:eastAsia="Times New Roman"/>
          <w:highlight w:val="yellow"/>
        </w:rPr>
        <w:t>#GuarantorEntityType#</w:t>
      </w:r>
      <w:r>
        <w:rPr>
          <w:rFonts w:eastAsia="Times New Roman"/>
        </w:rPr>
        <w:t xml:space="preserve"> organized, validly existing, and in good standing under the laws of the state of </w:t>
      </w:r>
      <w:r>
        <w:rPr>
          <w:rFonts w:eastAsia="Times New Roman"/>
          <w:highlight w:val="yellow"/>
        </w:rPr>
        <w:t>#GuarantorEntityRegistrationState</w:t>
      </w:r>
      <w:r>
        <w:rPr>
          <w:rFonts w:eastAsia="Times New Roman"/>
        </w:rPr>
        <w:t>.</w:t>
      </w:r>
    </w:p>
    <w:p w:rsidRPr="00E14CB1" w:rsidR="004611CF" w:rsidP="004611CF" w:rsidRDefault="004611CF" w14:paraId="770BB232" w14:textId="77777777">
      <w:pPr>
        <w:tabs>
          <w:tab w:val="left" w:pos="540"/>
        </w:tabs>
        <w:autoSpaceDE w:val="0"/>
        <w:autoSpaceDN w:val="0"/>
        <w:adjustRightInd w:val="0"/>
        <w:outlineLvl w:val="1"/>
        <w:rPr>
          <w:rFonts w:eastAsia="Times New Roman"/>
        </w:rPr>
      </w:pPr>
      <w:bookmarkStart w:name="_DV_M866" w:id="525"/>
      <w:bookmarkEnd w:id="525"/>
      <w:r>
        <w:rPr>
          <w:rFonts w:eastAsia="Times New Roman"/>
          <w:b/>
        </w:rPr>
        <w:t>3.2</w:t>
      </w:r>
      <w:r>
        <w:rPr>
          <w:rFonts w:eastAsia="Times New Roman"/>
          <w:i/>
        </w:rPr>
        <w:tab/>
      </w:r>
      <w:r>
        <w:rPr>
          <w:rFonts w:eastAsia="Times New Roman"/>
          <w:b/>
        </w:rPr>
        <w:t>Authorization; No Conflict.</w:t>
      </w:r>
      <w:r>
        <w:rPr>
          <w:rFonts w:eastAsia="Times New Roman"/>
        </w:rPr>
        <w:t xml:space="preserve"> The execution and delivery by Guarantor of this Guaranty, and the performance by Guarantor of its obligations under this Guaranty: (</w:t>
      </w:r>
      <w:proofErr w:type="spellStart"/>
      <w:r>
        <w:rPr>
          <w:rFonts w:eastAsia="Times New Roman"/>
        </w:rPr>
        <w:t>i</w:t>
      </w:r>
      <w:proofErr w:type="spellEnd"/>
      <w:r>
        <w:rPr>
          <w:rFonts w:eastAsia="Times New Roman"/>
        </w:rPr>
        <w:t xml:space="preserve">) are within Guarantor’s </w:t>
      </w:r>
      <w:r>
        <w:rPr>
          <w:rFonts w:eastAsia="Times New Roman"/>
          <w:highlight w:val="yellow"/>
        </w:rPr>
        <w:t>#GuarantorEntityType#</w:t>
      </w:r>
      <w:r>
        <w:rPr>
          <w:rFonts w:eastAsia="Times New Roman"/>
        </w:rPr>
        <w:t xml:space="preserve"> powers; (ii) have been duly authorized by all necessary </w:t>
      </w:r>
      <w:r>
        <w:rPr>
          <w:rFonts w:eastAsia="Times New Roman"/>
          <w:highlight w:val="yellow"/>
        </w:rPr>
        <w:t>#GuarantorEntityType#</w:t>
      </w:r>
      <w:r>
        <w:rPr>
          <w:rFonts w:eastAsia="Times New Roman"/>
        </w:rPr>
        <w:t xml:space="preserve"> action; (iii) do not contravene its </w:t>
      </w:r>
      <w:r>
        <w:rPr>
          <w:rFonts w:eastAsia="Times New Roman"/>
          <w:highlight w:val="yellow"/>
        </w:rPr>
        <w:t xml:space="preserve">#bylaws </w:t>
      </w:r>
      <w:r>
        <w:rPr>
          <w:rFonts w:eastAsia="Times New Roman"/>
          <w:b/>
          <w:i/>
          <w:color w:val="FF0000"/>
          <w:highlight w:val="yellow"/>
          <w:u w:val="single"/>
        </w:rPr>
        <w:t>OR</w:t>
      </w:r>
      <w:r>
        <w:rPr>
          <w:rFonts w:eastAsia="Times New Roman"/>
          <w:highlight w:val="yellow"/>
        </w:rPr>
        <w:t xml:space="preserve"> #operating agreement </w:t>
      </w:r>
      <w:r>
        <w:rPr>
          <w:rFonts w:eastAsia="Times New Roman"/>
          <w:b/>
          <w:i/>
          <w:color w:val="FF0000"/>
          <w:highlight w:val="yellow"/>
          <w:u w:val="single"/>
        </w:rPr>
        <w:t>OR</w:t>
      </w:r>
      <w:r>
        <w:rPr>
          <w:rFonts w:eastAsia="Times New Roman"/>
          <w:highlight w:val="yellow"/>
        </w:rPr>
        <w:t xml:space="preserve"> #OtherOrganizationalDocument</w:t>
      </w:r>
      <w:r>
        <w:rPr>
          <w:rFonts w:eastAsia="Times New Roman"/>
        </w:rPr>
        <w:t xml:space="preserve"> or any law or regulation applicable to or binding on Guarantor or any of its properties; and (iv) do not require the consent or approval of any Person that has not already been obtained or the satisfaction or waiver of any conditions precedent to the effectiveness of this Guaranty that have not been satisfied or waived.</w:t>
      </w:r>
    </w:p>
    <w:p w:rsidRPr="00E14CB1" w:rsidR="004611CF" w:rsidP="004611CF" w:rsidRDefault="004611CF" w14:paraId="16C012DD" w14:textId="77777777">
      <w:pPr>
        <w:tabs>
          <w:tab w:val="left" w:pos="540"/>
        </w:tabs>
        <w:autoSpaceDE w:val="0"/>
        <w:autoSpaceDN w:val="0"/>
        <w:adjustRightInd w:val="0"/>
        <w:outlineLvl w:val="1"/>
        <w:rPr>
          <w:rFonts w:eastAsia="Times New Roman"/>
        </w:rPr>
      </w:pPr>
      <w:bookmarkStart w:name="_DV_M867" w:id="526"/>
      <w:bookmarkEnd w:id="526"/>
      <w:r>
        <w:rPr>
          <w:rFonts w:eastAsia="Times New Roman"/>
          <w:b/>
        </w:rPr>
        <w:t>3.3</w:t>
      </w:r>
      <w:r>
        <w:rPr>
          <w:rFonts w:eastAsia="Times New Roman"/>
          <w:i/>
        </w:rPr>
        <w:tab/>
      </w:r>
      <w:r>
        <w:rPr>
          <w:rFonts w:eastAsia="Times New Roman"/>
          <w:b/>
        </w:rPr>
        <w:t>Enforceability.</w:t>
      </w:r>
      <w:r>
        <w:rPr>
          <w:rFonts w:eastAsia="Times New Roman"/>
        </w:rPr>
        <w:t xml:space="preserve"> This Guaranty constitutes the legal, valid, and binding obligation of Guarantor, enforceable against Guarantor in accordance with its terms, except to the extent that that enforceability may be limited by applicable bankruptcy, insolvency, dissolution, reorganization, moratorium, liquidation, or other similar laws affecting creditors’ rights generally and by general principles of equity (regardless of whether enforcement is sought in a proceeding in equity or at law).</w:t>
      </w:r>
    </w:p>
    <w:p w:rsidRPr="00E14CB1" w:rsidR="004611CF" w:rsidP="004611CF" w:rsidRDefault="004611CF" w14:paraId="61A074EF" w14:textId="77777777">
      <w:pPr>
        <w:tabs>
          <w:tab w:val="left" w:pos="540"/>
        </w:tabs>
        <w:autoSpaceDE w:val="0"/>
        <w:autoSpaceDN w:val="0"/>
        <w:adjustRightInd w:val="0"/>
        <w:outlineLvl w:val="1"/>
        <w:rPr>
          <w:rFonts w:eastAsia="Times New Roman"/>
        </w:rPr>
      </w:pPr>
      <w:bookmarkStart w:name="_DV_M868" w:id="527"/>
      <w:bookmarkEnd w:id="527"/>
      <w:r>
        <w:rPr>
          <w:rFonts w:eastAsia="Times New Roman"/>
          <w:b/>
        </w:rPr>
        <w:t>3.4</w:t>
      </w:r>
      <w:r>
        <w:rPr>
          <w:rFonts w:eastAsia="Times New Roman"/>
          <w:i/>
        </w:rPr>
        <w:tab/>
      </w:r>
      <w:r>
        <w:rPr>
          <w:rFonts w:eastAsia="Times New Roman"/>
          <w:b/>
        </w:rPr>
        <w:t>No Bankruptcy Proceedings.</w:t>
      </w:r>
      <w:r>
        <w:rPr>
          <w:rFonts w:eastAsia="Times New Roman"/>
        </w:rPr>
        <w:t xml:space="preserve"> There are no bankruptcy proceedings pending or being contemplated by Guarantor or, to Guarantor’s knowledge, threatened </w:t>
      </w:r>
      <w:proofErr w:type="gramStart"/>
      <w:r>
        <w:rPr>
          <w:rFonts w:eastAsia="Times New Roman"/>
        </w:rPr>
        <w:t>against</w:t>
      </w:r>
      <w:proofErr w:type="gramEnd"/>
      <w:r>
        <w:rPr>
          <w:rFonts w:eastAsia="Times New Roman"/>
        </w:rPr>
        <w:t xml:space="preserve"> it.</w:t>
      </w:r>
    </w:p>
    <w:p w:rsidRPr="00E14CB1" w:rsidR="004611CF" w:rsidP="004611CF" w:rsidRDefault="004611CF" w14:paraId="63B2EE0E" w14:textId="77777777">
      <w:pPr>
        <w:tabs>
          <w:tab w:val="left" w:pos="540"/>
        </w:tabs>
        <w:autoSpaceDE w:val="0"/>
        <w:autoSpaceDN w:val="0"/>
        <w:adjustRightInd w:val="0"/>
        <w:outlineLvl w:val="1"/>
        <w:rPr>
          <w:rFonts w:eastAsia="Times New Roman"/>
        </w:rPr>
      </w:pPr>
      <w:bookmarkStart w:name="_DV_M869" w:id="528"/>
      <w:bookmarkEnd w:id="528"/>
      <w:r>
        <w:rPr>
          <w:rFonts w:eastAsia="Times New Roman"/>
          <w:b/>
        </w:rPr>
        <w:t>3.5</w:t>
      </w:r>
      <w:r>
        <w:rPr>
          <w:rFonts w:eastAsia="Times New Roman"/>
          <w:i/>
        </w:rPr>
        <w:tab/>
      </w:r>
      <w:r>
        <w:rPr>
          <w:rFonts w:eastAsia="Times New Roman"/>
          <w:b/>
        </w:rPr>
        <w:t>No Legal Proceedings.</w:t>
      </w:r>
      <w:r>
        <w:rPr>
          <w:rFonts w:eastAsia="Times New Roman"/>
        </w:rPr>
        <w:t xml:space="preserve"> There are no legal proceedings that would be reasonably likely to materially adversely affect Guarantor’s ability to perform this Guaranty.</w:t>
      </w:r>
    </w:p>
    <w:p w:rsidRPr="00E14CB1" w:rsidR="004611CF" w:rsidP="004611CF" w:rsidRDefault="004611CF" w14:paraId="62638B3E" w14:textId="77777777">
      <w:pPr>
        <w:keepNext/>
        <w:autoSpaceDE w:val="0"/>
        <w:autoSpaceDN w:val="0"/>
        <w:adjustRightInd w:val="0"/>
        <w:spacing w:before="240"/>
        <w:jc w:val="left"/>
        <w:outlineLvl w:val="0"/>
        <w:rPr>
          <w:rFonts w:eastAsia="Times New Roman"/>
          <w:b/>
          <w:caps/>
        </w:rPr>
      </w:pPr>
      <w:bookmarkStart w:name="_DV_M870" w:id="529"/>
      <w:bookmarkEnd w:id="529"/>
      <w:r>
        <w:rPr>
          <w:rFonts w:eastAsia="Times New Roman"/>
          <w:b/>
          <w:caps/>
        </w:rPr>
        <w:t>PART 4 - Miscellaneous</w:t>
      </w:r>
    </w:p>
    <w:p w:rsidRPr="00CB241B" w:rsidR="004611CF" w:rsidP="004611CF" w:rsidRDefault="004611CF" w14:paraId="1FE1A28A" w14:textId="473D5729">
      <w:pPr>
        <w:tabs>
          <w:tab w:val="left" w:pos="540"/>
        </w:tabs>
        <w:autoSpaceDE w:val="0"/>
        <w:autoSpaceDN w:val="0"/>
        <w:adjustRightInd w:val="0"/>
        <w:outlineLvl w:val="1"/>
        <w:rPr>
          <w:rFonts w:eastAsia="Times New Roman"/>
        </w:rPr>
      </w:pPr>
      <w:bookmarkStart w:name="_DV_M871" w:id="530"/>
      <w:bookmarkEnd w:id="530"/>
      <w:r>
        <w:rPr>
          <w:rFonts w:eastAsia="Times New Roman"/>
          <w:b/>
        </w:rPr>
        <w:t>4.1</w:t>
      </w:r>
      <w:r>
        <w:rPr>
          <w:rFonts w:eastAsia="Times New Roman"/>
          <w:i/>
        </w:rPr>
        <w:tab/>
      </w:r>
      <w:r>
        <w:rPr>
          <w:rFonts w:eastAsia="Times New Roman"/>
          <w:b/>
        </w:rPr>
        <w:t>Continuing Guaranty; Assignment.</w:t>
      </w:r>
      <w:r>
        <w:rPr>
          <w:rFonts w:eastAsia="Times New Roman"/>
        </w:rPr>
        <w:t xml:space="preserve"> This Guaranty is a continuing guaranty and will: (</w:t>
      </w:r>
      <w:proofErr w:type="spellStart"/>
      <w:r>
        <w:rPr>
          <w:rFonts w:eastAsia="Times New Roman"/>
        </w:rPr>
        <w:t>i</w:t>
      </w:r>
      <w:proofErr w:type="spellEnd"/>
      <w:r>
        <w:rPr>
          <w:rFonts w:eastAsia="Times New Roman"/>
        </w:rPr>
        <w:t xml:space="preserve">) remain in full force and effect until all of the Guaranty Obligations have been satisfied; (ii) consistent with the terms of this Guaranty, apply to all Guaranteed Obligations whenever arising; (iii) be binding upon Guarantor, its successors and assigns; and (iv) inure to the benefit of, and be enforceable by, Beneficiary and its permitted assignees under this Guaranty. Guarantor must not assign or delegate Guarantor’s rights or obligations </w:t>
      </w:r>
      <w:r>
        <w:rPr>
          <w:rFonts w:eastAsia="Times New Roman"/>
        </w:rPr>
        <w:lastRenderedPageBreak/>
        <w:t>under this Guaranty without: (</w:t>
      </w:r>
      <w:proofErr w:type="spellStart"/>
      <w:r>
        <w:rPr>
          <w:rFonts w:eastAsia="Times New Roman"/>
        </w:rPr>
        <w:t>i</w:t>
      </w:r>
      <w:proofErr w:type="spellEnd"/>
      <w:r>
        <w:rPr>
          <w:rFonts w:eastAsia="Times New Roman"/>
        </w:rPr>
        <w:t>) the prior written consent of Beneficiary, which consent may be withheld in Beneficiary’s sole discretion; and (ii) a written assignment and assumption agreement in form and substance reasonably acceptable to Beneficiary. Without prejudice to the survival of any of the other agreements of Guarantor under this Guaranty, the agreements and obligations of Guarantor contained in Section 4.4 (</w:t>
      </w:r>
      <w:r>
        <w:rPr>
          <w:rFonts w:eastAsia="Times New Roman"/>
          <w:i/>
        </w:rPr>
        <w:t>Expenses</w:t>
      </w:r>
      <w:r>
        <w:rPr>
          <w:rFonts w:eastAsia="Times New Roman"/>
        </w:rPr>
        <w:t>) (regarding enforcement expenses) and the last sentence of Section 2.2.1 (</w:t>
      </w:r>
      <w:r>
        <w:rPr>
          <w:rFonts w:eastAsia="Times New Roman"/>
          <w:i/>
        </w:rPr>
        <w:t>Guarantor Guarantees</w:t>
      </w:r>
      <w:r>
        <w:rPr>
          <w:rFonts w:eastAsia="Times New Roman"/>
        </w:rPr>
        <w:t xml:space="preserve">) will survive the payment in full of the Guaranteed Obligations and </w:t>
      </w:r>
      <w:proofErr w:type="gramStart"/>
      <w:r>
        <w:rPr>
          <w:rFonts w:eastAsia="Times New Roman"/>
        </w:rPr>
        <w:t>all of</w:t>
      </w:r>
      <w:proofErr w:type="gramEnd"/>
      <w:r>
        <w:rPr>
          <w:rFonts w:eastAsia="Times New Roman"/>
        </w:rPr>
        <w:t xml:space="preserve"> the other amounts payable under this Guaranty.</w:t>
      </w:r>
    </w:p>
    <w:p w:rsidRPr="00E14CB1" w:rsidR="004611CF" w:rsidP="004611CF" w:rsidRDefault="004611CF" w14:paraId="2E2559E2" w14:textId="5C252C1D">
      <w:pPr>
        <w:tabs>
          <w:tab w:val="left" w:pos="540"/>
        </w:tabs>
        <w:rPr>
          <w:rFonts w:eastAsia="Times New Roman"/>
        </w:rPr>
      </w:pPr>
      <w:bookmarkStart w:name="_DV_M872" w:id="531"/>
      <w:bookmarkEnd w:id="531"/>
      <w:r>
        <w:rPr>
          <w:rFonts w:eastAsia="Times New Roman"/>
          <w:b/>
        </w:rPr>
        <w:t>4.2</w:t>
      </w:r>
      <w:r>
        <w:rPr>
          <w:rFonts w:eastAsia="Calibri"/>
        </w:rPr>
        <w:tab/>
      </w:r>
      <w:r>
        <w:rPr>
          <w:rFonts w:eastAsia="Times New Roman"/>
          <w:b/>
        </w:rPr>
        <w:t>Notices.</w:t>
      </w:r>
      <w:r>
        <w:rPr>
          <w:rFonts w:eastAsia="Times New Roman"/>
        </w:rPr>
        <w:t xml:space="preserve"> All notices, requests, demands and other communications that are required or may be given under this Guaranty must be in writing and will be deemed to have been given when actually received if: (</w:t>
      </w:r>
      <w:proofErr w:type="spellStart"/>
      <w:r>
        <w:rPr>
          <w:rFonts w:eastAsia="Times New Roman"/>
        </w:rPr>
        <w:t>i</w:t>
      </w:r>
      <w:proofErr w:type="spellEnd"/>
      <w:r>
        <w:rPr>
          <w:rFonts w:eastAsia="Times New Roman"/>
        </w:rPr>
        <w:t xml:space="preserve">) personally delivered; (ii) transmitted by facsimile, electronic, or digital transmission method; or (iii) if sent by certified or registered mail, return receipt requested. In each case, notice will be </w:t>
      </w:r>
      <w:bookmarkStart w:name="_DV_M873" w:id="532"/>
      <w:bookmarkEnd w:id="532"/>
      <w:r>
        <w:rPr>
          <w:rFonts w:eastAsia="Times New Roman"/>
        </w:rPr>
        <w:t xml:space="preserve">to </w:t>
      </w:r>
      <w:bookmarkStart w:name="_DV_M874" w:id="533"/>
      <w:bookmarkEnd w:id="533"/>
      <w:r>
        <w:rPr>
          <w:rFonts w:eastAsia="Times New Roman"/>
        </w:rPr>
        <w:t xml:space="preserve">the contacts identified in this Section 4.2 </w:t>
      </w:r>
      <w:bookmarkStart w:name="_DV_M875" w:id="534"/>
      <w:bookmarkEnd w:id="534"/>
      <w:r>
        <w:rPr>
          <w:rFonts w:eastAsia="Times New Roman"/>
        </w:rPr>
        <w:t>(</w:t>
      </w:r>
      <w:r>
        <w:rPr>
          <w:rFonts w:eastAsia="Times New Roman"/>
          <w:i/>
          <w:iCs/>
        </w:rPr>
        <w:t>Notices</w:t>
      </w:r>
      <w:r>
        <w:rPr>
          <w:rFonts w:eastAsia="Times New Roman"/>
        </w:rPr>
        <w:t xml:space="preserve">) or to the other place and with the other copies as Beneficiary or Guarantor may designate for itself by written notice to the other </w:t>
      </w:r>
      <w:r>
        <w:rPr>
          <w:rFonts w:eastAsia="Calibri"/>
        </w:rPr>
        <w:t>under</w:t>
      </w:r>
      <w:r>
        <w:rPr>
          <w:rFonts w:eastAsia="Times New Roman"/>
        </w:rPr>
        <w:t xml:space="preserve"> this Section 4.2. Delivery by facsimile of an executed counterpart of a signature page to any amendment or waiver of any provision of this Guaranty will be effective as delivery of an original executed counterpart to the amendment or waiver.</w:t>
      </w:r>
    </w:p>
    <w:tbl>
      <w:tblPr>
        <w:tblW w:w="0" w:type="auto"/>
        <w:tblLook w:val="00A0" w:firstRow="1" w:lastRow="0" w:firstColumn="1" w:lastColumn="0" w:noHBand="0" w:noVBand="0"/>
      </w:tblPr>
      <w:tblGrid>
        <w:gridCol w:w="4815"/>
        <w:gridCol w:w="4545"/>
      </w:tblGrid>
      <w:tr w:rsidRPr="00E14CB1" w:rsidR="004611CF" w14:paraId="55D9CAFC" w14:textId="77777777">
        <w:trPr>
          <w:trHeight w:val="360"/>
        </w:trPr>
        <w:tc>
          <w:tcPr>
            <w:tcW w:w="5019" w:type="dxa"/>
            <w:vAlign w:val="center"/>
          </w:tcPr>
          <w:p w:rsidRPr="00E14CB1" w:rsidR="004611CF" w:rsidRDefault="004611CF" w14:paraId="5B132058" w14:textId="77777777">
            <w:pPr>
              <w:keepNext/>
              <w:keepLines/>
              <w:jc w:val="left"/>
              <w:rPr>
                <w:rFonts w:ascii="Arial Bold" w:hAnsi="Arial Bold" w:eastAsia="Calibri"/>
                <w:b/>
                <w:color w:val="000000"/>
              </w:rPr>
            </w:pPr>
            <w:r>
              <w:rPr>
                <w:rFonts w:ascii="Arial Bold" w:hAnsi="Arial Bold" w:eastAsia="Calibri"/>
                <w:b/>
                <w:color w:val="000000"/>
              </w:rPr>
              <w:t>Notice to GPC:</w:t>
            </w:r>
          </w:p>
        </w:tc>
        <w:tc>
          <w:tcPr>
            <w:tcW w:w="4989" w:type="dxa"/>
            <w:vAlign w:val="center"/>
          </w:tcPr>
          <w:p w:rsidRPr="00E14CB1" w:rsidR="004611CF" w:rsidRDefault="004611CF" w14:paraId="07CCC622" w14:textId="77777777">
            <w:pPr>
              <w:keepNext/>
              <w:keepLines/>
              <w:jc w:val="left"/>
              <w:rPr>
                <w:rFonts w:ascii="Arial Bold" w:hAnsi="Arial Bold" w:eastAsia="Calibri"/>
                <w:b/>
                <w:color w:val="000000"/>
              </w:rPr>
            </w:pPr>
            <w:r>
              <w:rPr>
                <w:rFonts w:ascii="Arial Bold" w:hAnsi="Arial Bold" w:eastAsia="Calibri"/>
                <w:b/>
                <w:color w:val="000000"/>
              </w:rPr>
              <w:t>With Copy to:</w:t>
            </w:r>
          </w:p>
        </w:tc>
      </w:tr>
      <w:tr w:rsidRPr="00E14CB1" w:rsidR="004611CF" w14:paraId="34BB28A6" w14:textId="77777777">
        <w:tc>
          <w:tcPr>
            <w:tcW w:w="5019" w:type="dxa"/>
            <w:vAlign w:val="center"/>
          </w:tcPr>
          <w:p w:rsidRPr="00E14CB1" w:rsidR="004611CF" w:rsidRDefault="004611CF" w14:paraId="1F4D0E13" w14:textId="77777777">
            <w:pPr>
              <w:keepLines/>
              <w:spacing w:before="0" w:after="0"/>
              <w:jc w:val="left"/>
              <w:rPr>
                <w:rFonts w:eastAsia="Calibri"/>
                <w:color w:val="000000"/>
              </w:rPr>
            </w:pPr>
            <w:r>
              <w:rPr>
                <w:rFonts w:eastAsia="Calibri"/>
                <w:color w:val="000000"/>
              </w:rPr>
              <w:t>Georgia Power Company</w:t>
            </w:r>
          </w:p>
          <w:p w:rsidRPr="00E14CB1" w:rsidR="004611CF" w:rsidRDefault="004611CF" w14:paraId="6A21B149" w14:textId="77777777">
            <w:pPr>
              <w:keepLines/>
              <w:spacing w:before="0" w:after="0"/>
              <w:jc w:val="left"/>
              <w:rPr>
                <w:rFonts w:eastAsia="MS Gothic"/>
              </w:rPr>
            </w:pPr>
            <w:r>
              <w:rPr>
                <w:rFonts w:eastAsia="Calibri"/>
              </w:rPr>
              <w:t>c/o Southern Company Services, Inc.</w:t>
            </w:r>
          </w:p>
          <w:p w:rsidRPr="00E14CB1" w:rsidR="004611CF" w:rsidRDefault="004611CF" w14:paraId="299B3B2D" w14:textId="77777777">
            <w:pPr>
              <w:keepLines/>
              <w:spacing w:before="0" w:after="0"/>
              <w:jc w:val="left"/>
              <w:rPr>
                <w:rFonts w:eastAsia="MS Gothic"/>
              </w:rPr>
            </w:pPr>
            <w:r>
              <w:rPr>
                <w:rFonts w:eastAsia="MS Gothic"/>
              </w:rPr>
              <w:t>Attn: Assistant Treasurer, BIN SC 1407</w:t>
            </w:r>
          </w:p>
          <w:p w:rsidRPr="00E14CB1" w:rsidR="004611CF" w:rsidRDefault="004611CF" w14:paraId="4339F847" w14:textId="77777777">
            <w:pPr>
              <w:keepLines/>
              <w:spacing w:before="0" w:after="0"/>
              <w:jc w:val="left"/>
              <w:rPr>
                <w:rFonts w:eastAsia="Calibri"/>
              </w:rPr>
            </w:pPr>
            <w:r>
              <w:rPr>
                <w:rFonts w:eastAsia="Calibri"/>
              </w:rPr>
              <w:t xml:space="preserve">30 Ivan Allen Junior Boulevard, NW </w:t>
            </w:r>
          </w:p>
          <w:p w:rsidRPr="00E14CB1" w:rsidR="004611CF" w:rsidRDefault="004611CF" w14:paraId="21F687D9" w14:textId="77777777">
            <w:pPr>
              <w:keepLines/>
              <w:spacing w:before="0" w:after="0"/>
              <w:jc w:val="left"/>
              <w:rPr>
                <w:rFonts w:eastAsia="Calibri"/>
                <w:color w:val="000000"/>
              </w:rPr>
            </w:pPr>
            <w:r>
              <w:rPr>
                <w:rFonts w:eastAsia="Calibri"/>
                <w:color w:val="000000"/>
              </w:rPr>
              <w:t>Atlanta, GA 30308</w:t>
            </w:r>
          </w:p>
          <w:p w:rsidRPr="00E14CB1" w:rsidR="004611CF" w:rsidRDefault="004611CF" w14:paraId="09C65153" w14:textId="77777777">
            <w:pPr>
              <w:keepLines/>
              <w:spacing w:before="0" w:after="0"/>
              <w:jc w:val="left"/>
              <w:rPr>
                <w:rFonts w:eastAsia="Calibri"/>
                <w:color w:val="000000"/>
              </w:rPr>
            </w:pPr>
            <w:hyperlink w:history="1" r:id="rId44">
              <w:r>
                <w:rPr>
                  <w:rFonts w:eastAsia="Calibri"/>
                </w:rPr>
                <w:t>G2GPCERG@southernco.com</w:t>
              </w:r>
            </w:hyperlink>
            <w:r>
              <w:rPr>
                <w:rFonts w:eastAsia="Calibri"/>
              </w:rPr>
              <w:t xml:space="preserve"> </w:t>
            </w:r>
          </w:p>
        </w:tc>
        <w:tc>
          <w:tcPr>
            <w:tcW w:w="4989" w:type="dxa"/>
          </w:tcPr>
          <w:p w:rsidRPr="00E14CB1" w:rsidR="004611CF" w:rsidRDefault="004611CF" w14:paraId="182A8731" w14:textId="77777777">
            <w:pPr>
              <w:keepLines/>
              <w:spacing w:before="0" w:after="0"/>
              <w:jc w:val="left"/>
              <w:rPr>
                <w:rFonts w:eastAsia="Calibri"/>
                <w:color w:val="000000"/>
              </w:rPr>
            </w:pPr>
            <w:r>
              <w:rPr>
                <w:rFonts w:eastAsia="Calibri"/>
                <w:color w:val="000000"/>
              </w:rPr>
              <w:t>Georgia Power Company Legal Dept.</w:t>
            </w:r>
          </w:p>
          <w:p w:rsidRPr="00E14CB1" w:rsidR="004611CF" w:rsidRDefault="004611CF" w14:paraId="32911275" w14:textId="77777777">
            <w:pPr>
              <w:keepLines/>
              <w:spacing w:before="0" w:after="0"/>
              <w:jc w:val="left"/>
              <w:rPr>
                <w:rFonts w:eastAsia="Calibri"/>
                <w:color w:val="000000"/>
              </w:rPr>
            </w:pPr>
            <w:r>
              <w:rPr>
                <w:rFonts w:eastAsia="Calibri"/>
                <w:color w:val="000000"/>
              </w:rPr>
              <w:t>Attn: Commercial &amp; Transactions, Bin 10180</w:t>
            </w:r>
          </w:p>
          <w:p w:rsidRPr="00E14CB1" w:rsidR="004611CF" w:rsidRDefault="004611CF" w14:paraId="027DDA11" w14:textId="77777777">
            <w:pPr>
              <w:keepLines/>
              <w:spacing w:before="0" w:after="0"/>
              <w:jc w:val="left"/>
              <w:rPr>
                <w:rFonts w:eastAsia="Calibri"/>
                <w:color w:val="000000"/>
              </w:rPr>
            </w:pPr>
            <w:r>
              <w:rPr>
                <w:rFonts w:eastAsia="Calibri"/>
                <w:color w:val="000000"/>
              </w:rPr>
              <w:t>241 Ralph McGill Blvd., N.E.</w:t>
            </w:r>
          </w:p>
          <w:p w:rsidRPr="00E14CB1" w:rsidR="004611CF" w:rsidRDefault="004611CF" w14:paraId="31235D33" w14:textId="77777777">
            <w:pPr>
              <w:keepLines/>
              <w:spacing w:before="0" w:after="0"/>
              <w:jc w:val="left"/>
              <w:rPr>
                <w:rFonts w:eastAsia="Calibri"/>
                <w:color w:val="000000"/>
              </w:rPr>
            </w:pPr>
            <w:r>
              <w:rPr>
                <w:rFonts w:eastAsia="Calibri"/>
                <w:color w:val="000000"/>
              </w:rPr>
              <w:t>Atlanta, GA 30308</w:t>
            </w:r>
          </w:p>
        </w:tc>
      </w:tr>
      <w:tr w:rsidRPr="00E14CB1" w:rsidR="004611CF" w14:paraId="7C5EDCCD" w14:textId="77777777">
        <w:trPr>
          <w:gridAfter w:val="1"/>
          <w:wAfter w:w="4932" w:type="dxa"/>
          <w:trHeight w:val="360"/>
        </w:trPr>
        <w:tc>
          <w:tcPr>
            <w:tcW w:w="5076" w:type="dxa"/>
            <w:vAlign w:val="center"/>
          </w:tcPr>
          <w:p w:rsidRPr="00E14CB1" w:rsidR="004611CF" w:rsidRDefault="004611CF" w14:paraId="0B133EDA" w14:textId="77777777">
            <w:pPr>
              <w:keepNext/>
              <w:keepLines/>
              <w:spacing w:before="0" w:after="0"/>
              <w:jc w:val="left"/>
              <w:rPr>
                <w:rFonts w:ascii="Arial Bold" w:hAnsi="Arial Bold" w:eastAsia="Calibri"/>
                <w:b/>
                <w:color w:val="000000"/>
              </w:rPr>
            </w:pPr>
            <w:r>
              <w:rPr>
                <w:rFonts w:eastAsia="Times New Roman"/>
              </w:rPr>
              <w:br/>
            </w:r>
            <w:r>
              <w:rPr>
                <w:rFonts w:ascii="Arial Bold" w:hAnsi="Arial Bold" w:eastAsia="Calibri"/>
                <w:b/>
                <w:color w:val="000000"/>
              </w:rPr>
              <w:t>Notice to Guarantor:</w:t>
            </w:r>
          </w:p>
        </w:tc>
      </w:tr>
      <w:tr w:rsidRPr="00E14CB1" w:rsidR="004611CF" w14:paraId="3742597F" w14:textId="77777777">
        <w:trPr>
          <w:gridAfter w:val="1"/>
          <w:wAfter w:w="4932" w:type="dxa"/>
        </w:trPr>
        <w:tc>
          <w:tcPr>
            <w:tcW w:w="5076" w:type="dxa"/>
            <w:vAlign w:val="center"/>
          </w:tcPr>
          <w:p w:rsidRPr="00E14CB1" w:rsidR="004611CF" w:rsidRDefault="004611CF" w14:paraId="5E4999BC" w14:textId="77777777">
            <w:pPr>
              <w:keepNext/>
              <w:keepLines/>
              <w:spacing w:before="0" w:after="0"/>
              <w:jc w:val="left"/>
              <w:rPr>
                <w:rFonts w:eastAsia="Calibri"/>
                <w:color w:val="000000"/>
                <w:highlight w:val="yellow"/>
              </w:rPr>
            </w:pPr>
            <w:r>
              <w:rPr>
                <w:rFonts w:eastAsia="Calibri"/>
                <w:color w:val="000000"/>
                <w:highlight w:val="yellow"/>
              </w:rPr>
              <w:t>#CompanyName</w:t>
            </w:r>
          </w:p>
          <w:p w:rsidRPr="00E14CB1" w:rsidR="004611CF" w:rsidRDefault="004611CF" w14:paraId="489BA57A" w14:textId="77777777">
            <w:pPr>
              <w:keepNext/>
              <w:keepLines/>
              <w:spacing w:before="0" w:after="0"/>
              <w:jc w:val="left"/>
              <w:rPr>
                <w:rFonts w:eastAsia="Calibri"/>
                <w:color w:val="000000"/>
                <w:highlight w:val="yellow"/>
              </w:rPr>
            </w:pPr>
            <w:proofErr w:type="gramStart"/>
            <w:r>
              <w:rPr>
                <w:rFonts w:eastAsia="Calibri"/>
                <w:color w:val="000000"/>
                <w:highlight w:val="yellow"/>
              </w:rPr>
              <w:t>Attn: #</w:t>
            </w:r>
            <w:proofErr w:type="gramEnd"/>
            <w:r>
              <w:rPr>
                <w:rFonts w:eastAsia="Calibri"/>
                <w:color w:val="000000"/>
                <w:highlight w:val="yellow"/>
              </w:rPr>
              <w:t>IndividualName</w:t>
            </w:r>
          </w:p>
          <w:p w:rsidRPr="00E14CB1" w:rsidR="004611CF" w:rsidRDefault="004611CF" w14:paraId="16280D8B" w14:textId="77777777">
            <w:pPr>
              <w:keepNext/>
              <w:keepLines/>
              <w:spacing w:before="0" w:after="0"/>
              <w:jc w:val="left"/>
              <w:rPr>
                <w:rFonts w:eastAsia="Calibri"/>
                <w:color w:val="000000"/>
                <w:highlight w:val="yellow"/>
              </w:rPr>
            </w:pPr>
            <w:r>
              <w:rPr>
                <w:rFonts w:eastAsia="Calibri"/>
                <w:color w:val="000000"/>
                <w:highlight w:val="yellow"/>
              </w:rPr>
              <w:t>#Title</w:t>
            </w:r>
          </w:p>
          <w:p w:rsidRPr="00E14CB1" w:rsidR="004611CF" w:rsidRDefault="004611CF" w14:paraId="199C4745" w14:textId="77777777">
            <w:pPr>
              <w:keepNext/>
              <w:keepLines/>
              <w:spacing w:before="0" w:after="0"/>
              <w:jc w:val="left"/>
              <w:rPr>
                <w:rFonts w:eastAsia="Calibri"/>
                <w:color w:val="000000"/>
                <w:highlight w:val="yellow"/>
              </w:rPr>
            </w:pPr>
            <w:r>
              <w:rPr>
                <w:rFonts w:eastAsia="Calibri"/>
                <w:color w:val="000000"/>
                <w:highlight w:val="yellow"/>
              </w:rPr>
              <w:t>#StreetAddress</w:t>
            </w:r>
          </w:p>
          <w:p w:rsidRPr="00E14CB1" w:rsidR="004611CF" w:rsidRDefault="004611CF" w14:paraId="1B66D745" w14:textId="77777777">
            <w:pPr>
              <w:keepNext/>
              <w:keepLines/>
              <w:spacing w:before="0" w:after="0"/>
              <w:jc w:val="left"/>
              <w:rPr>
                <w:rFonts w:eastAsia="Calibri"/>
                <w:color w:val="000000"/>
              </w:rPr>
            </w:pPr>
            <w:proofErr w:type="gramStart"/>
            <w:r>
              <w:rPr>
                <w:rFonts w:eastAsia="Calibri"/>
                <w:color w:val="000000"/>
                <w:highlight w:val="yellow"/>
              </w:rPr>
              <w:t>#City, #</w:t>
            </w:r>
            <w:proofErr w:type="gramEnd"/>
            <w:r>
              <w:rPr>
                <w:rFonts w:eastAsia="Calibri"/>
                <w:color w:val="000000"/>
                <w:highlight w:val="yellow"/>
              </w:rPr>
              <w:t>State #ZipCode</w:t>
            </w:r>
          </w:p>
          <w:p w:rsidRPr="00E14CB1" w:rsidR="004611CF" w:rsidRDefault="004611CF" w14:paraId="535D2431" w14:textId="77777777">
            <w:pPr>
              <w:keepNext/>
              <w:keepLines/>
              <w:spacing w:before="0" w:after="0"/>
              <w:jc w:val="left"/>
              <w:rPr>
                <w:rFonts w:eastAsia="Calibri"/>
                <w:color w:val="0563C1"/>
              </w:rPr>
            </w:pPr>
            <w:r>
              <w:rPr>
                <w:rFonts w:eastAsia="Calibri"/>
                <w:highlight w:val="yellow"/>
              </w:rPr>
              <w:t>#Email#</w:t>
            </w:r>
          </w:p>
        </w:tc>
      </w:tr>
    </w:tbl>
    <w:p w:rsidRPr="00E14CB1" w:rsidR="004611CF" w:rsidP="004611CF" w:rsidRDefault="004611CF" w14:paraId="521EDC3F" w14:textId="77777777">
      <w:pPr>
        <w:tabs>
          <w:tab w:val="left" w:pos="540"/>
        </w:tabs>
        <w:rPr>
          <w:rFonts w:eastAsia="Times New Roman"/>
        </w:rPr>
      </w:pPr>
      <w:bookmarkStart w:name="_DV_M876" w:id="535"/>
      <w:bookmarkEnd w:id="535"/>
      <w:r>
        <w:rPr>
          <w:rFonts w:eastAsia="Times New Roman"/>
          <w:b/>
        </w:rPr>
        <w:t>4.3</w:t>
      </w:r>
      <w:r>
        <w:rPr>
          <w:rFonts w:eastAsia="Times New Roman"/>
          <w:i/>
        </w:rPr>
        <w:tab/>
      </w:r>
      <w:r>
        <w:rPr>
          <w:rFonts w:eastAsia="Times New Roman"/>
          <w:b/>
        </w:rPr>
        <w:t>Delay and Waiver.</w:t>
      </w:r>
      <w:r>
        <w:rPr>
          <w:rFonts w:eastAsia="Times New Roman"/>
        </w:rPr>
        <w:t xml:space="preserve"> No failure on the part of Beneficiary to exercise, and no delay in exercising, any right under this Guaranty will operate as a waiver any right under this Guaranty; nor will any single or partial exercise of any right under this Guaranty preclude any other or further exercise of the right under this Guaranty or the exercise of any other right. The remedies provided in this Guaranty are cumulative and not exclusive of any remedies provided by law.</w:t>
      </w:r>
    </w:p>
    <w:p w:rsidRPr="00E14CB1" w:rsidR="004611CF" w:rsidP="004611CF" w:rsidRDefault="004611CF" w14:paraId="04F42F76" w14:textId="77777777">
      <w:pPr>
        <w:tabs>
          <w:tab w:val="left" w:pos="540"/>
        </w:tabs>
        <w:autoSpaceDE w:val="0"/>
        <w:autoSpaceDN w:val="0"/>
        <w:adjustRightInd w:val="0"/>
        <w:outlineLvl w:val="1"/>
        <w:rPr>
          <w:rFonts w:eastAsia="Times New Roman"/>
        </w:rPr>
      </w:pPr>
      <w:bookmarkStart w:name="_DV_M877" w:id="536"/>
      <w:bookmarkEnd w:id="536"/>
      <w:r>
        <w:rPr>
          <w:rFonts w:eastAsia="Times New Roman"/>
          <w:b/>
        </w:rPr>
        <w:t>4.4</w:t>
      </w:r>
      <w:r>
        <w:rPr>
          <w:rFonts w:eastAsia="Times New Roman"/>
          <w:i/>
        </w:rPr>
        <w:tab/>
      </w:r>
      <w:r>
        <w:rPr>
          <w:rFonts w:eastAsia="Times New Roman"/>
          <w:b/>
        </w:rPr>
        <w:t>Expenses.</w:t>
      </w:r>
      <w:r>
        <w:rPr>
          <w:rFonts w:eastAsia="Times New Roman"/>
        </w:rPr>
        <w:t xml:space="preserve"> Guarantor agrees to pay or reimburse Beneficiary and any permitted assignees of Beneficiary on demand for its reasonable costs, charges, and expenses (including reasonable fees and expenses of counsel) incurred in connection with the enforcement of this Guaranty or caused by any breach by Guarantor of any of its obligations under this Guaranty, including any actions taken in any bankruptcy or insolvency proceedings, if Guarantor is required to pay under this Guaranty.</w:t>
      </w:r>
    </w:p>
    <w:p w:rsidRPr="00E14CB1" w:rsidR="004611CF" w:rsidP="004611CF" w:rsidRDefault="004611CF" w14:paraId="26CD7BCA" w14:textId="34967C91">
      <w:pPr>
        <w:tabs>
          <w:tab w:val="left" w:pos="540"/>
        </w:tabs>
        <w:autoSpaceDE w:val="0"/>
        <w:autoSpaceDN w:val="0"/>
        <w:adjustRightInd w:val="0"/>
        <w:outlineLvl w:val="1"/>
        <w:rPr>
          <w:rFonts w:eastAsia="Times New Roman"/>
        </w:rPr>
      </w:pPr>
      <w:bookmarkStart w:name="_DV_M878" w:id="537"/>
      <w:bookmarkEnd w:id="537"/>
      <w:r>
        <w:rPr>
          <w:rFonts w:eastAsia="Times New Roman"/>
          <w:b/>
        </w:rPr>
        <w:t>4.5</w:t>
      </w:r>
      <w:r>
        <w:rPr>
          <w:rFonts w:eastAsia="Times New Roman"/>
          <w:i/>
        </w:rPr>
        <w:tab/>
      </w:r>
      <w:r>
        <w:rPr>
          <w:rFonts w:eastAsia="Times New Roman"/>
          <w:b/>
        </w:rPr>
        <w:t>Entire Agreement; Amendments; Other Guarantees.</w:t>
      </w:r>
      <w:r>
        <w:rPr>
          <w:rFonts w:eastAsia="Times New Roman"/>
        </w:rPr>
        <w:t xml:space="preserve"> This Guaranty and any agreement, document, or instrument attached to this Guaranty or referred to in this Guaranty integrate all the terms and conditions mentioned in or incidental to this Guaranty and supersede all oral negotiations and prior writings in respect to the subject matter of this Guaranty. In the event of any conflict between the terms and conditions of this Guaranty and any related agreement, document, or instrument, the terms and conditions of this Guaranty will prevail. This Guaranty may only be amended or modified by an instrument in writing signed by each of Guarantor and Beneficiary and any permitted assignees of Beneficiary. Without limiting the preceding in this Section 4.5 (</w:t>
      </w:r>
      <w:r>
        <w:rPr>
          <w:rFonts w:eastAsia="Times New Roman"/>
          <w:i/>
          <w:iCs/>
        </w:rPr>
        <w:t>Entire Agreement; Amendments; Other Guarantees</w:t>
      </w:r>
      <w:r>
        <w:rPr>
          <w:rFonts w:eastAsia="Times New Roman"/>
        </w:rPr>
        <w:t>): (</w:t>
      </w:r>
      <w:proofErr w:type="spellStart"/>
      <w:r>
        <w:rPr>
          <w:rFonts w:eastAsia="Times New Roman"/>
        </w:rPr>
        <w:t>i</w:t>
      </w:r>
      <w:proofErr w:type="spellEnd"/>
      <w:r>
        <w:rPr>
          <w:rFonts w:eastAsia="Times New Roman"/>
        </w:rPr>
        <w:t xml:space="preserve">) this Guaranty will not release, modify, revoke, or terminate any other guaranty existing previously, now, or in the future executed by Guarantor; nor will any other guaranty previously, now, or in the future executed by Guarantor release, modify, revoke, or terminate this Guaranty; and (ii) all of Guarantor’s liabilities and obligations and </w:t>
      </w:r>
      <w:r>
        <w:rPr>
          <w:rFonts w:eastAsia="Times New Roman"/>
        </w:rPr>
        <w:lastRenderedPageBreak/>
        <w:t>Beneficiary’s rights and remedies under this Guaranty are in addition to and cumulative with those under any other guaranty executed by Guarantor in favor of Beneficiary or any affiliate of Beneficiary on or about the Effective Date or at any other time.</w:t>
      </w:r>
    </w:p>
    <w:p w:rsidRPr="00E14CB1" w:rsidR="004611CF" w:rsidP="004611CF" w:rsidRDefault="004611CF" w14:paraId="3412B785" w14:textId="77777777">
      <w:pPr>
        <w:tabs>
          <w:tab w:val="left" w:pos="540"/>
        </w:tabs>
        <w:autoSpaceDE w:val="0"/>
        <w:autoSpaceDN w:val="0"/>
        <w:adjustRightInd w:val="0"/>
        <w:outlineLvl w:val="1"/>
        <w:rPr>
          <w:rFonts w:eastAsia="Times New Roman"/>
        </w:rPr>
      </w:pPr>
      <w:bookmarkStart w:name="_DV_M879" w:id="538"/>
      <w:bookmarkEnd w:id="538"/>
      <w:r>
        <w:rPr>
          <w:rFonts w:eastAsia="Times New Roman"/>
          <w:b/>
        </w:rPr>
        <w:t>4.6</w:t>
      </w:r>
      <w:r>
        <w:rPr>
          <w:rFonts w:eastAsia="Times New Roman"/>
          <w:i/>
        </w:rPr>
        <w:tab/>
      </w:r>
      <w:r>
        <w:rPr>
          <w:rFonts w:eastAsia="Times New Roman"/>
          <w:b/>
        </w:rPr>
        <w:t>Headings.</w:t>
      </w:r>
      <w:r>
        <w:rPr>
          <w:rFonts w:eastAsia="Times New Roman"/>
        </w:rPr>
        <w:t xml:space="preserve"> The headings of the various Sections of this Guaranty are for convenience of reference only and will not modify, define, or limit any of the terms or provisions in this Guaranty.</w:t>
      </w:r>
    </w:p>
    <w:p w:rsidRPr="00E14CB1" w:rsidR="004611CF" w:rsidP="004611CF" w:rsidRDefault="004611CF" w14:paraId="4D173990" w14:textId="77777777">
      <w:pPr>
        <w:tabs>
          <w:tab w:val="left" w:pos="540"/>
        </w:tabs>
        <w:autoSpaceDE w:val="0"/>
        <w:autoSpaceDN w:val="0"/>
        <w:adjustRightInd w:val="0"/>
        <w:outlineLvl w:val="1"/>
        <w:rPr>
          <w:rFonts w:eastAsia="Times New Roman"/>
        </w:rPr>
      </w:pPr>
      <w:bookmarkStart w:name="_DV_M880" w:id="539"/>
      <w:bookmarkEnd w:id="539"/>
      <w:r>
        <w:rPr>
          <w:rFonts w:eastAsia="Times New Roman"/>
          <w:b/>
        </w:rPr>
        <w:t>4.7</w:t>
      </w:r>
      <w:r>
        <w:rPr>
          <w:rFonts w:eastAsia="Times New Roman"/>
          <w:i/>
        </w:rPr>
        <w:tab/>
      </w:r>
      <w:r>
        <w:rPr>
          <w:rFonts w:eastAsia="Times New Roman"/>
          <w:b/>
        </w:rPr>
        <w:t>Governing Law; Consent to Jurisdiction.</w:t>
      </w:r>
      <w:r>
        <w:rPr>
          <w:rFonts w:eastAsia="Times New Roman"/>
        </w:rPr>
        <w:t xml:space="preserve"> </w:t>
      </w:r>
    </w:p>
    <w:p w:rsidRPr="00E14CB1" w:rsidR="004611CF" w:rsidP="004611CF" w:rsidRDefault="004611CF" w14:paraId="0F0837C3" w14:textId="77777777">
      <w:pPr>
        <w:tabs>
          <w:tab w:val="left" w:pos="2250"/>
        </w:tabs>
        <w:autoSpaceDE w:val="0"/>
        <w:autoSpaceDN w:val="0"/>
        <w:adjustRightInd w:val="0"/>
        <w:ind w:left="270"/>
        <w:outlineLvl w:val="1"/>
        <w:rPr>
          <w:rFonts w:eastAsia="Times New Roman"/>
        </w:rPr>
      </w:pPr>
      <w:bookmarkStart w:name="_DV_M881" w:id="540"/>
      <w:bookmarkEnd w:id="540"/>
      <w:r>
        <w:rPr>
          <w:rFonts w:eastAsia="Times New Roman"/>
          <w:b/>
        </w:rPr>
        <w:t xml:space="preserve">4.7.1. Governing Law. </w:t>
      </w:r>
      <w:r>
        <w:rPr>
          <w:rFonts w:eastAsia="Times New Roman"/>
        </w:rPr>
        <w:t>This Guaranty will be construed and interpreted, and the rights of the parties determined, in accordance with the laws of the state of Georgia, without giving effect to principles of conflicts of law that would require the application of the laws of another jurisdiction.</w:t>
      </w:r>
    </w:p>
    <w:p w:rsidR="004611CF" w:rsidP="004611CF" w:rsidRDefault="004611CF" w14:paraId="494FDD46" w14:textId="4C40D457">
      <w:pPr>
        <w:tabs>
          <w:tab w:val="left" w:pos="2160"/>
        </w:tabs>
        <w:autoSpaceDE w:val="0"/>
        <w:autoSpaceDN w:val="0"/>
        <w:adjustRightInd w:val="0"/>
        <w:ind w:left="270"/>
        <w:outlineLvl w:val="5"/>
        <w:rPr>
          <w:rFonts w:eastAsia="Times New Roman"/>
        </w:rPr>
      </w:pPr>
      <w:bookmarkStart w:name="_DV_M882" w:id="541"/>
      <w:bookmarkEnd w:id="541"/>
      <w:r>
        <w:rPr>
          <w:rFonts w:eastAsia="Times New Roman"/>
          <w:b/>
        </w:rPr>
        <w:t>4.7.2.</w:t>
      </w:r>
      <w:r>
        <w:rPr>
          <w:rFonts w:eastAsia="Times New Roman"/>
        </w:rPr>
        <w:t xml:space="preserve"> </w:t>
      </w:r>
      <w:r>
        <w:rPr>
          <w:rFonts w:eastAsia="Times New Roman"/>
          <w:b/>
        </w:rPr>
        <w:t xml:space="preserve">Consent to Jurisdiction. </w:t>
      </w:r>
      <w:r w:rsidRPr="006135A8" w:rsidR="006111DB">
        <w:rPr>
          <w:rFonts w:eastAsia="Times New Roman"/>
          <w:b/>
          <w:bCs/>
          <w:u w:val="single"/>
        </w:rPr>
        <w:t>Guarantor irrevocably and unconditionally: (</w:t>
      </w:r>
      <w:proofErr w:type="spellStart"/>
      <w:r w:rsidRPr="006135A8" w:rsidR="006111DB">
        <w:rPr>
          <w:rFonts w:eastAsia="Times New Roman"/>
          <w:b/>
          <w:bCs/>
          <w:u w:val="single"/>
        </w:rPr>
        <w:t>i</w:t>
      </w:r>
      <w:proofErr w:type="spellEnd"/>
      <w:r w:rsidRPr="006135A8" w:rsidR="006111DB">
        <w:rPr>
          <w:rFonts w:eastAsia="Times New Roman"/>
          <w:b/>
          <w:bCs/>
          <w:u w:val="single"/>
        </w:rPr>
        <w:t xml:space="preserve">) agrees that any suit, action, or other legal proceeding arising out of this Guaranty </w:t>
      </w:r>
      <w:r w:rsidR="006111DB">
        <w:rPr>
          <w:rFonts w:eastAsia="Times New Roman"/>
          <w:b/>
          <w:bCs/>
          <w:u w:val="single"/>
        </w:rPr>
        <w:t>must</w:t>
      </w:r>
      <w:r w:rsidRPr="006135A8" w:rsidR="006111DB">
        <w:rPr>
          <w:rFonts w:eastAsia="Times New Roman"/>
          <w:b/>
          <w:bCs/>
          <w:u w:val="single"/>
        </w:rPr>
        <w:t xml:space="preserve"> be brought in federal or state court located in the state of Georgia; (ii) submits to the exclusive jurisdiction of those courts for any such suit, action, or proceeding; and (iii) waives any objection to venue in those courts and any claim that the suit, action, or proceeding has been brought in an inconvenient forum</w:t>
      </w:r>
      <w:r w:rsidRPr="006111DB">
        <w:rPr>
          <w:rFonts w:eastAsia="Times New Roman"/>
          <w:b/>
          <w:bCs/>
        </w:rPr>
        <w:t>.</w:t>
      </w:r>
      <w:r>
        <w:rPr>
          <w:rFonts w:eastAsia="Times New Roman"/>
          <w:highlight w:val="yellow"/>
        </w:rPr>
        <w:t xml:space="preserve">[ </w:t>
      </w:r>
      <w:r>
        <w:rPr>
          <w:rFonts w:eastAsia="Times New Roman"/>
          <w:b/>
          <w:bCs/>
          <w:highlight w:val="yellow"/>
        </w:rPr>
        <w:t>Applicable Only to Foreign Guarantor:</w:t>
      </w:r>
      <w:r>
        <w:rPr>
          <w:rFonts w:eastAsia="Times New Roman"/>
          <w:highlight w:val="yellow"/>
        </w:rPr>
        <w:t xml:space="preserve"> Guarantor and Beneficiary further agree that a final judgment in any action or proceeding arising out of or relating to this Guaranty will be conclusive and may be enforced in any other jurisdiction within or outside the </w:t>
      </w:r>
      <w:proofErr w:type="spellStart"/>
      <w:r>
        <w:rPr>
          <w:rFonts w:eastAsia="Times New Roman"/>
          <w:highlight w:val="yellow"/>
        </w:rPr>
        <w:t>Untied</w:t>
      </w:r>
      <w:proofErr w:type="spellEnd"/>
      <w:r>
        <w:rPr>
          <w:rFonts w:eastAsia="Times New Roman"/>
          <w:highlight w:val="yellow"/>
        </w:rPr>
        <w:t xml:space="preserve"> States by suit on the judgment, a certified or exemplified copy of which will be conclusive evidence of the fact and the amount of indebtedness or liability therein described, or in any other manner provided by applicable law.]</w:t>
      </w:r>
    </w:p>
    <w:p w:rsidRPr="00841832" w:rsidR="004611CF" w:rsidP="004611CF" w:rsidRDefault="004611CF" w14:paraId="6A49A85B" w14:textId="74DC3104">
      <w:pPr>
        <w:tabs>
          <w:tab w:val="left" w:pos="2160"/>
        </w:tabs>
        <w:autoSpaceDE w:val="0"/>
        <w:autoSpaceDN w:val="0"/>
        <w:adjustRightInd w:val="0"/>
        <w:ind w:left="270"/>
        <w:outlineLvl w:val="5"/>
        <w:rPr>
          <w:rFonts w:eastAsia="Times New Roman"/>
        </w:rPr>
      </w:pPr>
      <w:r>
        <w:rPr>
          <w:rFonts w:eastAsia="Times New Roman"/>
          <w:b/>
        </w:rPr>
        <w:t xml:space="preserve">4.7.3. </w:t>
      </w:r>
      <w:r>
        <w:rPr>
          <w:rFonts w:eastAsia="Times New Roman"/>
          <w:b/>
          <w:bCs/>
          <w:highlight w:val="yellow"/>
        </w:rPr>
        <w:t>[Applicable Only to Foreign Guarantor: Guarantor’s Process Agent.</w:t>
      </w:r>
      <w:r>
        <w:rPr>
          <w:rFonts w:eastAsia="Times New Roman"/>
          <w:highlight w:val="yellow"/>
        </w:rPr>
        <w:t xml:space="preserve"> Guarantor irrevocably designates, appoints and empowers [_________________________________________ Georgia, ____ United States of America] as its authorized agent to receive on its behalf and on behalf of its property service of copies of the summons and complaint and any other process which may be served in any action or proceeding between Beneficiary and Guarantor arising out of or relating to this Guaranty. The service may be made by mailing or delivering a copy of the process in care of the process agent, and Guarantor irrevocably authorizes and directs its designated process agent to accept the service on its behalf. Guarantor further agrees that failure by a process agent appointed in accordance with this section to notify Guarantor of the process will not invalidate the process or service or the proceeding concerned. Despite the preceding sentences, nothing in this Guaranty will affect the rights of either party to serve process in any other manner permitted by applicable law. Guarantor will maintain the process agent, or any other Person located within the State of Georgia as may be acceptable to Beneficiary, as its agent for service of process in the State of Georgia during the duration of this Guaranty and twelve months after, at Guarantor’s sole cost and expense. If for any reason, the appointed process agent is no longer acting as process agent, Guarantor must promptly (and in any event within seven Days) appoint a replacement agent in the State of Georgia as its authorized agent to receive on its behalf and on behalf of its property, service of copies of the summons and complaint and any other process which may be served in any action or proceeding between Beneficiary and Guarantor arising out of or relating to this Guaranty. If Guarantor fails to appoint a replacement process agent as provided in this Section 4.7.3, Beneficiary may appoint the replacement process agent on behalf of Guarantor, at Guarantor’s sole cost and expense.]</w:t>
      </w:r>
    </w:p>
    <w:p w:rsidR="004611CF" w:rsidP="004611CF" w:rsidRDefault="004611CF" w14:paraId="26CCA2A5" w14:textId="5B4FAC5A">
      <w:pPr>
        <w:tabs>
          <w:tab w:val="left" w:pos="2160"/>
        </w:tabs>
        <w:autoSpaceDE w:val="0"/>
        <w:autoSpaceDN w:val="0"/>
        <w:adjustRightInd w:val="0"/>
        <w:spacing w:before="0" w:after="0"/>
        <w:ind w:left="274"/>
        <w:outlineLvl w:val="5"/>
        <w:rPr>
          <w:rFonts w:eastAsia="Times New Roman"/>
        </w:rPr>
      </w:pPr>
      <w:r>
        <w:rPr>
          <w:rFonts w:eastAsia="Times New Roman"/>
          <w:b/>
          <w:bCs/>
        </w:rPr>
        <w:t xml:space="preserve">4.7.4 </w:t>
      </w:r>
      <w:r>
        <w:rPr>
          <w:rFonts w:eastAsia="Times New Roman"/>
          <w:b/>
          <w:bCs/>
          <w:highlight w:val="yellow"/>
        </w:rPr>
        <w:t>[Applicable Only to Foreign Guarantor: Payment in U.S. Dollars; Judgement Currency.</w:t>
      </w:r>
      <w:r>
        <w:rPr>
          <w:rFonts w:eastAsia="Times New Roman"/>
          <w:highlight w:val="yellow"/>
        </w:rPr>
        <w:t xml:space="preserve"> This Guaranty is made by the Guarantor regarding a transaction in which the specification of payment in United States Dollars (“</w:t>
      </w:r>
      <w:r>
        <w:rPr>
          <w:rFonts w:eastAsia="Times New Roman"/>
          <w:b/>
          <w:bCs/>
          <w:highlight w:val="yellow"/>
        </w:rPr>
        <w:t>Dollars</w:t>
      </w:r>
      <w:r>
        <w:rPr>
          <w:rFonts w:eastAsia="Times New Roman"/>
          <w:highlight w:val="yellow"/>
        </w:rPr>
        <w:t>”) and payment at the designated place of payment is of the essence, and Dollars will be the currency of accounting in all events. The payment obligations of the Guarantor under this Guaranty will not be discharged by any amount paid in another currency or in another place, whether in accordance with a judgment or otherwise, to the extent that any amount paid on conversion to Dollars and transferred to the designated place of payment under normal banking procedures does not yield the amount of Dollars due under this Guaranty.]</w:t>
      </w:r>
    </w:p>
    <w:p w:rsidRPr="003411C0" w:rsidR="004611CF" w:rsidP="004611CF" w:rsidRDefault="004611CF" w14:paraId="138869E3" w14:textId="77777777">
      <w:pPr>
        <w:tabs>
          <w:tab w:val="left" w:pos="2160"/>
        </w:tabs>
        <w:autoSpaceDE w:val="0"/>
        <w:autoSpaceDN w:val="0"/>
        <w:adjustRightInd w:val="0"/>
        <w:spacing w:after="0"/>
        <w:ind w:left="274"/>
        <w:outlineLvl w:val="5"/>
        <w:rPr>
          <w:rFonts w:eastAsia="Times New Roman"/>
          <w:highlight w:val="yellow"/>
        </w:rPr>
      </w:pPr>
      <w:r>
        <w:rPr>
          <w:rFonts w:eastAsia="Times New Roman"/>
          <w:b/>
          <w:bCs/>
        </w:rPr>
        <w:t xml:space="preserve">4.7.5 </w:t>
      </w:r>
      <w:r>
        <w:rPr>
          <w:rFonts w:eastAsia="Times New Roman"/>
          <w:b/>
          <w:bCs/>
          <w:highlight w:val="yellow"/>
        </w:rPr>
        <w:t>[Applicable Only to Foreign Guarantor:</w:t>
      </w:r>
      <w:r>
        <w:rPr>
          <w:rFonts w:eastAsia="Times New Roman"/>
          <w:highlight w:val="yellow"/>
        </w:rPr>
        <w:t xml:space="preserve"> </w:t>
      </w:r>
      <w:r>
        <w:rPr>
          <w:rFonts w:eastAsia="Times New Roman"/>
          <w:b/>
          <w:bCs/>
          <w:highlight w:val="yellow"/>
        </w:rPr>
        <w:t>Withholding Taxes.</w:t>
      </w:r>
      <w:r>
        <w:rPr>
          <w:rFonts w:eastAsia="Times New Roman"/>
          <w:highlight w:val="yellow"/>
        </w:rPr>
        <w:t xml:space="preserve"> </w:t>
      </w:r>
    </w:p>
    <w:p w:rsidRPr="003411C0" w:rsidR="004611CF" w:rsidP="004611CF" w:rsidRDefault="004611CF" w14:paraId="7352EA0D" w14:textId="07E1F597">
      <w:pPr>
        <w:autoSpaceDE w:val="0"/>
        <w:autoSpaceDN w:val="0"/>
        <w:adjustRightInd w:val="0"/>
        <w:spacing w:after="0"/>
        <w:ind w:left="1170" w:hanging="364"/>
        <w:outlineLvl w:val="5"/>
        <w:rPr>
          <w:rFonts w:eastAsia="Times New Roman"/>
          <w:highlight w:val="yellow"/>
        </w:rPr>
      </w:pPr>
      <w:r>
        <w:rPr>
          <w:rFonts w:eastAsia="Times New Roman"/>
          <w:b/>
          <w:bCs/>
          <w:highlight w:val="yellow"/>
        </w:rPr>
        <w:t>a.</w:t>
      </w:r>
      <w:r>
        <w:rPr>
          <w:rFonts w:eastAsia="Times New Roman"/>
          <w:highlight w:val="yellow"/>
        </w:rPr>
        <w:t xml:space="preserve"> </w:t>
      </w:r>
      <w:r>
        <w:rPr>
          <w:rFonts w:eastAsia="Times New Roman"/>
          <w:highlight w:val="yellow"/>
        </w:rPr>
        <w:tab/>
        <w:t xml:space="preserve">Each payment by Guarantor to Beneficiary in accordance with this Guaranty must be made free and clear of, and without deduction or withholding for or on Beneficiary of, any present or </w:t>
      </w:r>
      <w:r>
        <w:rPr>
          <w:rFonts w:eastAsia="Times New Roman"/>
          <w:highlight w:val="yellow"/>
        </w:rPr>
        <w:lastRenderedPageBreak/>
        <w:t>future taxes, duties, assessments, fees, deductions, withholding, levies, imposts, or charges of whatsoever nature (other than taxes imposed on income or gross revenue), together with any liabilities (including penalties, interest and expenses) in regarding the preceding imposed or levied by or on behalf of the government of any jurisdiction(s) in which the Guarantor is organized, headquartered, or conducting business, or any political subdivision of the government or any authority or agency of the government having the power to tax (“</w:t>
      </w:r>
      <w:r>
        <w:rPr>
          <w:rFonts w:eastAsia="Times New Roman"/>
          <w:b/>
          <w:bCs/>
          <w:highlight w:val="yellow"/>
        </w:rPr>
        <w:t>Withholding Taxes</w:t>
      </w:r>
      <w:r>
        <w:rPr>
          <w:rFonts w:eastAsia="Times New Roman"/>
          <w:highlight w:val="yellow"/>
        </w:rPr>
        <w:t>”), unless the deduction or withholding is required by the laws of any jurisdiction(s) in which the Guarantor is organized, headquartered, or conducting business, or any province or political subdivision of the jurisdiction(s) or by the administrative practice of any taxing authority. If any such deduction or withholding is required, or if no such deduction or withholding is required but Withholding Taxes are otherwise payable concerning the payment, Guarantor must:</w:t>
      </w:r>
    </w:p>
    <w:p w:rsidRPr="003411C0" w:rsidR="004611CF" w:rsidP="004611CF" w:rsidRDefault="004611CF" w14:paraId="4EE9E497" w14:textId="5581E202">
      <w:pPr>
        <w:autoSpaceDE w:val="0"/>
        <w:autoSpaceDN w:val="0"/>
        <w:adjustRightInd w:val="0"/>
        <w:spacing w:after="0"/>
        <w:ind w:left="1440" w:hanging="274"/>
        <w:outlineLvl w:val="5"/>
        <w:rPr>
          <w:rFonts w:eastAsia="Times New Roman"/>
          <w:highlight w:val="yellow"/>
        </w:rPr>
      </w:pPr>
      <w:proofErr w:type="spellStart"/>
      <w:r>
        <w:rPr>
          <w:rFonts w:eastAsia="Times New Roman"/>
          <w:highlight w:val="yellow"/>
        </w:rPr>
        <w:t>i</w:t>
      </w:r>
      <w:proofErr w:type="spellEnd"/>
      <w:r>
        <w:rPr>
          <w:rFonts w:eastAsia="Times New Roman"/>
          <w:highlight w:val="yellow"/>
        </w:rPr>
        <w:t xml:space="preserve">.  Pay any additional amount to Beneficiary as may be necessary to ensure that Beneficiary receives and retains a net sum after such deduction, withholding, or payment of Withholding Taxes (including any deduction, withholding, or payment of Withholding Taxes regarding the additional amount), free from any liability </w:t>
      </w:r>
      <w:proofErr w:type="spellStart"/>
      <w:r>
        <w:rPr>
          <w:rFonts w:eastAsia="Times New Roman"/>
          <w:highlight w:val="yellow"/>
        </w:rPr>
        <w:t>regrading</w:t>
      </w:r>
      <w:proofErr w:type="spellEnd"/>
      <w:r>
        <w:rPr>
          <w:rFonts w:eastAsia="Times New Roman"/>
          <w:highlight w:val="yellow"/>
        </w:rPr>
        <w:t xml:space="preserve"> the Withholding Taxes, equal to the sum that Beneficiary would have received and retained had no such deduction or withholding of Withholding Taxes been made or required to be made and had no such Withholding Taxes been payable;</w:t>
      </w:r>
    </w:p>
    <w:p w:rsidRPr="003411C0" w:rsidR="004611CF" w:rsidP="004611CF" w:rsidRDefault="004611CF" w14:paraId="7DF35609" w14:textId="499F0F51">
      <w:pPr>
        <w:autoSpaceDE w:val="0"/>
        <w:autoSpaceDN w:val="0"/>
        <w:adjustRightInd w:val="0"/>
        <w:spacing w:after="0"/>
        <w:ind w:left="1440" w:hanging="274"/>
        <w:outlineLvl w:val="5"/>
        <w:rPr>
          <w:rFonts w:eastAsia="Times New Roman"/>
          <w:highlight w:val="yellow"/>
        </w:rPr>
      </w:pPr>
      <w:r>
        <w:rPr>
          <w:rFonts w:eastAsia="Times New Roman"/>
          <w:highlight w:val="yellow"/>
        </w:rPr>
        <w:t>ii.</w:t>
      </w:r>
      <w:r>
        <w:rPr>
          <w:rFonts w:eastAsia="Times New Roman"/>
          <w:highlight w:val="yellow"/>
        </w:rPr>
        <w:tab/>
        <w:t>Deduct the Withholding Taxes from the payment:</w:t>
      </w:r>
    </w:p>
    <w:p w:rsidRPr="003411C0" w:rsidR="004611CF" w:rsidP="004611CF" w:rsidRDefault="004611CF" w14:paraId="7B3887A9" w14:textId="1569FA23">
      <w:pPr>
        <w:autoSpaceDE w:val="0"/>
        <w:autoSpaceDN w:val="0"/>
        <w:adjustRightInd w:val="0"/>
        <w:spacing w:after="0"/>
        <w:ind w:left="1440" w:hanging="274"/>
        <w:outlineLvl w:val="5"/>
        <w:rPr>
          <w:rFonts w:eastAsia="Times New Roman"/>
          <w:highlight w:val="yellow"/>
        </w:rPr>
      </w:pPr>
      <w:r>
        <w:rPr>
          <w:rFonts w:eastAsia="Times New Roman"/>
          <w:highlight w:val="yellow"/>
        </w:rPr>
        <w:t>iii.</w:t>
      </w:r>
      <w:r>
        <w:rPr>
          <w:rFonts w:eastAsia="Times New Roman"/>
          <w:highlight w:val="yellow"/>
        </w:rPr>
        <w:tab/>
        <w:t xml:space="preserve">Pay the full amount deducted </w:t>
      </w:r>
      <w:proofErr w:type="gramStart"/>
      <w:r>
        <w:rPr>
          <w:rFonts w:eastAsia="Times New Roman"/>
          <w:highlight w:val="yellow"/>
        </w:rPr>
        <w:t>to</w:t>
      </w:r>
      <w:proofErr w:type="gramEnd"/>
      <w:r>
        <w:rPr>
          <w:rFonts w:eastAsia="Times New Roman"/>
          <w:highlight w:val="yellow"/>
        </w:rPr>
        <w:t xml:space="preserve"> the relevant authority on account of the Withholding Taxes within the time provided under, and otherwise in accordance with applicable law or any jurisdiction; and</w:t>
      </w:r>
    </w:p>
    <w:p w:rsidRPr="003411C0" w:rsidR="004611CF" w:rsidP="004611CF" w:rsidRDefault="004611CF" w14:paraId="42B949EB" w14:textId="738D4A1E">
      <w:pPr>
        <w:autoSpaceDE w:val="0"/>
        <w:autoSpaceDN w:val="0"/>
        <w:adjustRightInd w:val="0"/>
        <w:spacing w:after="0"/>
        <w:ind w:left="1440" w:hanging="274"/>
        <w:outlineLvl w:val="5"/>
        <w:rPr>
          <w:rFonts w:eastAsia="Times New Roman"/>
          <w:highlight w:val="yellow"/>
        </w:rPr>
      </w:pPr>
      <w:r>
        <w:rPr>
          <w:rFonts w:eastAsia="Times New Roman"/>
          <w:highlight w:val="yellow"/>
        </w:rPr>
        <w:t>iv.</w:t>
      </w:r>
      <w:r>
        <w:rPr>
          <w:rFonts w:eastAsia="Times New Roman"/>
          <w:highlight w:val="yellow"/>
        </w:rPr>
        <w:tab/>
        <w:t>Promptly after the date the Withholding Taxes are due under the applicable law of any jurisdiction, deliver to Beneficiary the forms prescribed by the relevant authority of the Withholding Taxes.</w:t>
      </w:r>
    </w:p>
    <w:p w:rsidRPr="003411C0" w:rsidR="004611CF" w:rsidP="004611CF" w:rsidRDefault="004611CF" w14:paraId="59558906" w14:textId="0F85CBEF">
      <w:pPr>
        <w:autoSpaceDE w:val="0"/>
        <w:autoSpaceDN w:val="0"/>
        <w:adjustRightInd w:val="0"/>
        <w:spacing w:after="0"/>
        <w:ind w:left="1170" w:hanging="274"/>
        <w:outlineLvl w:val="5"/>
        <w:rPr>
          <w:rFonts w:eastAsia="Times New Roman"/>
          <w:highlight w:val="yellow"/>
        </w:rPr>
      </w:pPr>
      <w:r>
        <w:rPr>
          <w:rFonts w:eastAsia="Times New Roman"/>
          <w:highlight w:val="yellow"/>
        </w:rPr>
        <w:t>b.</w:t>
      </w:r>
      <w:r>
        <w:rPr>
          <w:rFonts w:eastAsia="Times New Roman"/>
          <w:highlight w:val="yellow"/>
        </w:rPr>
        <w:tab/>
        <w:t>Without duplication of Section 4.7.5.a above, Guarantor agrees to indemnify and hold harmless Beneficiary for any Withholding Taxes that may become payable by Beneficiary concerning any payment made by Guarantor under this Guaranty. Without limiting the generality of the preceding sentence, if:</w:t>
      </w:r>
    </w:p>
    <w:p w:rsidRPr="003411C0" w:rsidR="004611CF" w:rsidP="004611CF" w:rsidRDefault="004611CF" w14:paraId="41767E0D" w14:textId="5338336A">
      <w:pPr>
        <w:autoSpaceDE w:val="0"/>
        <w:autoSpaceDN w:val="0"/>
        <w:adjustRightInd w:val="0"/>
        <w:spacing w:after="0"/>
        <w:ind w:left="1440" w:hanging="274"/>
        <w:outlineLvl w:val="5"/>
        <w:rPr>
          <w:rFonts w:eastAsia="Times New Roman"/>
          <w:highlight w:val="yellow"/>
        </w:rPr>
      </w:pPr>
      <w:proofErr w:type="spellStart"/>
      <w:r>
        <w:rPr>
          <w:rFonts w:eastAsia="Times New Roman"/>
          <w:highlight w:val="yellow"/>
        </w:rPr>
        <w:t>i</w:t>
      </w:r>
      <w:proofErr w:type="spellEnd"/>
      <w:r>
        <w:rPr>
          <w:rFonts w:eastAsia="Times New Roman"/>
          <w:highlight w:val="yellow"/>
        </w:rPr>
        <w:t>.</w:t>
      </w:r>
      <w:r>
        <w:rPr>
          <w:rFonts w:eastAsia="Times New Roman"/>
          <w:highlight w:val="yellow"/>
        </w:rPr>
        <w:tab/>
        <w:t>Guarantor or Beneficiary is assessed or reassessed by any applicable taxing authority for any Withholding Taxes regarding any payment made by the Guarantor under this Guaranty, Guarantor must pay the Withholding Taxes together with interest or penalties on the Withholding Taxes to the taxing authority on behalf of Beneficiary and without recourse against Beneficiary within 30 Days of demand by Beneficiary; or</w:t>
      </w:r>
    </w:p>
    <w:p w:rsidRPr="003411C0" w:rsidR="004611CF" w:rsidP="004611CF" w:rsidRDefault="004611CF" w14:paraId="79CE8E83" w14:textId="32C974C3">
      <w:pPr>
        <w:autoSpaceDE w:val="0"/>
        <w:autoSpaceDN w:val="0"/>
        <w:adjustRightInd w:val="0"/>
        <w:spacing w:after="0"/>
        <w:ind w:left="1440" w:hanging="274"/>
        <w:outlineLvl w:val="5"/>
        <w:rPr>
          <w:rFonts w:eastAsia="Times New Roman"/>
          <w:highlight w:val="yellow"/>
        </w:rPr>
      </w:pPr>
      <w:r>
        <w:rPr>
          <w:rFonts w:eastAsia="Times New Roman"/>
          <w:highlight w:val="yellow"/>
        </w:rPr>
        <w:t>ii.</w:t>
      </w:r>
      <w:r>
        <w:rPr>
          <w:rFonts w:eastAsia="Times New Roman"/>
          <w:highlight w:val="yellow"/>
        </w:rPr>
        <w:tab/>
        <w:t xml:space="preserve">Beneficiary pays any Withholding Taxes regarding any payment made by Guarantor under this </w:t>
      </w:r>
      <w:proofErr w:type="gramStart"/>
      <w:r>
        <w:rPr>
          <w:rFonts w:eastAsia="Times New Roman"/>
          <w:highlight w:val="yellow"/>
        </w:rPr>
        <w:t>Guaranty,</w:t>
      </w:r>
      <w:proofErr w:type="gramEnd"/>
      <w:r>
        <w:rPr>
          <w:rFonts w:eastAsia="Times New Roman"/>
          <w:highlight w:val="yellow"/>
        </w:rPr>
        <w:t xml:space="preserve"> Guarantor agrees to indemnify Beneficiary upon receipt of the notice called or in Section 4.7.5.d. below.</w:t>
      </w:r>
    </w:p>
    <w:p w:rsidRPr="003411C0" w:rsidR="004611CF" w:rsidP="004611CF" w:rsidRDefault="004611CF" w14:paraId="043E36F9" w14:textId="75913E3E">
      <w:pPr>
        <w:autoSpaceDE w:val="0"/>
        <w:autoSpaceDN w:val="0"/>
        <w:adjustRightInd w:val="0"/>
        <w:spacing w:after="0"/>
        <w:ind w:left="1170" w:hanging="274"/>
        <w:outlineLvl w:val="5"/>
        <w:rPr>
          <w:rFonts w:eastAsia="Times New Roman"/>
          <w:highlight w:val="yellow"/>
        </w:rPr>
      </w:pPr>
      <w:r>
        <w:rPr>
          <w:rFonts w:eastAsia="Times New Roman"/>
          <w:highlight w:val="yellow"/>
        </w:rPr>
        <w:t>c.</w:t>
      </w:r>
      <w:r>
        <w:rPr>
          <w:rFonts w:eastAsia="Times New Roman"/>
          <w:highlight w:val="yellow"/>
        </w:rPr>
        <w:tab/>
        <w:t>Without duplication of Section 4.7.5.a. or b. above, Guarantor agrees to indemnify and hold harmless Beneficiary for any additional taxes on net income that Beneficiary may be obligated to pay because of the receipt by it or payment by Guarantor of any amount under this Section 4.7.5.</w:t>
      </w:r>
    </w:p>
    <w:p w:rsidRPr="003411C0" w:rsidR="004611CF" w:rsidP="004611CF" w:rsidRDefault="004611CF" w14:paraId="61CF99D7" w14:textId="1B43C15A">
      <w:pPr>
        <w:autoSpaceDE w:val="0"/>
        <w:autoSpaceDN w:val="0"/>
        <w:adjustRightInd w:val="0"/>
        <w:spacing w:after="0"/>
        <w:ind w:left="1170" w:hanging="274"/>
        <w:outlineLvl w:val="5"/>
        <w:rPr>
          <w:rFonts w:eastAsia="Times New Roman"/>
          <w:highlight w:val="yellow"/>
        </w:rPr>
      </w:pPr>
      <w:r>
        <w:rPr>
          <w:rFonts w:eastAsia="Times New Roman"/>
          <w:highlight w:val="yellow"/>
        </w:rPr>
        <w:t>d.</w:t>
      </w:r>
      <w:r>
        <w:rPr>
          <w:rFonts w:eastAsia="Times New Roman"/>
          <w:highlight w:val="yellow"/>
        </w:rPr>
        <w:tab/>
        <w:t>Beneficiary will promptly notify Guarantor of any Withholding Taxes that Beneficiary has paid or received an assessment or reassessment from any applicable taxing authority and for which the Guarantor is required to indemnify it in accordance with this Section 4.7.5 and of the amount payable to it by Guarantor this Section 4.7.5, and Guarantor will indemnify Beneficiary within 60 Days of receipt of such notice. Beneficiary will reasonably determine the amount payable to it, will contest in good faith any taxes that Beneficiary believes in good faith are not assessable, and the determination will, absent manifest error, be final and binding on Guarantor.</w:t>
      </w:r>
    </w:p>
    <w:p w:rsidRPr="008805F7" w:rsidR="004611CF" w:rsidP="004611CF" w:rsidRDefault="004611CF" w14:paraId="744DAD76" w14:textId="77777777">
      <w:pPr>
        <w:autoSpaceDE w:val="0"/>
        <w:autoSpaceDN w:val="0"/>
        <w:adjustRightInd w:val="0"/>
        <w:spacing w:after="0"/>
        <w:ind w:left="1170" w:hanging="274"/>
        <w:outlineLvl w:val="5"/>
        <w:rPr>
          <w:rFonts w:eastAsia="Times New Roman"/>
        </w:rPr>
      </w:pPr>
      <w:r>
        <w:rPr>
          <w:rFonts w:eastAsia="Times New Roman"/>
          <w:highlight w:val="yellow"/>
        </w:rPr>
        <w:lastRenderedPageBreak/>
        <w:t>e.</w:t>
      </w:r>
      <w:r>
        <w:rPr>
          <w:rFonts w:eastAsia="Times New Roman"/>
          <w:highlight w:val="yellow"/>
        </w:rPr>
        <w:tab/>
        <w:t>Guarantor’s obligations under this Section 4.7.5 will survive for one year following termination of this Guaranty and the payment of all amounts payable under other provisions of this Guaranty.</w:t>
      </w:r>
    </w:p>
    <w:p w:rsidR="004611CF" w:rsidP="004611CF" w:rsidRDefault="004611CF" w14:paraId="63047855" w14:textId="77777777">
      <w:pPr>
        <w:tabs>
          <w:tab w:val="left" w:pos="2160"/>
        </w:tabs>
        <w:autoSpaceDE w:val="0"/>
        <w:autoSpaceDN w:val="0"/>
        <w:adjustRightInd w:val="0"/>
        <w:spacing w:after="0"/>
        <w:ind w:left="274"/>
        <w:outlineLvl w:val="5"/>
        <w:rPr>
          <w:rFonts w:eastAsia="Times New Roman"/>
        </w:rPr>
      </w:pPr>
      <w:r>
        <w:rPr>
          <w:rFonts w:eastAsia="Times New Roman"/>
          <w:b/>
          <w:bCs/>
        </w:rPr>
        <w:t xml:space="preserve">4.7.6. </w:t>
      </w:r>
      <w:r>
        <w:rPr>
          <w:rFonts w:eastAsia="Times New Roman"/>
          <w:b/>
          <w:bCs/>
          <w:highlight w:val="yellow"/>
        </w:rPr>
        <w:t>[Applicable Only to Foreign Guarantor: Waiver of Objection to Venue.</w:t>
      </w:r>
      <w:r>
        <w:rPr>
          <w:rFonts w:eastAsia="Times New Roman"/>
          <w:highlight w:val="yellow"/>
        </w:rPr>
        <w:t xml:space="preserve"> </w:t>
      </w:r>
      <w:r>
        <w:rPr>
          <w:rFonts w:eastAsia="Times New Roman"/>
          <w:b/>
          <w:bCs/>
          <w:highlight w:val="yellow"/>
        </w:rPr>
        <w:t>GUARANTOR HEREBY IRREVOCABLY WAIVES, TO THE FULLEST EXTENT PERMITTED BY APPLICABLE LAW, ANY OBJECTION WHICH IT MAY NOW OR HEREAFTER HAVE TO THE LAYING OF VENUE OF ANY SUIT, ACTION OR PROCEEDING BETWEEN THEM ARISING OUT OF OR RELATING TO THIS GUARANTY BROUGHT IN ANY COURT IN OR OF THE STATE OF GEORGIA, AND HEREBY FURTHER IRREVOCABLY WAIVES ANY CLAIM THAT ANY SUCH SUIT, ACTION OR PROCEEDING BROUGHT IN ANY COURT IN OR OF THE STATE OF GEORGIA HAS BEEN BROUGHT IN AN INCONVENIENT FORUM.</w:t>
      </w:r>
      <w:r>
        <w:rPr>
          <w:rFonts w:eastAsia="Times New Roman"/>
          <w:highlight w:val="yellow"/>
        </w:rPr>
        <w:t>]</w:t>
      </w:r>
      <w:r>
        <w:rPr>
          <w:rFonts w:eastAsia="Times New Roman"/>
        </w:rPr>
        <w:t xml:space="preserve"> </w:t>
      </w:r>
    </w:p>
    <w:p w:rsidR="004611CF" w:rsidP="004611CF" w:rsidRDefault="004611CF" w14:paraId="3D894772" w14:textId="77777777">
      <w:pPr>
        <w:tabs>
          <w:tab w:val="left" w:pos="2160"/>
        </w:tabs>
        <w:autoSpaceDE w:val="0"/>
        <w:autoSpaceDN w:val="0"/>
        <w:adjustRightInd w:val="0"/>
        <w:spacing w:before="0" w:after="0"/>
        <w:ind w:left="274"/>
        <w:outlineLvl w:val="5"/>
        <w:rPr>
          <w:rFonts w:eastAsia="Times New Roman"/>
        </w:rPr>
      </w:pPr>
    </w:p>
    <w:p w:rsidRPr="00E14CB1" w:rsidR="004611CF" w:rsidP="004611CF" w:rsidRDefault="004611CF" w14:paraId="5686AFD6" w14:textId="10BA6198">
      <w:pPr>
        <w:tabs>
          <w:tab w:val="left" w:pos="2160"/>
        </w:tabs>
        <w:autoSpaceDE w:val="0"/>
        <w:autoSpaceDN w:val="0"/>
        <w:adjustRightInd w:val="0"/>
        <w:spacing w:before="0" w:after="0"/>
        <w:ind w:left="274"/>
        <w:outlineLvl w:val="5"/>
        <w:rPr>
          <w:rFonts w:eastAsia="Times New Roman"/>
        </w:rPr>
      </w:pPr>
      <w:r>
        <w:rPr>
          <w:rFonts w:eastAsia="Times New Roman"/>
          <w:b/>
          <w:bCs/>
        </w:rPr>
        <w:t xml:space="preserve">4.7.7. </w:t>
      </w:r>
      <w:r>
        <w:rPr>
          <w:rFonts w:eastAsia="Times New Roman"/>
          <w:b/>
          <w:bCs/>
          <w:highlight w:val="yellow"/>
        </w:rPr>
        <w:t>[Applicable Only to Foreign Guarantor: Waiver of Immunity.</w:t>
      </w:r>
      <w:r>
        <w:rPr>
          <w:rFonts w:eastAsia="Times New Roman"/>
          <w:highlight w:val="yellow"/>
        </w:rPr>
        <w:t xml:space="preserve"> </w:t>
      </w:r>
      <w:r>
        <w:rPr>
          <w:rFonts w:eastAsia="Times New Roman"/>
          <w:b/>
          <w:bCs/>
          <w:highlight w:val="yellow"/>
        </w:rPr>
        <w:t>TO THE EXTENT THAT THE GUARANTOR HAS OR HEREAFTER MAY ACQUIRE ANY IMMUNITY FROM JURISDICTION OF ANY COURT IN THE STATE OF GEORGIA OR FROM ANY LEGAL PROCESS THEREIN, GUARANTOR HEREBY WAIVES, TO THE FULLEST EXTENT PERMITTED BY LAW, SUCH IMMUNITY, AND AGREES NOT TO ASSERT, BY WAY OF MOTION, AS A DEFENSE, OR OTHERWISE, IN ANY SUCH SUIT, ACTION OR PROCEEDING, THE DEFENSE OF SOVEREIGN IMMUNITY, OR ANY CLAIM: (1) THAT IS NOT PERSONALLY SUBJECT TO THE JURISDICTION OF THE COURTS IN THE STATE OF GEORGIA BY REASON OF SOVEREIGN IMMUNITY OR OTHERWISE; (2) THAT IT IS IMMUNE FROM ANY LEGAL PROCESS (WHETHER THROUGH SERVICE OR NOTICE, ATTACHMENT PRIOR TO THE JUDGMENT, ATTACHMENTS IN AID OF EXECUTION, EXECUTION OR OTHERWISE) REGARDING ITSELF OR ITS PROPERTY, BY REASON OF SOVEREIGN IMMUNITY; (3) THAT ANY ACTION IS BROUGHT IN AN INCONVENIENT FORUM; (4) THAT THE VENUE OF ANY ACTION IS IMPROPER; OR (5) THAT THIS GUARANTY MAY NOT BE ENFORCED IN OR BY A FEDERAL COURT IN THE STATE OF GEORGIA. THE GUARANTOR EXPRESSLY ACKNOWLEDGES THAT THE FOREGOING WAIVERS AND SUBMISSIONS TO JURISDICTION ARE INTENDED TO BE IRREVOCABLE UNDER THE LAWS OF THE STATE OF GEORGIA AND OF THE UNITED STATES OF AMERICA AND OF THE LAWS APPLICABLE TO THE GUARANTOR, INCLUDING THE LAWS OF THE JURISDICTION IN WHICH THE GUARANTOR IS ORGANIZED.]</w:t>
      </w:r>
    </w:p>
    <w:p w:rsidRPr="00E14CB1" w:rsidR="004611CF" w:rsidP="004611CF" w:rsidRDefault="004611CF" w14:paraId="17E8B16E" w14:textId="686EF3DB">
      <w:pPr>
        <w:tabs>
          <w:tab w:val="left" w:pos="2160"/>
        </w:tabs>
        <w:autoSpaceDE w:val="0"/>
        <w:autoSpaceDN w:val="0"/>
        <w:adjustRightInd w:val="0"/>
        <w:ind w:left="270"/>
        <w:outlineLvl w:val="5"/>
        <w:rPr>
          <w:rFonts w:eastAsia="Times New Roman"/>
        </w:rPr>
      </w:pPr>
      <w:r>
        <w:rPr>
          <w:rFonts w:eastAsia="Times New Roman"/>
          <w:b/>
        </w:rPr>
        <w:t xml:space="preserve">4.7.8. Waiver of Right to Jury Trial. </w:t>
      </w:r>
      <w:r>
        <w:rPr>
          <w:b/>
          <w:bCs/>
        </w:rPr>
        <w:t>GUARANTOR UNCONDITIONALLY AND IRREVOCABLY WAIVES ALL RIGHT TO TRIAL BY JURY IN ANY ACTION, PROCEEDING, OR COUNTERCLAIM (WHETHER BASED ON CONTRACT, TORT, OR OTHERWISE) ARISING OUT OF OR RELATING TO, THIS GUARANTY, OR THE ACTIONS OF BENEFICIARY IN THE NEGOTIATION, ADMINISTRATION, PERFORMANCE OR ENFORCEMENT OF THIS GUARANTY.</w:t>
      </w:r>
    </w:p>
    <w:p w:rsidRPr="00E14CB1" w:rsidR="004611CF" w:rsidP="004611CF" w:rsidRDefault="004611CF" w14:paraId="54EB8B1F" w14:textId="77777777">
      <w:pPr>
        <w:tabs>
          <w:tab w:val="left" w:pos="540"/>
        </w:tabs>
        <w:autoSpaceDE w:val="0"/>
        <w:autoSpaceDN w:val="0"/>
        <w:adjustRightInd w:val="0"/>
        <w:outlineLvl w:val="1"/>
        <w:rPr>
          <w:rFonts w:eastAsia="Times New Roman"/>
        </w:rPr>
      </w:pPr>
      <w:bookmarkStart w:name="_DV_M883" w:id="542"/>
      <w:bookmarkEnd w:id="542"/>
      <w:r>
        <w:rPr>
          <w:rFonts w:eastAsia="Times New Roman"/>
          <w:b/>
        </w:rPr>
        <w:t>4.8</w:t>
      </w:r>
      <w:r>
        <w:rPr>
          <w:rFonts w:eastAsia="Times New Roman"/>
          <w:i/>
        </w:rPr>
        <w:tab/>
      </w:r>
      <w:r>
        <w:rPr>
          <w:rFonts w:eastAsia="Times New Roman"/>
          <w:b/>
        </w:rPr>
        <w:t>Severability.</w:t>
      </w:r>
      <w:r>
        <w:rPr>
          <w:rFonts w:eastAsia="Times New Roman"/>
        </w:rPr>
        <w:t xml:space="preserve"> Any provision of this Guaranty that is prohibited or unenforceable will be ineffective to the extent of the prohibition or unenforceability without invalidating the remaining provisions of this Guaranty.</w:t>
      </w:r>
    </w:p>
    <w:p w:rsidRPr="00E14CB1" w:rsidR="004611CF" w:rsidP="004611CF" w:rsidRDefault="004611CF" w14:paraId="6B450D02" w14:textId="77777777">
      <w:pPr>
        <w:widowControl w:val="0"/>
        <w:tabs>
          <w:tab w:val="left" w:pos="540"/>
          <w:tab w:val="left" w:pos="2188"/>
        </w:tabs>
        <w:autoSpaceDE w:val="0"/>
        <w:autoSpaceDN w:val="0"/>
        <w:adjustRightInd w:val="0"/>
        <w:outlineLvl w:val="1"/>
        <w:rPr>
          <w:rFonts w:eastAsia="Calibri"/>
        </w:rPr>
      </w:pPr>
      <w:bookmarkStart w:name="_DV_M885" w:id="543"/>
      <w:bookmarkEnd w:id="543"/>
      <w:r>
        <w:rPr>
          <w:rFonts w:eastAsia="Calibri"/>
          <w:b/>
        </w:rPr>
        <w:t>4.9</w:t>
      </w:r>
      <w:r>
        <w:rPr>
          <w:rFonts w:eastAsia="Calibri"/>
        </w:rPr>
        <w:tab/>
      </w:r>
      <w:r>
        <w:rPr>
          <w:rFonts w:eastAsia="Calibri"/>
          <w:b/>
        </w:rPr>
        <w:t>Execution and Attestation.</w:t>
      </w:r>
      <w:r>
        <w:rPr>
          <w:rFonts w:eastAsia="Calibri"/>
        </w:rPr>
        <w:t xml:space="preserve"> </w:t>
      </w:r>
    </w:p>
    <w:p w:rsidRPr="00E14CB1" w:rsidR="004611CF" w:rsidP="004611CF" w:rsidRDefault="004611CF" w14:paraId="53110361" w14:textId="485313C0">
      <w:pPr>
        <w:widowControl w:val="0"/>
        <w:autoSpaceDE w:val="0"/>
        <w:autoSpaceDN w:val="0"/>
        <w:adjustRightInd w:val="0"/>
        <w:ind w:left="270"/>
        <w:outlineLvl w:val="1"/>
        <w:rPr>
          <w:rFonts w:eastAsia="Calibri"/>
        </w:rPr>
      </w:pPr>
      <w:r>
        <w:rPr>
          <w:rFonts w:eastAsia="Calibri"/>
          <w:b/>
        </w:rPr>
        <w:t xml:space="preserve">4.9.1. Electronic Signature. </w:t>
      </w:r>
      <w:r>
        <w:rPr>
          <w:rFonts w:eastAsia="Calibri"/>
        </w:rPr>
        <w:t>This Guaranty may be executed by handwritten signature or Electronic Signature. An “</w:t>
      </w:r>
      <w:r>
        <w:rPr>
          <w:rFonts w:eastAsia="Calibri"/>
          <w:b/>
        </w:rPr>
        <w:t>Electronic Signature</w:t>
      </w:r>
      <w:r>
        <w:rPr>
          <w:rFonts w:eastAsia="Calibri"/>
        </w:rPr>
        <w:t>” means any electronic sound, symbol, or process attached to or logically associated with a record and executed and adopted by a Person with the intent to sign the record, including facsimile or e-mail </w:t>
      </w:r>
      <w:r>
        <w:rPr>
          <w:rFonts w:eastAsia="Calibri"/>
          <w:bCs/>
        </w:rPr>
        <w:t>electronic signatures</w:t>
      </w:r>
      <w:r>
        <w:rPr>
          <w:rFonts w:eastAsia="Calibri"/>
        </w:rPr>
        <w:t>. Guarantor acknowledges that electronic records and</w:t>
      </w:r>
      <w:r>
        <w:rPr>
          <w:rFonts w:eastAsia="Calibri"/>
          <w:b/>
        </w:rPr>
        <w:t> </w:t>
      </w:r>
      <w:r>
        <w:rPr>
          <w:rFonts w:eastAsia="Calibri"/>
          <w:bCs/>
        </w:rPr>
        <w:t>Electronic Signatures</w:t>
      </w:r>
      <w:r>
        <w:rPr>
          <w:rFonts w:eastAsia="Calibri"/>
        </w:rPr>
        <w:t xml:space="preserve"> may be used in connection with the execution of this Guaranty and </w:t>
      </w:r>
      <w:r>
        <w:rPr>
          <w:rFonts w:eastAsia="Calibri"/>
          <w:bCs/>
        </w:rPr>
        <w:t>Electronic Signatures</w:t>
      </w:r>
      <w:r>
        <w:rPr>
          <w:rFonts w:eastAsia="Calibri"/>
        </w:rPr>
        <w:t xml:space="preserve"> transmitted by electronic mail in so-called “.pdf” format will be legal and binding and will have the same full force and effect as if a paper original of this Guaranty had been delivered and signed using a handwritten signature. Guarantor: (</w:t>
      </w:r>
      <w:proofErr w:type="spellStart"/>
      <w:r>
        <w:rPr>
          <w:rFonts w:eastAsia="Calibri"/>
        </w:rPr>
        <w:t>i</w:t>
      </w:r>
      <w:proofErr w:type="spellEnd"/>
      <w:r>
        <w:rPr>
          <w:rFonts w:eastAsia="Calibri"/>
        </w:rPr>
        <w:t xml:space="preserve">) agrees that an Electronic Signature, whether digital or encrypted, is intended to authenticate this Guaranty and to have the same effect as a handwritten signature; (ii) intends to be bound by the signature (whether original, faxed, or electronic) on any document sent or delivered by facsimile, electronic mail, or other electronic means; (iii) is aware that Beneficiary will rely on the signatures; and (iv) waives any defenses to the enforcement of the terms </w:t>
      </w:r>
      <w:r>
        <w:rPr>
          <w:rFonts w:eastAsia="Calibri"/>
        </w:rPr>
        <w:lastRenderedPageBreak/>
        <w:t>of this Guaranty based on the forms of signature described in this Section 4.9 (</w:t>
      </w:r>
      <w:r>
        <w:rPr>
          <w:rFonts w:eastAsia="Calibri"/>
          <w:i/>
          <w:iCs/>
        </w:rPr>
        <w:t>Execution and Attestation</w:t>
      </w:r>
      <w:r>
        <w:rPr>
          <w:rFonts w:eastAsia="Calibri"/>
        </w:rPr>
        <w:t>). If Guarantor executes this Guaranty by Electronic Signature, Guarantor expressly consents under the </w:t>
      </w:r>
      <w:r>
        <w:rPr>
          <w:rFonts w:eastAsia="Calibri"/>
          <w:bCs/>
        </w:rPr>
        <w:t>Electronic Signatures</w:t>
      </w:r>
      <w:r>
        <w:rPr>
          <w:rFonts w:eastAsia="Calibri"/>
        </w:rPr>
        <w:t> in Global and National Commerce Act (“</w:t>
      </w:r>
      <w:r>
        <w:rPr>
          <w:rFonts w:eastAsia="Calibri"/>
          <w:b/>
        </w:rPr>
        <w:t>E-SIGN</w:t>
      </w:r>
      <w:r>
        <w:rPr>
          <w:rFonts w:eastAsia="Calibri"/>
        </w:rPr>
        <w:t>”), and Uniform Electronic Transactions Act as enacted in the State of Georgia (“</w:t>
      </w:r>
      <w:r>
        <w:rPr>
          <w:rFonts w:eastAsia="Calibri"/>
          <w:b/>
        </w:rPr>
        <w:t>UETA</w:t>
      </w:r>
      <w:r>
        <w:rPr>
          <w:rFonts w:eastAsia="Calibri"/>
        </w:rPr>
        <w:t>”), that a signature by fax, email, or other electronic means will constitute an Electronic Signature to an Electronic Record under both E-SIGN and UETA regarding this transaction.</w:t>
      </w:r>
    </w:p>
    <w:p w:rsidRPr="00E14CB1" w:rsidR="004611CF" w:rsidP="004611CF" w:rsidRDefault="004611CF" w14:paraId="4EBB919B" w14:textId="77777777">
      <w:pPr>
        <w:widowControl w:val="0"/>
        <w:tabs>
          <w:tab w:val="left" w:pos="1440"/>
          <w:tab w:val="left" w:pos="2188"/>
        </w:tabs>
        <w:autoSpaceDE w:val="0"/>
        <w:autoSpaceDN w:val="0"/>
        <w:adjustRightInd w:val="0"/>
        <w:ind w:left="270"/>
        <w:outlineLvl w:val="1"/>
        <w:rPr>
          <w:rFonts w:eastAsia="Calibri"/>
        </w:rPr>
      </w:pPr>
      <w:r>
        <w:rPr>
          <w:rFonts w:eastAsia="Calibri"/>
          <w:b/>
        </w:rPr>
        <w:t xml:space="preserve">4.9.2. Digital or Electronic Signature. </w:t>
      </w:r>
      <w:r>
        <w:rPr>
          <w:rFonts w:eastAsia="Calibri"/>
        </w:rPr>
        <w:t>In addition to his Guaranty, any other documents to be delivered in connection with this Guaranty may be executed by handwritten signature or Electronic Signature. Guarantor acknowledges that any digital or </w:t>
      </w:r>
      <w:r>
        <w:rPr>
          <w:rFonts w:eastAsia="Calibri"/>
          <w:bCs/>
        </w:rPr>
        <w:t>Electronic Signature</w:t>
      </w:r>
      <w:r>
        <w:rPr>
          <w:rFonts w:eastAsia="Calibri"/>
        </w:rPr>
        <w:t xml:space="preserve"> (including pdf, facsimile, or electronically imaged signatures provided by </w:t>
      </w:r>
      <w:proofErr w:type="spellStart"/>
      <w:r>
        <w:rPr>
          <w:rFonts w:eastAsia="Calibri"/>
        </w:rPr>
        <w:t>DocuSign</w:t>
      </w:r>
      <w:proofErr w:type="spellEnd"/>
      <w:r>
        <w:rPr>
          <w:rFonts w:eastAsia="Calibri"/>
        </w:rPr>
        <w:t xml:space="preserve"> or any other digital signature provider) appearing on this Guaranty or other documents to be delivered in connection with this Guaranty are the same as handwritten signatures for the purposes of validity, enforceability, or admissibility, and that delivery to Beneficiary of an Electronic Signature, or a signed copy of, this Guaranty and related documents may be made by facsimile, email, or other electronic transmission.</w:t>
      </w:r>
    </w:p>
    <w:p w:rsidRPr="00E14CB1" w:rsidR="004611CF" w:rsidP="004611CF" w:rsidRDefault="004611CF" w14:paraId="0CCDBA55" w14:textId="77777777">
      <w:pPr>
        <w:keepNext/>
        <w:keepLines/>
        <w:rPr>
          <w:rFonts w:eastAsia="Calibri"/>
        </w:rPr>
      </w:pPr>
      <w:r>
        <w:rPr>
          <w:rFonts w:eastAsia="Times New Roman"/>
        </w:rPr>
        <w:t xml:space="preserve">Guarantor has caused this Guaranty to be executed and delivered under seal by its authorized representative as of Effective Date. </w:t>
      </w:r>
    </w:p>
    <w:p w:rsidR="004611CF" w:rsidP="004611CF" w:rsidRDefault="004611CF" w14:paraId="4B720C3F" w14:textId="77777777">
      <w:pPr>
        <w:keepNext/>
        <w:keepLines/>
        <w:tabs>
          <w:tab w:val="left" w:pos="720"/>
        </w:tabs>
        <w:jc w:val="left"/>
        <w:rPr>
          <w:rFonts w:eastAsia="Calibri"/>
        </w:rPr>
      </w:pPr>
    </w:p>
    <w:tbl>
      <w:tblPr>
        <w:tblW w:w="5130" w:type="dxa"/>
        <w:tblLayout w:type="fixed"/>
        <w:tblCellMar>
          <w:left w:w="29" w:type="dxa"/>
          <w:right w:w="29" w:type="dxa"/>
        </w:tblCellMar>
        <w:tblLook w:val="01E0" w:firstRow="1" w:lastRow="1" w:firstColumn="1" w:lastColumn="1" w:noHBand="0" w:noVBand="0"/>
      </w:tblPr>
      <w:tblGrid>
        <w:gridCol w:w="1008"/>
        <w:gridCol w:w="4122"/>
      </w:tblGrid>
      <w:tr w:rsidRPr="00A61905" w:rsidR="004611CF" w14:paraId="23492EE5" w14:textId="77777777">
        <w:trPr>
          <w:cantSplit/>
          <w:trHeight w:val="432"/>
        </w:trPr>
        <w:tc>
          <w:tcPr>
            <w:tcW w:w="5130" w:type="dxa"/>
            <w:gridSpan w:val="2"/>
          </w:tcPr>
          <w:p w:rsidRPr="00A61905" w:rsidR="004611CF" w:rsidRDefault="004611CF" w14:paraId="714C9DA8" w14:textId="77777777">
            <w:pPr>
              <w:keepNext/>
              <w:keepLines/>
              <w:widowControl w:val="0"/>
              <w:autoSpaceDE w:val="0"/>
              <w:autoSpaceDN w:val="0"/>
              <w:adjustRightInd w:val="0"/>
              <w:rPr>
                <w:rFonts w:eastAsia="Yu Mincho"/>
                <w:b/>
                <w:spacing w:val="-6"/>
              </w:rPr>
            </w:pPr>
            <w:r>
              <w:rPr>
                <w:rFonts w:eastAsia="Yu Mincho"/>
                <w:b/>
                <w:spacing w:val="-6"/>
                <w:highlight w:val="yellow"/>
              </w:rPr>
              <w:t>#GuarantorLegalName#</w:t>
            </w:r>
          </w:p>
        </w:tc>
      </w:tr>
      <w:tr w:rsidRPr="00A61905" w:rsidR="004611CF" w14:paraId="677DE0CA" w14:textId="77777777">
        <w:trPr>
          <w:cantSplit/>
          <w:trHeight w:val="504"/>
        </w:trPr>
        <w:tc>
          <w:tcPr>
            <w:tcW w:w="1008" w:type="dxa"/>
            <w:vAlign w:val="bottom"/>
          </w:tcPr>
          <w:p w:rsidRPr="00635990" w:rsidR="004611CF" w:rsidRDefault="004611CF" w14:paraId="4998BA38" w14:textId="77777777">
            <w:pPr>
              <w:autoSpaceDE w:val="0"/>
              <w:autoSpaceDN w:val="0"/>
              <w:adjustRightInd w:val="0"/>
              <w:rPr>
                <w:rFonts w:eastAsia="Yu Mincho"/>
                <w:sz w:val="18"/>
                <w:szCs w:val="18"/>
              </w:rPr>
            </w:pPr>
            <w:r>
              <w:rPr>
                <w:rFonts w:eastAsia="Yu Mincho"/>
                <w:sz w:val="18"/>
                <w:szCs w:val="18"/>
              </w:rPr>
              <w:t>By:</w:t>
            </w:r>
          </w:p>
        </w:tc>
        <w:tc>
          <w:tcPr>
            <w:tcW w:w="4093" w:type="dxa"/>
            <w:tcBorders>
              <w:bottom w:val="single" w:color="auto" w:sz="4" w:space="0"/>
            </w:tcBorders>
            <w:vAlign w:val="bottom"/>
          </w:tcPr>
          <w:p w:rsidRPr="00A61905" w:rsidR="004611CF" w:rsidRDefault="004611CF" w14:paraId="032CC493" w14:textId="77777777">
            <w:pPr>
              <w:keepLines/>
              <w:jc w:val="left"/>
              <w:rPr>
                <w:rFonts w:eastAsia="Calibri"/>
              </w:rPr>
            </w:pPr>
          </w:p>
        </w:tc>
      </w:tr>
      <w:tr w:rsidRPr="00A61905" w:rsidR="004611CF" w14:paraId="0E33AE74" w14:textId="77777777">
        <w:trPr>
          <w:cantSplit/>
          <w:trHeight w:val="504"/>
        </w:trPr>
        <w:tc>
          <w:tcPr>
            <w:tcW w:w="1008" w:type="dxa"/>
            <w:vAlign w:val="bottom"/>
          </w:tcPr>
          <w:p w:rsidRPr="00635990" w:rsidR="004611CF" w:rsidRDefault="004611CF" w14:paraId="632597B9" w14:textId="77777777">
            <w:pPr>
              <w:autoSpaceDE w:val="0"/>
              <w:autoSpaceDN w:val="0"/>
              <w:adjustRightInd w:val="0"/>
              <w:rPr>
                <w:rFonts w:eastAsia="Yu Mincho"/>
                <w:sz w:val="18"/>
                <w:szCs w:val="18"/>
              </w:rPr>
            </w:pPr>
            <w:r>
              <w:rPr>
                <w:rFonts w:eastAsia="Yu Mincho"/>
                <w:sz w:val="18"/>
                <w:szCs w:val="18"/>
              </w:rPr>
              <w:t>Name</w:t>
            </w:r>
          </w:p>
          <w:p w:rsidRPr="00635990" w:rsidR="004611CF" w:rsidRDefault="004611CF" w14:paraId="343A8C18" w14:textId="77777777">
            <w:pPr>
              <w:autoSpaceDE w:val="0"/>
              <w:autoSpaceDN w:val="0"/>
              <w:adjustRightInd w:val="0"/>
              <w:rPr>
                <w:rFonts w:eastAsia="Yu Mincho"/>
                <w:sz w:val="18"/>
                <w:szCs w:val="18"/>
              </w:rPr>
            </w:pPr>
            <w:r>
              <w:rPr>
                <w:rFonts w:eastAsia="Yu Mincho"/>
                <w:sz w:val="18"/>
                <w:szCs w:val="18"/>
              </w:rPr>
              <w:t>Printed:</w:t>
            </w:r>
          </w:p>
        </w:tc>
        <w:tc>
          <w:tcPr>
            <w:tcW w:w="4093" w:type="dxa"/>
            <w:tcBorders>
              <w:top w:val="single" w:color="auto" w:sz="4" w:space="0"/>
              <w:bottom w:val="single" w:color="auto" w:sz="4" w:space="0"/>
            </w:tcBorders>
            <w:vAlign w:val="bottom"/>
          </w:tcPr>
          <w:p w:rsidRPr="00A61905" w:rsidR="004611CF" w:rsidRDefault="004611CF" w14:paraId="451D402C" w14:textId="77777777">
            <w:pPr>
              <w:keepLines/>
              <w:jc w:val="left"/>
              <w:rPr>
                <w:rFonts w:eastAsia="Calibri"/>
              </w:rPr>
            </w:pPr>
          </w:p>
        </w:tc>
      </w:tr>
      <w:tr w:rsidRPr="00A61905" w:rsidR="004611CF" w14:paraId="609B7398" w14:textId="77777777">
        <w:trPr>
          <w:cantSplit/>
          <w:trHeight w:val="504"/>
        </w:trPr>
        <w:tc>
          <w:tcPr>
            <w:tcW w:w="1008" w:type="dxa"/>
            <w:vAlign w:val="bottom"/>
          </w:tcPr>
          <w:p w:rsidRPr="00635990" w:rsidR="004611CF" w:rsidRDefault="004611CF" w14:paraId="6FB86324" w14:textId="77777777">
            <w:pPr>
              <w:autoSpaceDE w:val="0"/>
              <w:autoSpaceDN w:val="0"/>
              <w:adjustRightInd w:val="0"/>
              <w:rPr>
                <w:rFonts w:eastAsia="Yu Mincho"/>
                <w:sz w:val="18"/>
                <w:szCs w:val="18"/>
              </w:rPr>
            </w:pPr>
            <w:r>
              <w:rPr>
                <w:rFonts w:eastAsia="Yu Mincho"/>
                <w:sz w:val="18"/>
                <w:szCs w:val="18"/>
              </w:rPr>
              <w:t>Title:</w:t>
            </w:r>
          </w:p>
        </w:tc>
        <w:tc>
          <w:tcPr>
            <w:tcW w:w="4093" w:type="dxa"/>
            <w:tcBorders>
              <w:top w:val="single" w:color="auto" w:sz="4" w:space="0"/>
              <w:bottom w:val="single" w:color="auto" w:sz="4" w:space="0"/>
            </w:tcBorders>
            <w:vAlign w:val="bottom"/>
          </w:tcPr>
          <w:p w:rsidRPr="00A61905" w:rsidR="004611CF" w:rsidRDefault="004611CF" w14:paraId="0FC05577" w14:textId="77777777">
            <w:pPr>
              <w:keepLines/>
              <w:jc w:val="left"/>
              <w:rPr>
                <w:rFonts w:eastAsia="Calibri"/>
              </w:rPr>
            </w:pPr>
          </w:p>
        </w:tc>
      </w:tr>
      <w:tr w:rsidRPr="00A61905" w:rsidR="004611CF" w14:paraId="73540EE6" w14:textId="77777777">
        <w:trPr>
          <w:cantSplit/>
          <w:trHeight w:val="504"/>
        </w:trPr>
        <w:tc>
          <w:tcPr>
            <w:tcW w:w="1008" w:type="dxa"/>
            <w:vAlign w:val="bottom"/>
          </w:tcPr>
          <w:p w:rsidRPr="00635990" w:rsidR="004611CF" w:rsidRDefault="004611CF" w14:paraId="46AE855B" w14:textId="77777777">
            <w:pPr>
              <w:autoSpaceDE w:val="0"/>
              <w:autoSpaceDN w:val="0"/>
              <w:adjustRightInd w:val="0"/>
              <w:rPr>
                <w:rFonts w:eastAsia="Yu Mincho"/>
                <w:sz w:val="18"/>
                <w:szCs w:val="18"/>
              </w:rPr>
            </w:pPr>
            <w:r>
              <w:rPr>
                <w:rFonts w:eastAsia="Yu Mincho"/>
                <w:sz w:val="18"/>
                <w:szCs w:val="18"/>
              </w:rPr>
              <w:t>Date:</w:t>
            </w:r>
          </w:p>
        </w:tc>
        <w:tc>
          <w:tcPr>
            <w:tcW w:w="4093" w:type="dxa"/>
            <w:tcBorders>
              <w:top w:val="single" w:color="auto" w:sz="4" w:space="0"/>
              <w:bottom w:val="single" w:color="auto" w:sz="4" w:space="0"/>
            </w:tcBorders>
            <w:vAlign w:val="bottom"/>
          </w:tcPr>
          <w:p w:rsidRPr="00A61905" w:rsidR="004611CF" w:rsidRDefault="004611CF" w14:paraId="303EC68E" w14:textId="77777777">
            <w:pPr>
              <w:keepLines/>
              <w:jc w:val="left"/>
              <w:rPr>
                <w:rFonts w:eastAsia="Calibri"/>
              </w:rPr>
            </w:pPr>
          </w:p>
        </w:tc>
      </w:tr>
    </w:tbl>
    <w:p w:rsidR="00CC1967" w:rsidP="00CC1967" w:rsidRDefault="00CC1967" w14:paraId="7ACC7B2C" w14:textId="77777777">
      <w:pPr>
        <w:keepNext/>
        <w:keepLines/>
        <w:tabs>
          <w:tab w:val="left" w:pos="720"/>
        </w:tabs>
        <w:jc w:val="left"/>
        <w:rPr>
          <w:rFonts w:eastAsia="Calibri"/>
        </w:rPr>
      </w:pPr>
    </w:p>
    <w:p w:rsidRPr="000C60E1" w:rsidR="00CC1967" w:rsidP="00CC1967" w:rsidRDefault="00CC1967" w14:paraId="119E3D4D" w14:textId="77777777">
      <w:pPr>
        <w:pStyle w:val="zGNormal"/>
        <w:sectPr w:rsidRPr="000C60E1" w:rsidR="00CC1967" w:rsidSect="006B1C54">
          <w:headerReference w:type="default" r:id="rId45"/>
          <w:footerReference w:type="default" r:id="rId46"/>
          <w:pgSz w:w="12240" w:h="15840" w:code="1"/>
          <w:pgMar w:top="1440" w:right="1440" w:bottom="1440" w:left="1440" w:header="720" w:footer="720" w:gutter="0"/>
          <w:paperSrc w:first="15" w:other="15"/>
          <w:cols w:space="1440"/>
        </w:sectPr>
      </w:pPr>
    </w:p>
    <w:p w:rsidRPr="00F10071" w:rsidR="00CC1967" w:rsidP="00CC1967" w:rsidRDefault="00CC1967" w14:paraId="7EA25F40" w14:textId="4200F8F7">
      <w:pPr>
        <w:pStyle w:val="zGTitleExhibit"/>
        <w:rPr>
          <w:rFonts w:cs="Arial"/>
        </w:rPr>
      </w:pPr>
      <w:bookmarkStart w:name="_Toc159988041" w:id="544"/>
      <w:bookmarkStart w:name="_Toc212475781" w:id="545"/>
      <w:bookmarkStart w:name="_Toc227838478" w:id="546"/>
      <w:r>
        <w:rPr>
          <w:rFonts w:cs="Arial"/>
        </w:rPr>
        <w:lastRenderedPageBreak/>
        <w:t xml:space="preserve">Exhibit </w:t>
      </w:r>
      <w:bookmarkStart w:name="_Hlk39149545" w:id="547"/>
      <w:r>
        <w:rPr>
          <w:rFonts w:cs="Arial"/>
        </w:rPr>
        <w:t>H – Form of StandBy Letter of Credit</w:t>
      </w:r>
      <w:bookmarkEnd w:id="544"/>
      <w:bookmarkEnd w:id="545"/>
      <w:bookmarkEnd w:id="546"/>
    </w:p>
    <w:bookmarkEnd w:id="547"/>
    <w:p w:rsidRPr="006C43AC" w:rsidR="00CC1967" w:rsidP="00CC1967" w:rsidRDefault="00CC1967" w14:paraId="362D27DE" w14:textId="77777777">
      <w:pPr>
        <w:jc w:val="center"/>
        <w:rPr>
          <w:rFonts w:eastAsia="Times New Roman"/>
        </w:rPr>
      </w:pPr>
      <w:r>
        <w:rPr>
          <w:rFonts w:eastAsia="Times New Roman"/>
        </w:rPr>
        <w:t>[</w:t>
      </w:r>
      <w:r>
        <w:rPr>
          <w:rFonts w:eastAsia="Times New Roman"/>
          <w:highlight w:val="yellow"/>
        </w:rPr>
        <w:t>Bank Letterhead</w:t>
      </w:r>
      <w:r>
        <w:rPr>
          <w:rFonts w:eastAsia="Times New Roman"/>
        </w:rPr>
        <w:t>]</w:t>
      </w:r>
    </w:p>
    <w:p w:rsidRPr="006C43AC" w:rsidR="00CC1967" w:rsidP="00CC1967" w:rsidRDefault="00CC1967" w14:paraId="7D5F2ECF" w14:textId="77777777">
      <w:pPr>
        <w:rPr>
          <w:rFonts w:eastAsia="Times New Roman"/>
        </w:rPr>
      </w:pPr>
    </w:p>
    <w:p w:rsidRPr="006C43AC" w:rsidR="00CC1967" w:rsidP="00CC1967" w:rsidRDefault="00CC1967" w14:paraId="4793C01F" w14:textId="77777777">
      <w:pPr>
        <w:spacing w:before="0" w:after="0"/>
        <w:rPr>
          <w:rFonts w:eastAsia="Times New Roman"/>
        </w:rPr>
      </w:pPr>
      <w:bookmarkStart w:name="_DV_M750" w:id="548"/>
      <w:bookmarkEnd w:id="548"/>
      <w:r>
        <w:rPr>
          <w:rFonts w:eastAsia="Times New Roman"/>
        </w:rPr>
        <w:t>Date of issuance:</w:t>
      </w:r>
      <w:r>
        <w:rPr>
          <w:rFonts w:eastAsia="Times New Roman"/>
        </w:rPr>
        <w:tab/>
        <w:t>________, 20__</w:t>
      </w:r>
    </w:p>
    <w:p w:rsidRPr="006C43AC" w:rsidR="00CC1967" w:rsidP="00CC1967" w:rsidRDefault="00CC1967" w14:paraId="0A3E4819" w14:textId="77777777">
      <w:pPr>
        <w:spacing w:before="0" w:after="0"/>
        <w:jc w:val="left"/>
        <w:rPr>
          <w:rFonts w:eastAsia="Times New Roman"/>
        </w:rPr>
      </w:pPr>
    </w:p>
    <w:p w:rsidRPr="006C43AC" w:rsidR="00CC1967" w:rsidP="00CC1967" w:rsidRDefault="00CC1967" w14:paraId="12608A9A" w14:textId="77777777">
      <w:pPr>
        <w:spacing w:before="0" w:after="0"/>
        <w:jc w:val="left"/>
        <w:rPr>
          <w:rFonts w:eastAsia="Times New Roman"/>
        </w:rPr>
      </w:pPr>
    </w:p>
    <w:p w:rsidRPr="006C43AC" w:rsidR="00CC1967" w:rsidP="00CC1967" w:rsidRDefault="00CC1967" w14:paraId="1CB1ED2C" w14:textId="77777777">
      <w:pPr>
        <w:spacing w:before="0" w:after="0"/>
        <w:jc w:val="left"/>
        <w:rPr>
          <w:rFonts w:eastAsia="Times New Roman"/>
        </w:rPr>
      </w:pPr>
    </w:p>
    <w:p w:rsidRPr="006C43AC" w:rsidR="00CC1967" w:rsidP="00CC1967" w:rsidRDefault="00CC1967" w14:paraId="70E45F70" w14:textId="77777777">
      <w:pPr>
        <w:spacing w:before="0" w:after="0"/>
        <w:jc w:val="left"/>
        <w:rPr>
          <w:rFonts w:eastAsia="Times New Roman"/>
        </w:rPr>
      </w:pPr>
      <w:bookmarkStart w:name="_DV_M751" w:id="549"/>
      <w:bookmarkEnd w:id="549"/>
      <w:r>
        <w:rPr>
          <w:rFonts w:eastAsia="Times New Roman"/>
        </w:rPr>
        <w:t>Irrevocable Standby Letter of Credit No:_____________________</w:t>
      </w:r>
    </w:p>
    <w:p w:rsidRPr="006C43AC" w:rsidR="00CC1967" w:rsidP="00CC1967" w:rsidRDefault="00CC1967" w14:paraId="042E3D35" w14:textId="77777777">
      <w:pPr>
        <w:spacing w:before="0" w:after="0"/>
        <w:jc w:val="left"/>
        <w:rPr>
          <w:rFonts w:eastAsia="Times New Roman"/>
        </w:rPr>
      </w:pPr>
    </w:p>
    <w:p w:rsidRPr="006C43AC" w:rsidR="00CC1967" w:rsidP="00CC1967" w:rsidRDefault="00CC1967" w14:paraId="7CEED4EB" w14:textId="77777777">
      <w:pPr>
        <w:tabs>
          <w:tab w:val="left" w:pos="2160"/>
        </w:tabs>
        <w:spacing w:before="0" w:after="0"/>
        <w:jc w:val="left"/>
        <w:rPr>
          <w:rFonts w:eastAsia="Times New Roman"/>
          <w:u w:val="single"/>
        </w:rPr>
      </w:pPr>
      <w:bookmarkStart w:name="_DV_M752" w:id="550"/>
      <w:bookmarkEnd w:id="550"/>
      <w:r>
        <w:rPr>
          <w:rFonts w:eastAsia="Times New Roman"/>
        </w:rPr>
        <w:t>“Issuer”:</w:t>
      </w:r>
      <w:r>
        <w:rPr>
          <w:rFonts w:eastAsia="Times New Roman"/>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p>
    <w:p w:rsidRPr="006C43AC" w:rsidR="00CC1967" w:rsidP="00CC1967" w:rsidRDefault="00CC1967" w14:paraId="716B4430" w14:textId="77777777">
      <w:pPr>
        <w:tabs>
          <w:tab w:val="left" w:pos="2160"/>
        </w:tabs>
        <w:spacing w:before="0" w:after="0"/>
        <w:jc w:val="left"/>
        <w:rPr>
          <w:rFonts w:eastAsia="Times New Roman"/>
        </w:rPr>
      </w:pPr>
      <w:bookmarkStart w:name="_DV_M753" w:id="551"/>
      <w:bookmarkEnd w:id="551"/>
    </w:p>
    <w:p w:rsidRPr="006C43AC" w:rsidR="00CC1967" w:rsidP="00CC1967" w:rsidRDefault="00CC1967" w14:paraId="3B23D95A" w14:textId="77777777">
      <w:pPr>
        <w:tabs>
          <w:tab w:val="left" w:pos="2160"/>
        </w:tabs>
        <w:spacing w:before="0" w:after="0"/>
        <w:jc w:val="left"/>
        <w:rPr>
          <w:rFonts w:eastAsia="Times New Roman"/>
          <w:u w:val="single"/>
        </w:rPr>
      </w:pPr>
      <w:r>
        <w:rPr>
          <w:rFonts w:eastAsia="Times New Roman"/>
        </w:rPr>
        <w:t>Address:</w:t>
      </w:r>
      <w:r>
        <w:rPr>
          <w:rFonts w:eastAsia="Times New Roman"/>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p>
    <w:p w:rsidRPr="006C43AC" w:rsidR="00CC1967" w:rsidP="00CC1967" w:rsidRDefault="00CC1967" w14:paraId="69562B88" w14:textId="77777777">
      <w:pPr>
        <w:spacing w:before="0" w:after="0"/>
        <w:jc w:val="left"/>
        <w:rPr>
          <w:rFonts w:eastAsia="Times New Roman"/>
        </w:rPr>
      </w:pPr>
    </w:p>
    <w:p w:rsidRPr="006C43AC" w:rsidR="00CC1967" w:rsidP="00CC1967" w:rsidRDefault="00CC1967" w14:paraId="29D0F871" w14:textId="77777777">
      <w:pPr>
        <w:tabs>
          <w:tab w:val="left" w:pos="2160"/>
        </w:tabs>
        <w:spacing w:before="0" w:after="0"/>
        <w:jc w:val="left"/>
        <w:rPr>
          <w:rFonts w:eastAsia="Times New Roman"/>
        </w:rPr>
      </w:pPr>
      <w:bookmarkStart w:name="_DV_M754" w:id="552"/>
      <w:bookmarkEnd w:id="552"/>
      <w:r>
        <w:rPr>
          <w:rFonts w:eastAsia="Times New Roman"/>
        </w:rPr>
        <w:t>“Beneficiary”:</w:t>
      </w:r>
      <w:r>
        <w:rPr>
          <w:rFonts w:eastAsia="Times New Roman"/>
        </w:rPr>
        <w:tab/>
        <w:t>Georgia Power Company</w:t>
      </w:r>
    </w:p>
    <w:p w:rsidRPr="006C43AC" w:rsidR="00CC1967" w:rsidP="00CC1967" w:rsidRDefault="00CC1967" w14:paraId="50D7E071" w14:textId="77777777">
      <w:pPr>
        <w:tabs>
          <w:tab w:val="left" w:pos="2160"/>
        </w:tabs>
        <w:spacing w:before="0" w:after="0"/>
        <w:jc w:val="left"/>
        <w:rPr>
          <w:rFonts w:eastAsia="Times New Roman"/>
        </w:rPr>
      </w:pPr>
    </w:p>
    <w:p w:rsidRPr="006C43AC" w:rsidR="00CC1967" w:rsidP="00CC1967" w:rsidRDefault="00CC1967" w14:paraId="04CA1D48" w14:textId="77777777">
      <w:pPr>
        <w:tabs>
          <w:tab w:val="left" w:pos="2160"/>
        </w:tabs>
        <w:spacing w:before="0" w:after="0"/>
        <w:jc w:val="left"/>
        <w:rPr>
          <w:rFonts w:eastAsia="Times New Roman"/>
        </w:rPr>
      </w:pPr>
      <w:bookmarkStart w:name="_DV_M755" w:id="553"/>
      <w:bookmarkEnd w:id="553"/>
      <w:r>
        <w:rPr>
          <w:rFonts w:eastAsia="Times New Roman"/>
        </w:rPr>
        <w:t xml:space="preserve">Address: </w:t>
      </w:r>
      <w:r>
        <w:rPr>
          <w:rFonts w:eastAsia="Times New Roman"/>
        </w:rPr>
        <w:tab/>
        <w:t>C/O Southern Company Services, Inc.</w:t>
      </w:r>
    </w:p>
    <w:p w:rsidRPr="006C43AC" w:rsidR="00CC1967" w:rsidP="00CC1967" w:rsidRDefault="00CC1967" w14:paraId="58D1F88B" w14:textId="77777777">
      <w:pPr>
        <w:tabs>
          <w:tab w:val="left" w:pos="2160"/>
        </w:tabs>
        <w:spacing w:before="0" w:after="0"/>
        <w:jc w:val="left"/>
        <w:rPr>
          <w:rFonts w:eastAsia="Times New Roman"/>
        </w:rPr>
      </w:pPr>
      <w:bookmarkStart w:name="_DV_M756" w:id="554"/>
      <w:bookmarkEnd w:id="554"/>
      <w:r>
        <w:rPr>
          <w:rFonts w:eastAsia="Times New Roman"/>
        </w:rPr>
        <w:tab/>
        <w:t xml:space="preserve">Attn: Assistant Treasurer </w:t>
      </w:r>
    </w:p>
    <w:p w:rsidRPr="006C43AC" w:rsidR="00CC1967" w:rsidP="00CC1967" w:rsidRDefault="00CC1967" w14:paraId="0A38DED7" w14:textId="77777777">
      <w:pPr>
        <w:tabs>
          <w:tab w:val="left" w:pos="2160"/>
        </w:tabs>
        <w:spacing w:before="0" w:after="0"/>
        <w:jc w:val="left"/>
        <w:rPr>
          <w:rFonts w:eastAsia="Times New Roman"/>
        </w:rPr>
      </w:pPr>
      <w:r>
        <w:rPr>
          <w:rFonts w:eastAsia="Times New Roman"/>
        </w:rPr>
        <w:tab/>
        <w:t>BIN SC1407</w:t>
      </w:r>
    </w:p>
    <w:p w:rsidRPr="006C43AC" w:rsidR="00CC1967" w:rsidP="00CC1967" w:rsidRDefault="00CC1967" w14:paraId="42C998A0" w14:textId="77777777">
      <w:pPr>
        <w:tabs>
          <w:tab w:val="left" w:pos="2160"/>
        </w:tabs>
        <w:spacing w:before="0" w:after="0"/>
        <w:jc w:val="left"/>
        <w:rPr>
          <w:rFonts w:eastAsia="Times New Roman"/>
        </w:rPr>
      </w:pPr>
      <w:r>
        <w:rPr>
          <w:rFonts w:eastAsia="Times New Roman"/>
        </w:rPr>
        <w:tab/>
        <w:t>30 Ivan Allen Jr. Blvd., NW</w:t>
      </w:r>
    </w:p>
    <w:p w:rsidRPr="006C43AC" w:rsidR="00CC1967" w:rsidP="00CC1967" w:rsidRDefault="00CC1967" w14:paraId="4AF106A5" w14:textId="77777777">
      <w:pPr>
        <w:tabs>
          <w:tab w:val="left" w:pos="2160"/>
        </w:tabs>
        <w:spacing w:before="0" w:after="0"/>
        <w:jc w:val="left"/>
        <w:rPr>
          <w:rFonts w:eastAsia="Times New Roman"/>
        </w:rPr>
      </w:pPr>
      <w:bookmarkStart w:name="_DV_M757" w:id="555"/>
      <w:bookmarkEnd w:id="555"/>
      <w:r>
        <w:rPr>
          <w:rFonts w:eastAsia="Times New Roman"/>
        </w:rPr>
        <w:tab/>
      </w:r>
      <w:bookmarkStart w:name="_DV_M758" w:id="556"/>
      <w:bookmarkStart w:name="_DV_M759" w:id="557"/>
      <w:bookmarkEnd w:id="556"/>
      <w:bookmarkEnd w:id="557"/>
      <w:r>
        <w:rPr>
          <w:rFonts w:eastAsia="Times New Roman"/>
        </w:rPr>
        <w:t>Atlanta, GA 30308</w:t>
      </w:r>
    </w:p>
    <w:p w:rsidRPr="006C43AC" w:rsidR="00CC1967" w:rsidP="00CC1967" w:rsidRDefault="00CC1967" w14:paraId="24A63108" w14:textId="166FA27F">
      <w:pPr>
        <w:tabs>
          <w:tab w:val="left" w:pos="2160"/>
        </w:tabs>
        <w:spacing w:before="0" w:after="0"/>
        <w:jc w:val="left"/>
        <w:rPr>
          <w:rFonts w:eastAsia="Times New Roman"/>
        </w:rPr>
      </w:pPr>
      <w:bookmarkStart w:name="_DV_M760" w:id="558"/>
      <w:bookmarkEnd w:id="558"/>
      <w:r>
        <w:rPr>
          <w:rFonts w:eastAsia="Times New Roman"/>
        </w:rPr>
        <w:t xml:space="preserve"> </w:t>
      </w:r>
      <w:bookmarkStart w:name="_DV_M761" w:id="559"/>
      <w:bookmarkEnd w:id="559"/>
    </w:p>
    <w:p w:rsidRPr="006C43AC" w:rsidR="00CC1967" w:rsidP="00CC1967" w:rsidRDefault="00CC1967" w14:paraId="16B3B928" w14:textId="53B99277">
      <w:pPr>
        <w:tabs>
          <w:tab w:val="left" w:pos="2160"/>
        </w:tabs>
        <w:spacing w:before="0" w:after="0"/>
        <w:jc w:val="left"/>
        <w:rPr>
          <w:rFonts w:eastAsia="Times New Roman"/>
        </w:rPr>
      </w:pPr>
      <w:r>
        <w:rPr>
          <w:rFonts w:eastAsia="Times New Roman"/>
        </w:rPr>
        <w:t>Program ID:</w:t>
      </w:r>
      <w:r>
        <w:tab/>
      </w:r>
      <w:r>
        <w:rPr>
          <w:rFonts w:eastAsia="Times New Roman"/>
        </w:rPr>
        <w:t>32-33 All-Source RFP</w:t>
      </w:r>
    </w:p>
    <w:p w:rsidRPr="006C43AC" w:rsidR="00CC1967" w:rsidP="00CC1967" w:rsidRDefault="00CC1967" w14:paraId="07D2DE52" w14:textId="77777777">
      <w:pPr>
        <w:tabs>
          <w:tab w:val="left" w:pos="2160"/>
        </w:tabs>
        <w:spacing w:before="0" w:after="0"/>
        <w:jc w:val="left"/>
        <w:rPr>
          <w:rFonts w:eastAsia="Times New Roman"/>
        </w:rPr>
      </w:pPr>
    </w:p>
    <w:p w:rsidRPr="006C43AC" w:rsidR="00CC1967" w:rsidP="00CC1967" w:rsidRDefault="00CC1967" w14:paraId="3FA79867" w14:textId="77777777">
      <w:pPr>
        <w:tabs>
          <w:tab w:val="left" w:pos="2160"/>
        </w:tabs>
        <w:spacing w:before="0" w:after="0"/>
        <w:jc w:val="left"/>
        <w:rPr>
          <w:rFonts w:eastAsia="Times New Roman"/>
          <w:u w:val="single"/>
        </w:rPr>
      </w:pPr>
      <w:r>
        <w:rPr>
          <w:rFonts w:eastAsia="Times New Roman"/>
        </w:rPr>
        <w:t xml:space="preserve">“Account Party”: </w:t>
      </w:r>
      <w:r>
        <w:rPr>
          <w:rFonts w:eastAsia="Times New Roman"/>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p>
    <w:p w:rsidRPr="006C43AC" w:rsidR="00CC1967" w:rsidP="00CC1967" w:rsidRDefault="00CC1967" w14:paraId="1B8E6C21" w14:textId="77777777">
      <w:pPr>
        <w:tabs>
          <w:tab w:val="left" w:pos="2160"/>
        </w:tabs>
        <w:spacing w:before="0" w:after="0"/>
        <w:jc w:val="left"/>
        <w:rPr>
          <w:rFonts w:eastAsia="Times New Roman"/>
        </w:rPr>
      </w:pPr>
      <w:bookmarkStart w:name="_DV_M762" w:id="560"/>
      <w:bookmarkEnd w:id="560"/>
    </w:p>
    <w:p w:rsidRPr="006C43AC" w:rsidR="00CC1967" w:rsidP="00CC1967" w:rsidRDefault="00CC1967" w14:paraId="41D6F71E" w14:textId="77777777">
      <w:pPr>
        <w:tabs>
          <w:tab w:val="left" w:pos="2160"/>
        </w:tabs>
        <w:spacing w:before="0" w:after="0"/>
        <w:jc w:val="left"/>
        <w:rPr>
          <w:rFonts w:eastAsia="Times New Roman"/>
        </w:rPr>
      </w:pPr>
      <w:r>
        <w:rPr>
          <w:rFonts w:eastAsia="Times New Roman"/>
        </w:rPr>
        <w:t>Address:</w:t>
      </w:r>
      <w:r>
        <w:rPr>
          <w:rFonts w:eastAsia="Times New Roman"/>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r>
        <w:rPr>
          <w:rFonts w:eastAsia="Times New Roman"/>
          <w:u w:val="single"/>
        </w:rPr>
        <w:tab/>
      </w:r>
    </w:p>
    <w:p w:rsidRPr="006C43AC" w:rsidR="00CC1967" w:rsidP="00CC1967" w:rsidRDefault="00CC1967" w14:paraId="6ED31E86" w14:textId="77777777">
      <w:pPr>
        <w:spacing w:before="0" w:after="0"/>
        <w:jc w:val="left"/>
        <w:rPr>
          <w:rFonts w:eastAsia="Times New Roman"/>
        </w:rPr>
      </w:pPr>
    </w:p>
    <w:p w:rsidRPr="006C43AC" w:rsidR="00CC1967" w:rsidP="00CC1967" w:rsidRDefault="00CC1967" w14:paraId="3446F8B6" w14:textId="77777777">
      <w:pPr>
        <w:spacing w:before="0" w:after="0"/>
        <w:ind w:left="2160" w:hanging="2160"/>
        <w:jc w:val="left"/>
        <w:rPr>
          <w:rFonts w:eastAsia="Times New Roman"/>
        </w:rPr>
      </w:pPr>
      <w:bookmarkStart w:name="_DV_M763" w:id="561"/>
      <w:bookmarkEnd w:id="561"/>
      <w:r>
        <w:rPr>
          <w:rFonts w:eastAsia="Times New Roman"/>
        </w:rPr>
        <w:t>“Expiry Date”:</w:t>
      </w:r>
      <w:r>
        <w:rPr>
          <w:rFonts w:eastAsia="Times New Roman"/>
        </w:rPr>
        <w:tab/>
        <w:t>______________, 20__, and any automatically extended date, as herein provided [(</w:t>
      </w:r>
      <w:r>
        <w:rPr>
          <w:rFonts w:eastAsia="Times New Roman"/>
          <w:highlight w:val="yellow"/>
        </w:rPr>
        <w:t>but in no event later than _____________, 20__)</w:t>
      </w:r>
      <w:r>
        <w:rPr>
          <w:rFonts w:eastAsia="Times New Roman"/>
        </w:rPr>
        <w:t>]</w:t>
      </w:r>
    </w:p>
    <w:p w:rsidRPr="006C43AC" w:rsidR="00CC1967" w:rsidP="00CC1967" w:rsidRDefault="00CC1967" w14:paraId="21C025AD" w14:textId="77777777">
      <w:pPr>
        <w:spacing w:before="0" w:after="0"/>
        <w:jc w:val="left"/>
        <w:rPr>
          <w:rFonts w:eastAsia="Times New Roman"/>
        </w:rPr>
      </w:pPr>
    </w:p>
    <w:p w:rsidRPr="006C43AC" w:rsidR="00CC1967" w:rsidP="00CC1967" w:rsidRDefault="00CC1967" w14:paraId="6372233B" w14:textId="77777777">
      <w:pPr>
        <w:tabs>
          <w:tab w:val="left" w:pos="2160"/>
        </w:tabs>
        <w:spacing w:before="0" w:after="0"/>
        <w:jc w:val="left"/>
        <w:rPr>
          <w:rFonts w:eastAsia="Times New Roman"/>
        </w:rPr>
      </w:pPr>
      <w:bookmarkStart w:name="_DV_M764" w:id="562"/>
      <w:bookmarkEnd w:id="562"/>
      <w:r>
        <w:rPr>
          <w:rFonts w:eastAsia="Times New Roman"/>
        </w:rPr>
        <w:t>“Total Amount”:</w:t>
      </w:r>
      <w:r>
        <w:rPr>
          <w:rFonts w:eastAsia="Times New Roman"/>
        </w:rPr>
        <w:tab/>
      </w:r>
      <w:r>
        <w:rPr>
          <w:rFonts w:eastAsia="Times New Roman"/>
          <w:u w:val="single"/>
        </w:rPr>
        <w:tab/>
      </w:r>
      <w:r>
        <w:rPr>
          <w:rFonts w:eastAsia="Times New Roman"/>
          <w:u w:val="single"/>
        </w:rPr>
        <w:tab/>
      </w:r>
      <w:r>
        <w:rPr>
          <w:rFonts w:eastAsia="Times New Roman"/>
        </w:rPr>
        <w:t>United States Dollars (U.S. $_____________)</w:t>
      </w:r>
    </w:p>
    <w:p w:rsidRPr="006C43AC" w:rsidR="00CC1967" w:rsidP="00CC1967" w:rsidRDefault="00CC1967" w14:paraId="2CBE6FEB" w14:textId="77777777">
      <w:pPr>
        <w:jc w:val="left"/>
        <w:rPr>
          <w:rFonts w:eastAsia="Times New Roman"/>
        </w:rPr>
      </w:pPr>
    </w:p>
    <w:p w:rsidRPr="006C43AC" w:rsidR="00CC1967" w:rsidP="00CC1967" w:rsidRDefault="00CC1967" w14:paraId="20D849EA" w14:textId="77777777">
      <w:pPr>
        <w:jc w:val="left"/>
        <w:rPr>
          <w:rFonts w:eastAsia="Times New Roman"/>
        </w:rPr>
      </w:pPr>
    </w:p>
    <w:p w:rsidRPr="006C43AC" w:rsidR="00CC1967" w:rsidP="00CC1967" w:rsidRDefault="00CC1967" w14:paraId="24984AAF" w14:textId="77777777">
      <w:pPr>
        <w:rPr>
          <w:rFonts w:ascii="Calibri" w:hAnsi="Calibri" w:eastAsia="Times New Roman"/>
          <w:spacing w:val="-4"/>
        </w:rPr>
      </w:pPr>
      <w:bookmarkStart w:name="_DV_M765" w:id="563"/>
      <w:bookmarkEnd w:id="563"/>
      <w:r>
        <w:rPr>
          <w:rFonts w:eastAsia="Times New Roman"/>
          <w:spacing w:val="-4"/>
        </w:rPr>
        <w:t>We, the Issuer, hereby establish in your favor, for the account of the Account Party, our irrevocable standby letter of credit (“</w:t>
      </w:r>
      <w:r>
        <w:rPr>
          <w:rFonts w:eastAsia="Times New Roman"/>
          <w:b/>
          <w:spacing w:val="-4"/>
        </w:rPr>
        <w:t>Standby Letter of Credit</w:t>
      </w:r>
      <w:r>
        <w:rPr>
          <w:rFonts w:eastAsia="Times New Roman"/>
          <w:spacing w:val="-4"/>
        </w:rPr>
        <w:t>”), in the aggregate amount not exceeding the Total Amount.</w:t>
      </w:r>
    </w:p>
    <w:p w:rsidRPr="006C43AC" w:rsidR="00CC1967" w:rsidP="00CC1967" w:rsidRDefault="00CC1967" w14:paraId="0175E9A7" w14:textId="4E23935E">
      <w:pPr>
        <w:rPr>
          <w:rFonts w:ascii="Calibri" w:hAnsi="Calibri" w:eastAsia="Times New Roman"/>
          <w:spacing w:val="-4"/>
        </w:rPr>
      </w:pPr>
      <w:bookmarkStart w:name="_DV_M766" w:id="564"/>
      <w:bookmarkEnd w:id="564"/>
      <w:r>
        <w:rPr>
          <w:rFonts w:eastAsia="Times New Roman"/>
          <w:spacing w:val="-4"/>
        </w:rPr>
        <w:t>Funds under this Standby Letter of Credit are available to you on or before the Expiry Date by presentation of your demand signed by one of your officers or authorized representatives, and delivered to us in the form attached as Annex 1 (</w:t>
      </w:r>
      <w:r>
        <w:rPr>
          <w:rFonts w:eastAsia="Times New Roman"/>
          <w:i/>
          <w:spacing w:val="-4"/>
        </w:rPr>
        <w:t>Form of Sight Draft</w:t>
      </w:r>
      <w:r>
        <w:rPr>
          <w:rFonts w:eastAsia="Times New Roman"/>
          <w:spacing w:val="-4"/>
        </w:rPr>
        <w:t>) with appropriate insertions and referring thereon to the number and date of this Standby Letter of Credit, accompanied by a written and completed certificate signed by a person purporting to be one of your officers or authorized representatives, in the form attached as Annex 2 (</w:t>
      </w:r>
      <w:r>
        <w:rPr>
          <w:rFonts w:eastAsia="Times New Roman"/>
          <w:i/>
          <w:spacing w:val="-4"/>
        </w:rPr>
        <w:t>Form of Certificate</w:t>
      </w:r>
      <w:r>
        <w:rPr>
          <w:rFonts w:eastAsia="Times New Roman"/>
          <w:spacing w:val="-4"/>
        </w:rPr>
        <w:t>), with appropriate insertions.</w:t>
      </w:r>
    </w:p>
    <w:p w:rsidRPr="006C43AC" w:rsidR="00CC1967" w:rsidP="00CC1967" w:rsidRDefault="00CC1967" w14:paraId="2391697C" w14:textId="77777777">
      <w:pPr>
        <w:rPr>
          <w:rFonts w:ascii="Calibri" w:hAnsi="Calibri" w:eastAsia="Times New Roman"/>
          <w:spacing w:val="-4"/>
        </w:rPr>
      </w:pPr>
      <w:bookmarkStart w:name="_DV_M767" w:id="565"/>
      <w:bookmarkEnd w:id="565"/>
      <w:r>
        <w:rPr>
          <w:rFonts w:eastAsia="Times New Roman"/>
          <w:spacing w:val="-4"/>
        </w:rPr>
        <w:t>This Standby Letter of Credit is effective immediately and expires at 5:00 p.m. (Eastern Time) on the Expiry Date. It is a condition of this Standby Letter of Credit that the Expiry Date will be deemed automatically extended without amendment for a period of one year from the present or any future Expiry Date, unless we notify you not less than ninety (90) days prior to any such date, in accordance with the notice provisions set forth herein, that we have elected not to extend the Expiry Date for such additional period.</w:t>
      </w:r>
    </w:p>
    <w:p w:rsidRPr="006C43AC" w:rsidR="00CC1967" w:rsidP="00CC1967" w:rsidRDefault="00CC1967" w14:paraId="1C888E45" w14:textId="77777777">
      <w:pPr>
        <w:rPr>
          <w:rFonts w:ascii="Calibri" w:hAnsi="Calibri" w:eastAsia="Times New Roman"/>
          <w:spacing w:val="-4"/>
        </w:rPr>
      </w:pPr>
      <w:bookmarkStart w:name="_DV_M768" w:id="566"/>
      <w:bookmarkEnd w:id="566"/>
      <w:r>
        <w:rPr>
          <w:rFonts w:eastAsia="Times New Roman"/>
          <w:spacing w:val="-4"/>
        </w:rPr>
        <w:t xml:space="preserve">Delivery of demands and certificates will be made on any day that is a business day for us at or prior to 5:00 p.m. (Eastern Time) at our office located at __________, or at any other office in the United States of America that is designated by us in a written notice delivered to you. If such demand and such certificate are received at any such office on or prior to the Expiry Date, we hereby agree with you that we will duly honor the same within three (3) business days of such presentation. Notwithstanding the foregoing, you may demand payment under this Standby Letter of Credit by facsimile or electronic transmission when promptly confirmed by written demand; however, actual disbursement of funds </w:t>
      </w:r>
      <w:r>
        <w:rPr>
          <w:rFonts w:eastAsia="Calibri"/>
          <w:spacing w:val="-4"/>
        </w:rPr>
        <w:lastRenderedPageBreak/>
        <w:t>under</w:t>
      </w:r>
      <w:r>
        <w:rPr>
          <w:rFonts w:eastAsia="Times New Roman"/>
          <w:spacing w:val="-4"/>
        </w:rPr>
        <w:t xml:space="preserve"> a demand presented by facsimile or electronic transmission may not occur until we are presented with the original Standby Letter of Credit.</w:t>
      </w:r>
    </w:p>
    <w:p w:rsidRPr="006C43AC" w:rsidR="00CC1967" w:rsidP="00CC1967" w:rsidRDefault="00CC1967" w14:paraId="3DC6B257" w14:textId="77777777">
      <w:pPr>
        <w:rPr>
          <w:rFonts w:ascii="Calibri" w:hAnsi="Calibri" w:eastAsia="Times New Roman"/>
          <w:spacing w:val="-4"/>
        </w:rPr>
      </w:pPr>
      <w:bookmarkStart w:name="_DV_M769" w:id="567"/>
      <w:bookmarkEnd w:id="567"/>
      <w:r>
        <w:rPr>
          <w:rFonts w:eastAsia="Times New Roman"/>
          <w:spacing w:val="-4"/>
        </w:rPr>
        <w:t xml:space="preserve">Partial drawings and multiple presentations may be made under this Standby Letter of Credit, </w:t>
      </w:r>
      <w:r>
        <w:rPr>
          <w:rFonts w:eastAsia="Times New Roman"/>
          <w:spacing w:val="-4"/>
          <w:u w:val="single"/>
        </w:rPr>
        <w:t>provided</w:t>
      </w:r>
      <w:r>
        <w:rPr>
          <w:rFonts w:eastAsia="Times New Roman"/>
          <w:spacing w:val="-4"/>
        </w:rPr>
        <w:t xml:space="preserve">, </w:t>
      </w:r>
      <w:r>
        <w:rPr>
          <w:rFonts w:eastAsia="Times New Roman"/>
          <w:spacing w:val="-4"/>
          <w:u w:val="single"/>
        </w:rPr>
        <w:t>however</w:t>
      </w:r>
      <w:r>
        <w:rPr>
          <w:rFonts w:eastAsia="Times New Roman"/>
          <w:spacing w:val="-4"/>
        </w:rPr>
        <w:t>, that each such demand that is paid by us will reduce the amount available under this Standby Letter of Credit.</w:t>
      </w:r>
    </w:p>
    <w:p w:rsidRPr="006C43AC" w:rsidR="00CC1967" w:rsidP="00CC1967" w:rsidRDefault="00CC1967" w14:paraId="0AB47775" w14:textId="48C9C347">
      <w:pPr>
        <w:rPr>
          <w:rFonts w:ascii="Calibri" w:hAnsi="Calibri" w:eastAsia="Times New Roman"/>
          <w:spacing w:val="-4"/>
        </w:rPr>
      </w:pPr>
      <w:bookmarkStart w:name="_DV_M770" w:id="568"/>
      <w:bookmarkEnd w:id="568"/>
      <w:r>
        <w:rPr>
          <w:rFonts w:eastAsia="Times New Roman"/>
          <w:spacing w:val="-4"/>
        </w:rPr>
        <w:t>Except as is expressly set forth herein, payment of demands made under this Standby Letter of Credit is not subject to any agreement, condition or qualification. The obligation of the Issuer under this Standby Letter of Credit is the individual obligation of the Issuer and is in no manner contingent upon reimbursement with respect thereto.</w:t>
      </w:r>
    </w:p>
    <w:p w:rsidRPr="006C43AC" w:rsidR="00CC1967" w:rsidP="00CC1967" w:rsidRDefault="00CC1967" w14:paraId="48577601" w14:textId="77777777">
      <w:pPr>
        <w:rPr>
          <w:rFonts w:ascii="Calibri" w:hAnsi="Calibri" w:eastAsia="Times New Roman"/>
          <w:spacing w:val="-4"/>
        </w:rPr>
      </w:pPr>
      <w:bookmarkStart w:name="_DV_M771" w:id="569"/>
      <w:bookmarkEnd w:id="569"/>
      <w:r>
        <w:rPr>
          <w:rFonts w:eastAsia="Times New Roman"/>
          <w:spacing w:val="-4"/>
        </w:rPr>
        <w:t>Funds available for drawing under this Standby Letter of Credit may not directly or indirectly constitute funds or collateral deposited with the Beneficiary, or for the Issuer’s account by the Account Party, or pledged with or for the Issuer’s account by the Account Party.</w:t>
      </w:r>
    </w:p>
    <w:p w:rsidRPr="006C43AC" w:rsidR="00CC1967" w:rsidP="00CC1967" w:rsidRDefault="00CC1967" w14:paraId="5E56EE89" w14:textId="77777777">
      <w:pPr>
        <w:rPr>
          <w:rFonts w:ascii="Calibri" w:hAnsi="Calibri" w:eastAsia="Times New Roman"/>
          <w:spacing w:val="-4"/>
        </w:rPr>
      </w:pPr>
      <w:bookmarkStart w:name="_DV_M772" w:id="570"/>
      <w:bookmarkEnd w:id="570"/>
      <w:r>
        <w:rPr>
          <w:rFonts w:eastAsia="Times New Roman"/>
          <w:spacing w:val="-4"/>
        </w:rPr>
        <w:t xml:space="preserve">This Standby Letter of Credit is transferable and can be successively transferred to any transferee that Beneficiary states in writing to us has succeeded such Beneficiary under this Letter of Credit; </w:t>
      </w:r>
      <w:proofErr w:type="gramStart"/>
      <w:r>
        <w:rPr>
          <w:rFonts w:eastAsia="Times New Roman"/>
          <w:spacing w:val="-4"/>
        </w:rPr>
        <w:t>provided that</w:t>
      </w:r>
      <w:proofErr w:type="gramEnd"/>
      <w:r>
        <w:rPr>
          <w:rFonts w:eastAsia="Times New Roman"/>
          <w:spacing w:val="-4"/>
        </w:rPr>
        <w:t xml:space="preserve"> such transfer to such transferee </w:t>
      </w:r>
      <w:proofErr w:type="gramStart"/>
      <w:r>
        <w:rPr>
          <w:rFonts w:eastAsia="Times New Roman"/>
          <w:spacing w:val="-4"/>
        </w:rPr>
        <w:t>is in compliance with</w:t>
      </w:r>
      <w:proofErr w:type="gramEnd"/>
      <w:r>
        <w:rPr>
          <w:rFonts w:eastAsia="Times New Roman"/>
          <w:spacing w:val="-4"/>
        </w:rPr>
        <w:t xml:space="preserve"> applicable U.S. laws and regulations. Transfer of this Standby Letter of Credit to any transferee will be </w:t>
      </w:r>
      <w:proofErr w:type="gramStart"/>
      <w:r>
        <w:rPr>
          <w:rFonts w:eastAsia="Times New Roman"/>
          <w:spacing w:val="-4"/>
        </w:rPr>
        <w:t>effected</w:t>
      </w:r>
      <w:proofErr w:type="gramEnd"/>
      <w:r>
        <w:rPr>
          <w:rFonts w:eastAsia="Times New Roman"/>
          <w:spacing w:val="-4"/>
        </w:rPr>
        <w:t xml:space="preserve"> by the presentation to us of this Standby Letter of Credit accompanied by a certificate in the form attached as Annex 3 (</w:t>
      </w:r>
      <w:r>
        <w:rPr>
          <w:rFonts w:eastAsia="Times New Roman"/>
          <w:i/>
          <w:spacing w:val="-4"/>
        </w:rPr>
        <w:t>Form of Instruction to Assign in Entirety</w:t>
      </w:r>
      <w:r>
        <w:rPr>
          <w:rFonts w:eastAsia="Times New Roman"/>
          <w:spacing w:val="-4"/>
        </w:rPr>
        <w:t>), with appropriate insertions, signed by a person purporting to be an officer or authorized representative of the Beneficiary. Upon such presentation, we will forthwith issue an irrevocable letter of credit to such transferee with provisions therein consistent with this Standby Letter of Credit.</w:t>
      </w:r>
    </w:p>
    <w:p w:rsidRPr="006C43AC" w:rsidR="00CC1967" w:rsidP="00CC1967" w:rsidRDefault="00CC1967" w14:paraId="4809E65F" w14:textId="77777777">
      <w:pPr>
        <w:rPr>
          <w:rFonts w:ascii="Calibri" w:hAnsi="Calibri" w:eastAsia="Times New Roman"/>
          <w:spacing w:val="-4"/>
        </w:rPr>
      </w:pPr>
      <w:bookmarkStart w:name="_DV_M773" w:id="571"/>
      <w:bookmarkEnd w:id="571"/>
      <w:r>
        <w:rPr>
          <w:rFonts w:eastAsia="Times New Roman"/>
          <w:spacing w:val="-4"/>
        </w:rPr>
        <w:t>We will not modify, revoke or terminate this Standby Letter of Credit without your written consent. This Standby Letter of Credit sets forth in full the terms of our undertaking, and such undertaking may not be modified, annulled or amplified by reference to any other document, instrument or agreement referred to herein or in which the Standby Letter of Credit is referred or to which the Standby Letter of Credit relates, and any such reference may not be deemed to incorporate herein by reference any document, instrument or agreement.</w:t>
      </w:r>
    </w:p>
    <w:p w:rsidRPr="006C43AC" w:rsidR="00CC1967" w:rsidP="00CC1967" w:rsidRDefault="00CC1967" w14:paraId="3ED793DE" w14:textId="77777777">
      <w:pPr>
        <w:rPr>
          <w:rFonts w:ascii="Calibri" w:hAnsi="Calibri" w:eastAsia="Times New Roman"/>
          <w:spacing w:val="-4"/>
        </w:rPr>
      </w:pPr>
      <w:bookmarkStart w:name="_DV_M774" w:id="572"/>
      <w:bookmarkEnd w:id="572"/>
      <w:r>
        <w:rPr>
          <w:rFonts w:eastAsia="Times New Roman"/>
          <w:spacing w:val="-4"/>
        </w:rPr>
        <w:t>To the extent not contrary to the express terms hereof, this Standby Letter of Credit will be governed by the International Standby Practices (“</w:t>
      </w:r>
      <w:r>
        <w:rPr>
          <w:rFonts w:eastAsia="Times New Roman"/>
          <w:b/>
          <w:spacing w:val="-4"/>
        </w:rPr>
        <w:t>ISP98</w:t>
      </w:r>
      <w:r>
        <w:rPr>
          <w:rFonts w:eastAsia="Times New Roman"/>
          <w:spacing w:val="-4"/>
        </w:rPr>
        <w:t>”). This Standby Letter of Credit will be deemed to be a contract made under the laws of the state of Georgia and will, as to matters not governed by the ISP98, be governed by and construed in accordance with the laws of the state of Georgia.</w:t>
      </w:r>
    </w:p>
    <w:p w:rsidRPr="006C43AC" w:rsidR="00CC1967" w:rsidP="00CC1967" w:rsidRDefault="00CC1967" w14:paraId="6F507ED1" w14:textId="77777777">
      <w:pPr>
        <w:rPr>
          <w:rFonts w:ascii="Calibri" w:hAnsi="Calibri" w:eastAsia="Times New Roman"/>
          <w:spacing w:val="-4"/>
        </w:rPr>
      </w:pPr>
      <w:bookmarkStart w:name="_DV_M775" w:id="573"/>
      <w:bookmarkEnd w:id="573"/>
      <w:r>
        <w:rPr>
          <w:rFonts w:eastAsia="Times New Roman"/>
          <w:spacing w:val="-4"/>
        </w:rPr>
        <w:t>Notices concerning this Standby Letter of Credit may be sent to a party by courier, certified mail, registered mail, facsimile, electronic transmission or similar communications facility to its respective address set forth herein. Any notice, demand, request or other communication is deemed to have been received by the party to whom it is sent at the time of its delivery. Each party may notify the other of any change of address in the manner provided above.</w:t>
      </w:r>
    </w:p>
    <w:p w:rsidRPr="006C43AC" w:rsidR="00CC1967" w:rsidP="00CC1967" w:rsidRDefault="00CC1967" w14:paraId="7E1E0997" w14:textId="77777777">
      <w:pPr>
        <w:ind w:left="5040"/>
        <w:jc w:val="left"/>
        <w:rPr>
          <w:rFonts w:eastAsia="Times New Roman"/>
        </w:rPr>
      </w:pPr>
    </w:p>
    <w:p w:rsidRPr="006C43AC" w:rsidR="00CC1967" w:rsidP="00CC1967" w:rsidRDefault="00CC1967" w14:paraId="6162D4D3" w14:textId="77777777">
      <w:pPr>
        <w:ind w:left="5040"/>
        <w:jc w:val="left"/>
        <w:rPr>
          <w:rFonts w:eastAsia="Times New Roman"/>
        </w:rPr>
      </w:pPr>
      <w:bookmarkStart w:name="_DV_M776" w:id="574"/>
      <w:bookmarkEnd w:id="574"/>
      <w:r>
        <w:rPr>
          <w:rFonts w:eastAsia="Times New Roman"/>
        </w:rPr>
        <w:t>[</w:t>
      </w:r>
      <w:r>
        <w:rPr>
          <w:rFonts w:eastAsia="Times New Roman"/>
          <w:highlight w:val="yellow"/>
        </w:rPr>
        <w:t>ISSUING BANK</w:t>
      </w:r>
      <w:r>
        <w:rPr>
          <w:rFonts w:eastAsia="Times New Roman"/>
        </w:rPr>
        <w:t>]</w:t>
      </w:r>
    </w:p>
    <w:p w:rsidRPr="006C43AC" w:rsidR="00CC1967" w:rsidP="00CC1967" w:rsidRDefault="00CC1967" w14:paraId="278B7CF1" w14:textId="77777777">
      <w:pPr>
        <w:jc w:val="left"/>
        <w:rPr>
          <w:rFonts w:ascii="Calibri" w:hAnsi="Calibri" w:eastAsia="Times New Roman"/>
          <w:spacing w:val="-4"/>
        </w:rPr>
      </w:pPr>
    </w:p>
    <w:p w:rsidRPr="006C43AC" w:rsidR="00CC1967" w:rsidP="00CC1967" w:rsidRDefault="00CC1967" w14:paraId="2D44FEAC" w14:textId="77777777">
      <w:pPr>
        <w:jc w:val="left"/>
        <w:rPr>
          <w:rFonts w:ascii="Calibri" w:hAnsi="Calibri" w:eastAsia="Times New Roman"/>
          <w:spacing w:val="-4"/>
        </w:rPr>
      </w:pPr>
    </w:p>
    <w:p w:rsidRPr="006C43AC" w:rsidR="00CC1967" w:rsidP="00CC1967" w:rsidRDefault="00CC1967" w14:paraId="4AEACD26" w14:textId="77777777">
      <w:pPr>
        <w:jc w:val="left"/>
        <w:rPr>
          <w:rFonts w:ascii="Calibri" w:hAnsi="Calibri" w:eastAsia="Times New Roman"/>
          <w:spacing w:val="-4"/>
        </w:rPr>
      </w:pPr>
    </w:p>
    <w:p w:rsidR="00CC1967" w:rsidP="00CC1967" w:rsidRDefault="00CC1967" w14:paraId="2CCCFB47" w14:textId="77777777">
      <w:pPr>
        <w:tabs>
          <w:tab w:val="left" w:pos="5040"/>
        </w:tabs>
        <w:jc w:val="left"/>
        <w:rPr>
          <w:rFonts w:eastAsia="Times New Roman"/>
          <w:spacing w:val="-4"/>
        </w:rPr>
      </w:pPr>
      <w:bookmarkStart w:name="_DV_M777" w:id="575"/>
      <w:bookmarkEnd w:id="575"/>
      <w:r>
        <w:rPr>
          <w:rFonts w:eastAsia="Times New Roman"/>
          <w:spacing w:val="-4"/>
        </w:rPr>
        <w:tab/>
        <w:t>By:</w:t>
      </w:r>
      <w:r>
        <w:rPr>
          <w:rFonts w:eastAsia="Times New Roman"/>
          <w:spacing w:val="-4"/>
          <w:u w:val="single"/>
        </w:rPr>
        <w:tab/>
      </w:r>
      <w:r>
        <w:rPr>
          <w:rFonts w:eastAsia="Times New Roman"/>
          <w:spacing w:val="-4"/>
          <w:u w:val="single"/>
        </w:rPr>
        <w:tab/>
      </w:r>
      <w:r>
        <w:rPr>
          <w:rFonts w:eastAsia="Times New Roman"/>
          <w:spacing w:val="-4"/>
          <w:u w:val="single"/>
        </w:rPr>
        <w:tab/>
      </w:r>
      <w:r>
        <w:rPr>
          <w:rFonts w:eastAsia="Times New Roman"/>
          <w:spacing w:val="-4"/>
          <w:u w:val="single"/>
        </w:rPr>
        <w:tab/>
      </w:r>
      <w:r>
        <w:rPr>
          <w:rFonts w:eastAsia="Times New Roman"/>
          <w:spacing w:val="-4"/>
        </w:rPr>
        <w:tab/>
        <w:t>Authorized Signature</w:t>
      </w:r>
      <w:r>
        <w:rPr>
          <w:rFonts w:eastAsia="Times New Roman"/>
          <w:spacing w:val="-4"/>
        </w:rPr>
        <w:tab/>
      </w:r>
      <w:r>
        <w:rPr>
          <w:rFonts w:eastAsia="Times New Roman"/>
          <w:spacing w:val="-4"/>
        </w:rPr>
        <w:tab/>
      </w:r>
      <w:r>
        <w:rPr>
          <w:rFonts w:eastAsia="Times New Roman"/>
          <w:spacing w:val="-4"/>
        </w:rPr>
        <w:tab/>
      </w:r>
      <w:r>
        <w:rPr>
          <w:rFonts w:eastAsia="Times New Roman"/>
          <w:spacing w:val="-4"/>
        </w:rPr>
        <w:tab/>
      </w:r>
      <w:r>
        <w:rPr>
          <w:rFonts w:eastAsia="Times New Roman"/>
          <w:spacing w:val="-4"/>
        </w:rPr>
        <w:tab/>
      </w:r>
      <w:r>
        <w:rPr>
          <w:rFonts w:eastAsia="Times New Roman"/>
          <w:spacing w:val="-4"/>
        </w:rPr>
        <w:tab/>
      </w:r>
      <w:r>
        <w:rPr>
          <w:rFonts w:eastAsia="Times New Roman"/>
          <w:spacing w:val="-4"/>
        </w:rPr>
        <w:tab/>
      </w:r>
      <w:r>
        <w:rPr>
          <w:rFonts w:eastAsia="Times New Roman"/>
          <w:spacing w:val="-4"/>
        </w:rPr>
        <w:tab/>
      </w:r>
      <w:r>
        <w:rPr>
          <w:rFonts w:eastAsia="Times New Roman"/>
          <w:spacing w:val="-4"/>
        </w:rPr>
        <w:tab/>
      </w:r>
      <w:r>
        <w:rPr>
          <w:rFonts w:eastAsia="Times New Roman"/>
          <w:spacing w:val="-4"/>
        </w:rPr>
        <w:tab/>
      </w:r>
      <w:r>
        <w:rPr>
          <w:rFonts w:eastAsia="Times New Roman"/>
          <w:spacing w:val="-4"/>
        </w:rPr>
        <w:tab/>
      </w:r>
    </w:p>
    <w:p w:rsidR="00CC1967" w:rsidP="00CC1967" w:rsidRDefault="00CC1967" w14:paraId="4ED0AFC7" w14:textId="77777777">
      <w:pPr>
        <w:tabs>
          <w:tab w:val="left" w:pos="5040"/>
        </w:tabs>
        <w:jc w:val="left"/>
        <w:rPr>
          <w:rFonts w:eastAsia="Times New Roman"/>
          <w:spacing w:val="-4"/>
        </w:rPr>
      </w:pPr>
      <w:r>
        <w:rPr>
          <w:rFonts w:eastAsia="Times New Roman"/>
          <w:spacing w:val="-4"/>
        </w:rPr>
        <w:tab/>
      </w:r>
      <w:r>
        <w:rPr>
          <w:rFonts w:eastAsia="Times New Roman"/>
          <w:spacing w:val="-4"/>
        </w:rPr>
        <w:tab/>
      </w:r>
      <w:bookmarkStart w:name="_DV_M778" w:id="576"/>
      <w:bookmarkEnd w:id="576"/>
      <w:r>
        <w:rPr>
          <w:rFonts w:eastAsia="Times New Roman"/>
          <w:spacing w:val="-4"/>
        </w:rPr>
        <w:tab/>
      </w:r>
      <w:r>
        <w:rPr>
          <w:rFonts w:eastAsia="Times New Roman"/>
          <w:spacing w:val="-4"/>
        </w:rPr>
        <w:tab/>
      </w:r>
      <w:r>
        <w:rPr>
          <w:rFonts w:eastAsia="Times New Roman"/>
          <w:spacing w:val="-4"/>
        </w:rPr>
        <w:tab/>
      </w:r>
      <w:r>
        <w:rPr>
          <w:rFonts w:eastAsia="Times New Roman"/>
          <w:spacing w:val="-4"/>
        </w:rPr>
        <w:tab/>
      </w:r>
      <w:r>
        <w:rPr>
          <w:rFonts w:eastAsia="Times New Roman"/>
          <w:spacing w:val="-4"/>
        </w:rPr>
        <w:tab/>
      </w:r>
      <w:r>
        <w:rPr>
          <w:rFonts w:eastAsia="Times New Roman"/>
          <w:spacing w:val="-4"/>
        </w:rPr>
        <w:tab/>
      </w:r>
      <w:r>
        <w:rPr>
          <w:rFonts w:eastAsia="Times New Roman"/>
          <w:spacing w:val="-4"/>
        </w:rPr>
        <w:tab/>
      </w:r>
      <w:r>
        <w:rPr>
          <w:rFonts w:eastAsia="Times New Roman"/>
          <w:spacing w:val="-4"/>
        </w:rPr>
        <w:tab/>
      </w:r>
    </w:p>
    <w:p w:rsidR="00CC1967" w:rsidP="00CC1967" w:rsidRDefault="00CC1967" w14:paraId="36F44F18" w14:textId="77777777">
      <w:pPr>
        <w:tabs>
          <w:tab w:val="left" w:pos="5040"/>
        </w:tabs>
        <w:jc w:val="left"/>
        <w:rPr>
          <w:rFonts w:eastAsia="Times New Roman"/>
          <w:spacing w:val="-4"/>
        </w:rPr>
      </w:pPr>
    </w:p>
    <w:p w:rsidRPr="006C43AC" w:rsidR="00CC1967" w:rsidP="00CC1967" w:rsidRDefault="00CC1967" w14:paraId="558B117A" w14:textId="77777777">
      <w:pPr>
        <w:tabs>
          <w:tab w:val="left" w:pos="5040"/>
        </w:tabs>
        <w:jc w:val="left"/>
        <w:rPr>
          <w:rFonts w:eastAsia="Times New Roman"/>
          <w:spacing w:val="-4"/>
        </w:rPr>
        <w:sectPr w:rsidRPr="006C43AC" w:rsidR="00CC1967" w:rsidSect="006B1C54">
          <w:headerReference w:type="default" r:id="rId47"/>
          <w:footerReference w:type="default" r:id="rId48"/>
          <w:pgSz w:w="12240" w:h="15840" w:code="1"/>
          <w:pgMar w:top="1080" w:right="1008" w:bottom="936" w:left="1224" w:header="432" w:footer="576" w:gutter="0"/>
          <w:cols w:space="720"/>
          <w:noEndnote/>
        </w:sectPr>
      </w:pPr>
    </w:p>
    <w:p w:rsidRPr="00BE07C6" w:rsidR="00CC1967" w:rsidP="00CC1967" w:rsidRDefault="00CC1967" w14:paraId="532A5348" w14:textId="77777777">
      <w:pPr>
        <w:spacing w:after="240"/>
        <w:jc w:val="center"/>
        <w:outlineLvl w:val="3"/>
        <w:rPr>
          <w:rFonts w:ascii="Arial Bold" w:hAnsi="Arial Bold" w:eastAsia="Calibri"/>
          <w:b/>
          <w:caps/>
        </w:rPr>
      </w:pPr>
      <w:bookmarkStart w:name="_DV_M779" w:id="577"/>
      <w:bookmarkEnd w:id="577"/>
      <w:r>
        <w:rPr>
          <w:rFonts w:ascii="Arial Bold" w:hAnsi="Arial Bold" w:eastAsia="Calibri"/>
          <w:b/>
          <w:caps/>
        </w:rPr>
        <w:lastRenderedPageBreak/>
        <w:t>Annex 1</w:t>
      </w:r>
    </w:p>
    <w:p w:rsidRPr="00BE07C6" w:rsidR="00CC1967" w:rsidP="00CC1967" w:rsidRDefault="00CC1967" w14:paraId="19C9C275" w14:textId="77777777">
      <w:pPr>
        <w:jc w:val="center"/>
        <w:rPr>
          <w:rFonts w:ascii="Arial Bold" w:hAnsi="Arial Bold" w:eastAsia="Calibri"/>
          <w:b/>
          <w:caps/>
        </w:rPr>
      </w:pPr>
      <w:bookmarkStart w:name="_DV_M780" w:id="578"/>
      <w:bookmarkEnd w:id="578"/>
      <w:r>
        <w:rPr>
          <w:rFonts w:ascii="Arial Bold" w:hAnsi="Arial Bold" w:eastAsia="Calibri"/>
          <w:b/>
          <w:caps/>
        </w:rPr>
        <w:t>Form of Sight Draft</w:t>
      </w:r>
    </w:p>
    <w:p w:rsidR="00CC1967" w:rsidP="00CC1967" w:rsidRDefault="00CC1967" w14:paraId="6C35B90D" w14:textId="77777777">
      <w:pPr>
        <w:jc w:val="center"/>
        <w:rPr>
          <w:rFonts w:eastAsia="Times New Roman"/>
          <w:highlight w:val="yellow"/>
        </w:rPr>
      </w:pPr>
    </w:p>
    <w:p w:rsidRPr="006C43AC" w:rsidR="00CC1967" w:rsidP="00CC1967" w:rsidRDefault="00CC1967" w14:paraId="64090A8D" w14:textId="77777777">
      <w:pPr>
        <w:jc w:val="left"/>
        <w:rPr>
          <w:rFonts w:eastAsia="Times New Roman"/>
        </w:rPr>
      </w:pPr>
      <w:r>
        <w:rPr>
          <w:rFonts w:eastAsia="Times New Roman"/>
          <w:highlight w:val="yellow"/>
        </w:rPr>
        <w:t>[Insert Place</w:t>
      </w:r>
      <w:r>
        <w:rPr>
          <w:rFonts w:eastAsia="Times New Roman"/>
        </w:rPr>
        <w:t>], [</w:t>
      </w:r>
      <w:r>
        <w:rPr>
          <w:rFonts w:eastAsia="Times New Roman"/>
          <w:highlight w:val="yellow"/>
        </w:rPr>
        <w:t>Insert Date</w:t>
      </w:r>
      <w:r>
        <w:rPr>
          <w:rFonts w:eastAsia="Times New Roman"/>
        </w:rPr>
        <w:t>]</w:t>
      </w:r>
    </w:p>
    <w:p w:rsidRPr="006C43AC" w:rsidR="00CC1967" w:rsidP="00CC1967" w:rsidRDefault="00CC1967" w14:paraId="49E6B38A" w14:textId="77777777">
      <w:pPr>
        <w:jc w:val="left"/>
        <w:rPr>
          <w:rFonts w:eastAsia="Times New Roman"/>
        </w:rPr>
      </w:pPr>
    </w:p>
    <w:p w:rsidRPr="006C43AC" w:rsidR="00CC1967" w:rsidP="00CC1967" w:rsidRDefault="00CC1967" w14:paraId="328299B0" w14:textId="77777777">
      <w:pPr>
        <w:tabs>
          <w:tab w:val="left" w:pos="1440"/>
        </w:tabs>
        <w:jc w:val="left"/>
        <w:rPr>
          <w:rFonts w:eastAsia="Times New Roman"/>
        </w:rPr>
      </w:pPr>
      <w:bookmarkStart w:name="_DV_M782" w:id="579"/>
      <w:bookmarkEnd w:id="579"/>
      <w:r>
        <w:rPr>
          <w:rFonts w:eastAsia="Times New Roman"/>
        </w:rPr>
        <w:t>Amount:</w:t>
      </w:r>
      <w:r>
        <w:rPr>
          <w:rFonts w:eastAsia="Times New Roman"/>
        </w:rPr>
        <w:tab/>
        <w:t>[</w:t>
      </w:r>
      <w:r>
        <w:rPr>
          <w:rFonts w:eastAsia="Times New Roman"/>
          <w:highlight w:val="yellow"/>
        </w:rPr>
        <w:t>Insert Currency</w:t>
      </w:r>
      <w:r>
        <w:rPr>
          <w:rFonts w:eastAsia="Times New Roman"/>
        </w:rPr>
        <w:t>] [</w:t>
      </w:r>
      <w:r>
        <w:rPr>
          <w:rFonts w:eastAsia="Times New Roman"/>
          <w:highlight w:val="yellow"/>
        </w:rPr>
        <w:t>Insert Amount in Numbers</w:t>
      </w:r>
      <w:r>
        <w:rPr>
          <w:rFonts w:eastAsia="Times New Roman"/>
        </w:rPr>
        <w:t>]</w:t>
      </w:r>
    </w:p>
    <w:p w:rsidRPr="006C43AC" w:rsidR="00CC1967" w:rsidP="00CC1967" w:rsidRDefault="00CC1967" w14:paraId="574EC5A2" w14:textId="77777777">
      <w:pPr>
        <w:tabs>
          <w:tab w:val="left" w:pos="720"/>
          <w:tab w:val="left" w:pos="1440"/>
        </w:tabs>
        <w:jc w:val="left"/>
        <w:rPr>
          <w:rFonts w:eastAsia="Times New Roman"/>
        </w:rPr>
      </w:pPr>
      <w:bookmarkStart w:name="_DV_M783" w:id="580"/>
      <w:bookmarkEnd w:id="580"/>
      <w:r>
        <w:rPr>
          <w:rFonts w:eastAsia="Times New Roman"/>
        </w:rPr>
        <w:tab/>
      </w:r>
      <w:r>
        <w:rPr>
          <w:rFonts w:eastAsia="Times New Roman"/>
        </w:rPr>
        <w:tab/>
      </w:r>
      <w:r>
        <w:rPr>
          <w:rFonts w:eastAsia="Times New Roman"/>
        </w:rPr>
        <w:tab/>
        <w:t>[</w:t>
      </w:r>
      <w:r>
        <w:rPr>
          <w:rFonts w:eastAsia="Times New Roman"/>
          <w:highlight w:val="yellow"/>
        </w:rPr>
        <w:t>Insert Amount in Letters</w:t>
      </w:r>
      <w:r>
        <w:rPr>
          <w:rFonts w:eastAsia="Times New Roman"/>
        </w:rPr>
        <w:t>]</w:t>
      </w:r>
    </w:p>
    <w:p w:rsidRPr="006C43AC" w:rsidR="00CC1967" w:rsidP="00CC1967" w:rsidRDefault="00CC1967" w14:paraId="0400C9BF" w14:textId="77777777">
      <w:pPr>
        <w:jc w:val="left"/>
        <w:rPr>
          <w:rFonts w:eastAsia="Times New Roman"/>
        </w:rPr>
      </w:pPr>
    </w:p>
    <w:p w:rsidRPr="006C43AC" w:rsidR="00CC1967" w:rsidP="00CC1967" w:rsidRDefault="00CC1967" w14:paraId="2D485B76" w14:textId="77777777">
      <w:pPr>
        <w:jc w:val="left"/>
        <w:rPr>
          <w:rFonts w:eastAsia="Times New Roman"/>
        </w:rPr>
      </w:pPr>
      <w:bookmarkStart w:name="_DV_M784" w:id="581"/>
      <w:bookmarkEnd w:id="581"/>
      <w:r>
        <w:rPr>
          <w:rFonts w:eastAsia="Times New Roman"/>
        </w:rPr>
        <w:t>Drawn under Irrevocable Standby Letter of Credit No. ___________ of [</w:t>
      </w:r>
      <w:r>
        <w:rPr>
          <w:rFonts w:eastAsia="Times New Roman"/>
          <w:highlight w:val="yellow"/>
        </w:rPr>
        <w:t>Insert Name of Issuing Bank</w:t>
      </w:r>
      <w:r>
        <w:rPr>
          <w:rFonts w:eastAsia="Times New Roman"/>
        </w:rPr>
        <w:t>]</w:t>
      </w:r>
    </w:p>
    <w:p w:rsidRPr="006C43AC" w:rsidR="00CC1967" w:rsidP="00CC1967" w:rsidRDefault="00CC1967" w14:paraId="4BE984C0" w14:textId="77777777">
      <w:pPr>
        <w:jc w:val="left"/>
        <w:rPr>
          <w:rFonts w:eastAsia="Times New Roman"/>
        </w:rPr>
      </w:pPr>
    </w:p>
    <w:p w:rsidRPr="006C43AC" w:rsidR="00CC1967" w:rsidP="00CC1967" w:rsidRDefault="00CC1967" w14:paraId="58968D25" w14:textId="77777777">
      <w:pPr>
        <w:jc w:val="left"/>
        <w:rPr>
          <w:rFonts w:eastAsia="Times New Roman"/>
        </w:rPr>
      </w:pPr>
      <w:bookmarkStart w:name="_DV_M785" w:id="582"/>
      <w:bookmarkEnd w:id="582"/>
      <w:r>
        <w:rPr>
          <w:rFonts w:eastAsia="Times New Roman"/>
        </w:rPr>
        <w:t>At Sight</w:t>
      </w:r>
    </w:p>
    <w:p w:rsidRPr="006C43AC" w:rsidR="00CC1967" w:rsidP="00CC1967" w:rsidRDefault="00CC1967" w14:paraId="22B1A4A7" w14:textId="77777777">
      <w:pPr>
        <w:jc w:val="left"/>
        <w:rPr>
          <w:rFonts w:eastAsia="Times New Roman"/>
        </w:rPr>
      </w:pPr>
    </w:p>
    <w:p w:rsidRPr="006C43AC" w:rsidR="00CC1967" w:rsidP="00CC1967" w:rsidRDefault="00CC1967" w14:paraId="140656D7" w14:textId="77777777">
      <w:pPr>
        <w:jc w:val="left"/>
        <w:rPr>
          <w:rFonts w:eastAsia="Times New Roman"/>
        </w:rPr>
      </w:pPr>
      <w:bookmarkStart w:name="_DV_M786" w:id="583"/>
      <w:bookmarkEnd w:id="583"/>
      <w:r>
        <w:rPr>
          <w:rFonts w:eastAsia="Times New Roman"/>
        </w:rPr>
        <w:t>Pay to the Order of [</w:t>
      </w:r>
      <w:r>
        <w:rPr>
          <w:rFonts w:eastAsia="Times New Roman"/>
          <w:highlight w:val="yellow"/>
        </w:rPr>
        <w:t>Name of Beneficiary</w:t>
      </w:r>
      <w:r>
        <w:rPr>
          <w:rFonts w:eastAsia="Times New Roman"/>
        </w:rPr>
        <w:t>]</w:t>
      </w:r>
    </w:p>
    <w:p w:rsidRPr="006C43AC" w:rsidR="00CC1967" w:rsidP="00CC1967" w:rsidRDefault="00CC1967" w14:paraId="523E241C" w14:textId="77777777">
      <w:pPr>
        <w:jc w:val="left"/>
        <w:rPr>
          <w:rFonts w:eastAsia="Times New Roman"/>
        </w:rPr>
      </w:pPr>
    </w:p>
    <w:p w:rsidRPr="006C43AC" w:rsidR="00CC1967" w:rsidP="00CC1967" w:rsidRDefault="00CC1967" w14:paraId="34FC343E" w14:textId="77777777">
      <w:pPr>
        <w:jc w:val="left"/>
        <w:rPr>
          <w:rFonts w:eastAsia="Times New Roman"/>
        </w:rPr>
      </w:pPr>
      <w:bookmarkStart w:name="_DV_M787" w:id="584"/>
      <w:bookmarkEnd w:id="584"/>
      <w:r>
        <w:rPr>
          <w:rFonts w:eastAsia="Times New Roman"/>
        </w:rPr>
        <w:t>In reference to:</w:t>
      </w:r>
      <w:r>
        <w:rPr>
          <w:rFonts w:eastAsia="Times New Roman"/>
        </w:rPr>
        <w:tab/>
        <w:t>Irrevocable Standby Letter of Credit No. ____________, dated ________.</w:t>
      </w:r>
    </w:p>
    <w:p w:rsidRPr="006C43AC" w:rsidR="00CC1967" w:rsidP="00CC1967" w:rsidRDefault="00CC1967" w14:paraId="4A6D01D8" w14:textId="77777777">
      <w:pPr>
        <w:jc w:val="left"/>
        <w:rPr>
          <w:rFonts w:eastAsia="Times New Roman"/>
        </w:rPr>
      </w:pPr>
    </w:p>
    <w:p w:rsidRPr="006C43AC" w:rsidR="00CC1967" w:rsidP="00CC1967" w:rsidRDefault="00CC1967" w14:paraId="52EC94B5" w14:textId="77777777">
      <w:pPr>
        <w:jc w:val="left"/>
        <w:rPr>
          <w:rFonts w:eastAsia="Times New Roman"/>
        </w:rPr>
      </w:pPr>
    </w:p>
    <w:p w:rsidRPr="006C43AC" w:rsidR="00CC1967" w:rsidP="00CC1967" w:rsidRDefault="00CC1967" w14:paraId="5911CA68" w14:textId="77777777">
      <w:pPr>
        <w:tabs>
          <w:tab w:val="left" w:pos="720"/>
        </w:tabs>
        <w:jc w:val="left"/>
        <w:rPr>
          <w:rFonts w:eastAsia="Times New Roman"/>
        </w:rPr>
      </w:pPr>
      <w:bookmarkStart w:name="_DV_M788" w:id="585"/>
      <w:bookmarkEnd w:id="585"/>
      <w:r>
        <w:rPr>
          <w:rFonts w:eastAsia="Times New Roman"/>
        </w:rPr>
        <w:t>To:</w:t>
      </w:r>
      <w:r>
        <w:rPr>
          <w:rFonts w:eastAsia="Times New Roman"/>
        </w:rPr>
        <w:tab/>
        <w:t>[</w:t>
      </w:r>
      <w:r>
        <w:rPr>
          <w:rFonts w:eastAsia="Times New Roman"/>
          <w:highlight w:val="yellow"/>
        </w:rPr>
        <w:t>Insert Name of Issuing Bank</w:t>
      </w:r>
      <w:r>
        <w:rPr>
          <w:rFonts w:eastAsia="Times New Roman"/>
        </w:rPr>
        <w:t>]</w:t>
      </w:r>
    </w:p>
    <w:p w:rsidRPr="006C43AC" w:rsidR="00CC1967" w:rsidP="00CC1967" w:rsidRDefault="00CC1967" w14:paraId="1A8ECBC7" w14:textId="77777777">
      <w:pPr>
        <w:tabs>
          <w:tab w:val="left" w:pos="720"/>
        </w:tabs>
        <w:jc w:val="left"/>
        <w:rPr>
          <w:rFonts w:eastAsia="Times New Roman"/>
        </w:rPr>
      </w:pPr>
      <w:r>
        <w:rPr>
          <w:rFonts w:eastAsia="Times New Roman"/>
        </w:rPr>
        <w:tab/>
        <w:t>[</w:t>
      </w:r>
      <w:r>
        <w:rPr>
          <w:rFonts w:eastAsia="Times New Roman"/>
          <w:highlight w:val="yellow"/>
        </w:rPr>
        <w:t>Insert Address</w:t>
      </w:r>
      <w:r>
        <w:rPr>
          <w:rFonts w:eastAsia="Times New Roman"/>
        </w:rPr>
        <w:t>]</w:t>
      </w:r>
    </w:p>
    <w:p w:rsidRPr="006C43AC" w:rsidR="00CC1967" w:rsidP="00CC1967" w:rsidRDefault="00CC1967" w14:paraId="732C5C85" w14:textId="77777777">
      <w:pPr>
        <w:jc w:val="left"/>
        <w:rPr>
          <w:rFonts w:eastAsia="Times New Roman"/>
        </w:rPr>
      </w:pPr>
    </w:p>
    <w:p w:rsidRPr="006C43AC" w:rsidR="00CC1967" w:rsidP="00CC1967" w:rsidRDefault="00CC1967" w14:paraId="07E6423F" w14:textId="77777777">
      <w:pPr>
        <w:ind w:left="5040"/>
        <w:jc w:val="left"/>
        <w:rPr>
          <w:rFonts w:eastAsia="Times New Roman"/>
        </w:rPr>
      </w:pPr>
      <w:r>
        <w:rPr>
          <w:rFonts w:eastAsia="Times New Roman"/>
        </w:rPr>
        <w:t>[</w:t>
      </w:r>
      <w:r>
        <w:rPr>
          <w:rFonts w:eastAsia="Times New Roman"/>
          <w:highlight w:val="yellow"/>
        </w:rPr>
        <w:t>BENEFICIARY</w:t>
      </w:r>
      <w:r>
        <w:rPr>
          <w:rFonts w:eastAsia="Times New Roman"/>
        </w:rPr>
        <w:t>]</w:t>
      </w:r>
    </w:p>
    <w:p w:rsidRPr="006C43AC" w:rsidR="00CC1967" w:rsidP="00CC1967" w:rsidRDefault="00CC1967" w14:paraId="27881BF7" w14:textId="77777777">
      <w:pPr>
        <w:ind w:left="5040"/>
        <w:jc w:val="left"/>
        <w:rPr>
          <w:rFonts w:eastAsia="Times New Roman"/>
        </w:rPr>
      </w:pPr>
    </w:p>
    <w:p w:rsidRPr="006C43AC" w:rsidR="00CC1967" w:rsidP="00CC1967" w:rsidRDefault="00CC1967" w14:paraId="2BA5AB99" w14:textId="77777777">
      <w:pPr>
        <w:ind w:left="5040"/>
        <w:jc w:val="left"/>
        <w:rPr>
          <w:rFonts w:eastAsia="Times New Roman"/>
        </w:rPr>
      </w:pPr>
    </w:p>
    <w:p w:rsidRPr="006C43AC" w:rsidR="00CC1967" w:rsidP="00CC1967" w:rsidRDefault="00CC1967" w14:paraId="0DB4D065" w14:textId="77777777">
      <w:pPr>
        <w:ind w:left="5040"/>
        <w:jc w:val="left"/>
        <w:rPr>
          <w:rFonts w:eastAsia="Times New Roman"/>
        </w:rPr>
      </w:pPr>
    </w:p>
    <w:p w:rsidRPr="006C43AC" w:rsidR="00CC1967" w:rsidP="00CC1967" w:rsidRDefault="00CC1967" w14:paraId="6CAB74ED" w14:textId="77777777">
      <w:pPr>
        <w:ind w:left="5040"/>
        <w:jc w:val="left"/>
        <w:rPr>
          <w:rFonts w:eastAsia="Times New Roman"/>
        </w:rPr>
      </w:pPr>
    </w:p>
    <w:p w:rsidRPr="006C43AC" w:rsidR="00CC1967" w:rsidP="00CC1967" w:rsidRDefault="00CC1967" w14:paraId="08B197D2" w14:textId="77777777">
      <w:pPr>
        <w:tabs>
          <w:tab w:val="right" w:pos="9360"/>
        </w:tabs>
        <w:ind w:left="5040"/>
        <w:jc w:val="left"/>
        <w:rPr>
          <w:rFonts w:eastAsia="Times New Roman"/>
        </w:rPr>
      </w:pPr>
      <w:proofErr w:type="gramStart"/>
      <w:r>
        <w:rPr>
          <w:rFonts w:eastAsia="Times New Roman"/>
        </w:rPr>
        <w:t>By:</w:t>
      </w:r>
      <w:proofErr w:type="gramEnd"/>
      <w:r>
        <w:rPr>
          <w:rFonts w:eastAsia="Times New Roman"/>
          <w:u w:val="single"/>
        </w:rPr>
        <w:tab/>
      </w:r>
    </w:p>
    <w:p w:rsidRPr="006C43AC" w:rsidR="00CC1967" w:rsidP="00CC1967" w:rsidRDefault="00CC1967" w14:paraId="201A002C" w14:textId="77777777">
      <w:pPr>
        <w:tabs>
          <w:tab w:val="right" w:pos="9360"/>
        </w:tabs>
        <w:ind w:left="5040"/>
        <w:jc w:val="left"/>
        <w:rPr>
          <w:rFonts w:eastAsia="Times New Roman"/>
        </w:rPr>
      </w:pPr>
      <w:r>
        <w:rPr>
          <w:rFonts w:eastAsia="Times New Roman"/>
        </w:rPr>
        <w:t xml:space="preserve"> </w:t>
      </w:r>
    </w:p>
    <w:p w:rsidRPr="006C43AC" w:rsidR="00CC1967" w:rsidP="00CC1967" w:rsidRDefault="00CC1967" w14:paraId="20856A42" w14:textId="77777777">
      <w:pPr>
        <w:tabs>
          <w:tab w:val="right" w:pos="9360"/>
        </w:tabs>
        <w:ind w:left="5040"/>
        <w:jc w:val="left"/>
        <w:rPr>
          <w:rFonts w:eastAsia="Times New Roman"/>
        </w:rPr>
      </w:pPr>
      <w:r>
        <w:rPr>
          <w:rFonts w:eastAsia="Times New Roman"/>
        </w:rPr>
        <w:t>Title:</w:t>
      </w:r>
      <w:r>
        <w:rPr>
          <w:rFonts w:eastAsia="Times New Roman"/>
          <w:u w:val="single"/>
        </w:rPr>
        <w:tab/>
      </w:r>
    </w:p>
    <w:p w:rsidRPr="006C43AC" w:rsidR="00CC1967" w:rsidP="00CC1967" w:rsidRDefault="00CC1967" w14:paraId="394A2A63" w14:textId="77777777">
      <w:pPr>
        <w:rPr>
          <w:rFonts w:eastAsia="Times New Roman"/>
          <w:spacing w:val="-4"/>
        </w:rPr>
        <w:sectPr w:rsidRPr="006C43AC" w:rsidR="00CC1967" w:rsidSect="006B1C54">
          <w:headerReference w:type="even" r:id="rId49"/>
          <w:headerReference w:type="default" r:id="rId50"/>
          <w:footerReference w:type="default" r:id="rId51"/>
          <w:headerReference w:type="first" r:id="rId52"/>
          <w:pgSz w:w="12240" w:h="15840" w:code="1"/>
          <w:pgMar w:top="1080" w:right="1008" w:bottom="936" w:left="1224" w:header="432" w:footer="576" w:gutter="0"/>
          <w:cols w:space="720"/>
          <w:noEndnote/>
        </w:sectPr>
      </w:pPr>
    </w:p>
    <w:p w:rsidRPr="00BE07C6" w:rsidR="00CC1967" w:rsidP="00CC1967" w:rsidRDefault="00CC1967" w14:paraId="6D48EB95" w14:textId="77777777">
      <w:pPr>
        <w:spacing w:after="240"/>
        <w:jc w:val="center"/>
        <w:outlineLvl w:val="3"/>
        <w:rPr>
          <w:rFonts w:ascii="Arial Bold" w:hAnsi="Arial Bold" w:eastAsia="Calibri"/>
          <w:b/>
          <w:caps/>
        </w:rPr>
      </w:pPr>
      <w:r>
        <w:rPr>
          <w:rFonts w:ascii="Arial Bold" w:hAnsi="Arial Bold" w:eastAsia="Calibri"/>
          <w:b/>
          <w:caps/>
        </w:rPr>
        <w:lastRenderedPageBreak/>
        <w:t>Annex 2</w:t>
      </w:r>
    </w:p>
    <w:p w:rsidRPr="00BE07C6" w:rsidR="00CC1967" w:rsidP="00CC1967" w:rsidRDefault="00CC1967" w14:paraId="2182A83E" w14:textId="77777777">
      <w:pPr>
        <w:spacing w:after="240"/>
        <w:jc w:val="center"/>
        <w:outlineLvl w:val="3"/>
        <w:rPr>
          <w:rFonts w:ascii="Arial Bold" w:hAnsi="Arial Bold" w:eastAsia="Calibri"/>
          <w:b/>
          <w:caps/>
        </w:rPr>
      </w:pPr>
      <w:r>
        <w:rPr>
          <w:rFonts w:ascii="Arial Bold" w:hAnsi="Arial Bold" w:eastAsia="Calibri"/>
          <w:b/>
          <w:caps/>
        </w:rPr>
        <w:t>Form of Certificate</w:t>
      </w:r>
    </w:p>
    <w:p w:rsidRPr="006C43AC" w:rsidR="00CC1967" w:rsidP="00CC1967" w:rsidRDefault="00CC1967" w14:paraId="2C7D28C4" w14:textId="77777777">
      <w:pPr>
        <w:ind w:left="720" w:hanging="720"/>
        <w:jc w:val="left"/>
        <w:rPr>
          <w:rFonts w:eastAsia="Times New Roman"/>
        </w:rPr>
      </w:pPr>
    </w:p>
    <w:p w:rsidRPr="006C43AC" w:rsidR="00CC1967" w:rsidP="00CC1967" w:rsidRDefault="00CC1967" w14:paraId="5891C3AA" w14:textId="77777777">
      <w:pPr>
        <w:ind w:left="720" w:hanging="720"/>
        <w:rPr>
          <w:rFonts w:eastAsia="Times New Roman"/>
        </w:rPr>
      </w:pPr>
      <w:r>
        <w:rPr>
          <w:rFonts w:eastAsia="Times New Roman"/>
        </w:rPr>
        <w:t>Re:</w:t>
      </w:r>
      <w:r>
        <w:rPr>
          <w:rFonts w:eastAsia="Times New Roman"/>
        </w:rPr>
        <w:tab/>
        <w:t>[Insert Name of Agreement] dated _________, 20__ (“</w:t>
      </w:r>
      <w:r>
        <w:rPr>
          <w:rFonts w:eastAsia="Times New Roman"/>
          <w:b/>
        </w:rPr>
        <w:t>Agreement</w:t>
      </w:r>
      <w:r>
        <w:rPr>
          <w:rFonts w:eastAsia="Times New Roman"/>
        </w:rPr>
        <w:t>”) between [Name of Account Party] (“[</w:t>
      </w:r>
      <w:r>
        <w:rPr>
          <w:rFonts w:eastAsia="Times New Roman"/>
          <w:b/>
          <w:highlight w:val="yellow"/>
        </w:rPr>
        <w:t>Account Party</w:t>
      </w:r>
      <w:r>
        <w:rPr>
          <w:rFonts w:eastAsia="Times New Roman"/>
        </w:rPr>
        <w:t>]”) and [</w:t>
      </w:r>
      <w:r>
        <w:rPr>
          <w:rFonts w:eastAsia="Times New Roman"/>
          <w:highlight w:val="yellow"/>
        </w:rPr>
        <w:t>Name of Beneficiary</w:t>
      </w:r>
      <w:r>
        <w:rPr>
          <w:rFonts w:eastAsia="Times New Roman"/>
        </w:rPr>
        <w:t>] (“[</w:t>
      </w:r>
      <w:r>
        <w:rPr>
          <w:rFonts w:eastAsia="Times New Roman"/>
          <w:b/>
          <w:highlight w:val="yellow"/>
        </w:rPr>
        <w:t>Beneficiary</w:t>
      </w:r>
      <w:r>
        <w:rPr>
          <w:rFonts w:eastAsia="Times New Roman"/>
        </w:rPr>
        <w:t>]”).</w:t>
      </w:r>
    </w:p>
    <w:p w:rsidRPr="006C43AC" w:rsidR="00CC1967" w:rsidP="00CC1967" w:rsidRDefault="00CC1967" w14:paraId="6B0C3024" w14:textId="77777777">
      <w:pPr>
        <w:ind w:left="720" w:hanging="720"/>
        <w:rPr>
          <w:rFonts w:eastAsia="Times New Roman"/>
        </w:rPr>
      </w:pPr>
    </w:p>
    <w:p w:rsidRPr="006C43AC" w:rsidR="00CC1967" w:rsidP="00CC1967" w:rsidRDefault="00CC1967" w14:paraId="4D9FB7AF" w14:textId="77777777">
      <w:pPr>
        <w:tabs>
          <w:tab w:val="left" w:pos="720"/>
        </w:tabs>
        <w:ind w:firstLine="14"/>
        <w:rPr>
          <w:rFonts w:ascii="Calibri" w:hAnsi="Calibri" w:eastAsia="Times New Roman"/>
          <w:spacing w:val="-4"/>
        </w:rPr>
      </w:pPr>
      <w:r>
        <w:rPr>
          <w:rFonts w:eastAsia="Times New Roman"/>
          <w:spacing w:val="-4"/>
        </w:rPr>
        <w:tab/>
        <w:t>The undersigned, an officer or authorized representative of [Beneficiary], hereby certifies to [ISSUING BANK] (“</w:t>
      </w:r>
      <w:r>
        <w:rPr>
          <w:rFonts w:eastAsia="Times New Roman"/>
          <w:b/>
          <w:spacing w:val="-4"/>
        </w:rPr>
        <w:t>Bank</w:t>
      </w:r>
      <w:r>
        <w:rPr>
          <w:rFonts w:eastAsia="Times New Roman"/>
          <w:spacing w:val="-4"/>
        </w:rPr>
        <w:t>”) with reference to irrevocable standby letter of credit no. (“</w:t>
      </w:r>
      <w:r>
        <w:rPr>
          <w:rFonts w:eastAsia="Times New Roman"/>
          <w:b/>
          <w:spacing w:val="-4"/>
        </w:rPr>
        <w:t>Standby Letter of Credit</w:t>
      </w:r>
      <w:r>
        <w:rPr>
          <w:rFonts w:eastAsia="Times New Roman"/>
          <w:spacing w:val="-4"/>
        </w:rPr>
        <w:t>”), issued by the Bank for the account of [</w:t>
      </w:r>
      <w:r>
        <w:rPr>
          <w:rFonts w:eastAsia="Times New Roman"/>
          <w:spacing w:val="-4"/>
          <w:highlight w:val="yellow"/>
        </w:rPr>
        <w:t>Account Party</w:t>
      </w:r>
      <w:r>
        <w:rPr>
          <w:rFonts w:eastAsia="Times New Roman"/>
          <w:spacing w:val="-4"/>
        </w:rPr>
        <w:t>] in favor of [</w:t>
      </w:r>
      <w:r>
        <w:rPr>
          <w:rFonts w:eastAsia="Times New Roman"/>
          <w:spacing w:val="-4"/>
          <w:highlight w:val="yellow"/>
        </w:rPr>
        <w:t>Beneficiary</w:t>
      </w:r>
      <w:r>
        <w:rPr>
          <w:rFonts w:eastAsia="Times New Roman"/>
          <w:spacing w:val="-4"/>
        </w:rPr>
        <w:t>] that:</w:t>
      </w:r>
    </w:p>
    <w:p w:rsidRPr="006C43AC" w:rsidR="00CC1967" w:rsidP="00CC1967" w:rsidRDefault="00CC1967" w14:paraId="03568FEA" w14:textId="77777777">
      <w:pPr>
        <w:tabs>
          <w:tab w:val="left" w:pos="720"/>
          <w:tab w:val="left" w:pos="1440"/>
        </w:tabs>
        <w:rPr>
          <w:rFonts w:ascii="Calibri" w:hAnsi="Calibri" w:eastAsia="Times New Roman"/>
          <w:spacing w:val="-4"/>
        </w:rPr>
      </w:pPr>
      <w:r>
        <w:rPr>
          <w:rFonts w:eastAsia="Times New Roman"/>
          <w:spacing w:val="-4"/>
        </w:rPr>
        <w:tab/>
        <w:t>(1)</w:t>
      </w:r>
      <w:r>
        <w:rPr>
          <w:rFonts w:eastAsia="Times New Roman"/>
          <w:spacing w:val="-4"/>
        </w:rPr>
        <w:tab/>
        <w:t>(Insert one of the following, as applicable)</w:t>
      </w:r>
    </w:p>
    <w:p w:rsidRPr="006C43AC" w:rsidR="00CC1967" w:rsidP="00CC1967" w:rsidRDefault="00CC1967" w14:paraId="2ADBC798" w14:textId="77777777">
      <w:pPr>
        <w:tabs>
          <w:tab w:val="left" w:pos="720"/>
        </w:tabs>
        <w:ind w:firstLine="14"/>
        <w:rPr>
          <w:rFonts w:ascii="Calibri" w:hAnsi="Calibri" w:eastAsia="Times New Roman"/>
          <w:spacing w:val="-4"/>
        </w:rPr>
      </w:pPr>
      <w:r>
        <w:rPr>
          <w:rFonts w:eastAsia="Times New Roman"/>
          <w:spacing w:val="-4"/>
        </w:rPr>
        <w:tab/>
        <w:t>Under the Agreement, Beneficiary is entitled to demand payment under the Standby Letter of Credit in the amount of the sight draft accompanying this certificate.</w:t>
      </w:r>
    </w:p>
    <w:p w:rsidRPr="006C43AC" w:rsidR="00CC1967" w:rsidP="00CC1967" w:rsidRDefault="00CC1967" w14:paraId="4C84E5EA" w14:textId="77777777">
      <w:pPr>
        <w:rPr>
          <w:rFonts w:ascii="Calibri" w:hAnsi="Calibri" w:eastAsia="Times New Roman"/>
          <w:spacing w:val="-4"/>
        </w:rPr>
      </w:pPr>
      <w:r>
        <w:rPr>
          <w:rFonts w:eastAsia="Times New Roman"/>
          <w:spacing w:val="-4"/>
        </w:rPr>
        <w:t>or</w:t>
      </w:r>
    </w:p>
    <w:p w:rsidRPr="006C43AC" w:rsidR="00CC1967" w:rsidP="00CC1967" w:rsidRDefault="00CC1967" w14:paraId="217517BA" w14:textId="77777777">
      <w:pPr>
        <w:tabs>
          <w:tab w:val="left" w:pos="720"/>
        </w:tabs>
        <w:rPr>
          <w:rFonts w:ascii="Calibri" w:hAnsi="Calibri" w:eastAsia="Times New Roman"/>
          <w:spacing w:val="-4"/>
        </w:rPr>
      </w:pPr>
      <w:bookmarkStart w:name="_DV_M801" w:id="586"/>
      <w:bookmarkEnd w:id="586"/>
      <w:r>
        <w:rPr>
          <w:rFonts w:eastAsia="Times New Roman"/>
          <w:spacing w:val="-4"/>
        </w:rPr>
        <w:tab/>
      </w:r>
      <w:r>
        <w:rPr>
          <w:rFonts w:eastAsia="Times New Roman"/>
          <w:spacing w:val="-4"/>
          <w:highlight w:val="yellow"/>
        </w:rPr>
        <w:t>[Beneficiary]</w:t>
      </w:r>
      <w:r>
        <w:rPr>
          <w:rFonts w:eastAsia="Times New Roman"/>
          <w:spacing w:val="-4"/>
        </w:rPr>
        <w:t xml:space="preserve"> has received written notice from the Bank in accordance with the terms of the Standby Letter of Credit that the Bank has elected not to extend the Expiry Date of the Standby Letter of Credit for an additional period past its then Expiry Date and the Account Party has failed to deliver a substitute letter of credit in accordance with the terms of the Agreement.</w:t>
      </w:r>
    </w:p>
    <w:p w:rsidRPr="006C43AC" w:rsidR="00CC1967" w:rsidP="00CC1967" w:rsidRDefault="00CC1967" w14:paraId="241C0C9E" w14:textId="77777777">
      <w:pPr>
        <w:tabs>
          <w:tab w:val="left" w:pos="720"/>
          <w:tab w:val="left" w:pos="1440"/>
        </w:tabs>
        <w:ind w:firstLine="14"/>
        <w:rPr>
          <w:rFonts w:ascii="Calibri" w:hAnsi="Calibri" w:eastAsia="Times New Roman"/>
          <w:spacing w:val="-4"/>
        </w:rPr>
      </w:pPr>
      <w:bookmarkStart w:name="_DV_M802" w:id="587"/>
      <w:bookmarkEnd w:id="587"/>
      <w:r>
        <w:rPr>
          <w:rFonts w:eastAsia="Times New Roman"/>
          <w:spacing w:val="-4"/>
        </w:rPr>
        <w:tab/>
        <w:t>(2)</w:t>
      </w:r>
      <w:r>
        <w:rPr>
          <w:rFonts w:eastAsia="Times New Roman"/>
          <w:spacing w:val="-4"/>
        </w:rPr>
        <w:tab/>
        <w:t>The undersigned is an officer or authorized representative of [Beneficiary] and is authorized to execute and deliver this certificate and to draw upon the Standby Letter of Credit.</w:t>
      </w:r>
    </w:p>
    <w:p w:rsidRPr="006C43AC" w:rsidR="00CC1967" w:rsidP="00CC1967" w:rsidRDefault="00CC1967" w14:paraId="631CDF44" w14:textId="77777777">
      <w:pPr>
        <w:tabs>
          <w:tab w:val="left" w:pos="720"/>
        </w:tabs>
        <w:ind w:firstLine="14"/>
        <w:rPr>
          <w:rFonts w:ascii="Calibri" w:hAnsi="Calibri" w:eastAsia="Times New Roman"/>
          <w:spacing w:val="-4"/>
        </w:rPr>
      </w:pPr>
      <w:bookmarkStart w:name="_DV_M803" w:id="588"/>
      <w:bookmarkEnd w:id="588"/>
      <w:r>
        <w:rPr>
          <w:rFonts w:eastAsia="Times New Roman"/>
          <w:spacing w:val="-4"/>
        </w:rPr>
        <w:tab/>
        <w:t>IN WITNESS WHEREOF, the undersigned has executed and delivered this Certificate as of this __ day of ________ , 20__.</w:t>
      </w:r>
    </w:p>
    <w:p w:rsidRPr="006C43AC" w:rsidR="00CC1967" w:rsidP="00CC1967" w:rsidRDefault="00CC1967" w14:paraId="65AE13AF" w14:textId="77777777">
      <w:pPr>
        <w:ind w:left="5040"/>
        <w:jc w:val="left"/>
        <w:rPr>
          <w:rFonts w:eastAsia="Times New Roman"/>
        </w:rPr>
      </w:pPr>
      <w:bookmarkStart w:name="_DV_M804" w:id="589"/>
      <w:bookmarkEnd w:id="589"/>
      <w:r>
        <w:rPr>
          <w:rFonts w:eastAsia="Times New Roman"/>
        </w:rPr>
        <w:t>[</w:t>
      </w:r>
      <w:r>
        <w:rPr>
          <w:rFonts w:eastAsia="Times New Roman"/>
          <w:highlight w:val="yellow"/>
        </w:rPr>
        <w:t>BENEFICIARY</w:t>
      </w:r>
      <w:r>
        <w:rPr>
          <w:rFonts w:eastAsia="Times New Roman"/>
        </w:rPr>
        <w:t>]</w:t>
      </w:r>
    </w:p>
    <w:p w:rsidRPr="006C43AC" w:rsidR="00CC1967" w:rsidP="00CC1967" w:rsidRDefault="00CC1967" w14:paraId="62361490" w14:textId="77777777">
      <w:pPr>
        <w:ind w:left="5040"/>
        <w:jc w:val="left"/>
        <w:rPr>
          <w:rFonts w:eastAsia="Times New Roman"/>
        </w:rPr>
      </w:pPr>
    </w:p>
    <w:p w:rsidRPr="006C43AC" w:rsidR="00CC1967" w:rsidP="00CC1967" w:rsidRDefault="00CC1967" w14:paraId="4FBFB90B" w14:textId="77777777">
      <w:pPr>
        <w:ind w:left="5040"/>
        <w:jc w:val="left"/>
        <w:rPr>
          <w:rFonts w:eastAsia="Times New Roman"/>
        </w:rPr>
      </w:pPr>
    </w:p>
    <w:p w:rsidRPr="006C43AC" w:rsidR="00CC1967" w:rsidP="00CC1967" w:rsidRDefault="00CC1967" w14:paraId="092AC7F2" w14:textId="77777777">
      <w:pPr>
        <w:ind w:left="5040"/>
        <w:jc w:val="left"/>
        <w:rPr>
          <w:rFonts w:eastAsia="Times New Roman"/>
        </w:rPr>
      </w:pPr>
    </w:p>
    <w:p w:rsidRPr="006C43AC" w:rsidR="00CC1967" w:rsidP="00CC1967" w:rsidRDefault="00CC1967" w14:paraId="49454670" w14:textId="77777777">
      <w:pPr>
        <w:tabs>
          <w:tab w:val="right" w:pos="9360"/>
        </w:tabs>
        <w:ind w:left="5040"/>
        <w:jc w:val="left"/>
        <w:rPr>
          <w:rFonts w:eastAsia="Times New Roman"/>
        </w:rPr>
      </w:pPr>
      <w:bookmarkStart w:name="_DV_M805" w:id="590"/>
      <w:bookmarkEnd w:id="590"/>
      <w:proofErr w:type="gramStart"/>
      <w:r>
        <w:rPr>
          <w:rFonts w:eastAsia="Times New Roman"/>
        </w:rPr>
        <w:t>By:</w:t>
      </w:r>
      <w:proofErr w:type="gramEnd"/>
      <w:r>
        <w:rPr>
          <w:rFonts w:eastAsia="Times New Roman"/>
          <w:u w:val="single"/>
        </w:rPr>
        <w:tab/>
      </w:r>
    </w:p>
    <w:p w:rsidRPr="006C43AC" w:rsidR="00CC1967" w:rsidP="00CC1967" w:rsidRDefault="00CC1967" w14:paraId="01AC0105" w14:textId="77777777">
      <w:pPr>
        <w:tabs>
          <w:tab w:val="right" w:pos="9360"/>
        </w:tabs>
        <w:ind w:left="5040"/>
        <w:jc w:val="left"/>
        <w:rPr>
          <w:rFonts w:eastAsia="Times New Roman"/>
        </w:rPr>
      </w:pPr>
      <w:bookmarkStart w:name="_DV_M806" w:id="591"/>
      <w:bookmarkEnd w:id="591"/>
      <w:r>
        <w:rPr>
          <w:rFonts w:eastAsia="Times New Roman"/>
        </w:rPr>
        <w:t xml:space="preserve"> </w:t>
      </w:r>
    </w:p>
    <w:p w:rsidRPr="006C43AC" w:rsidR="00CC1967" w:rsidP="00CC1967" w:rsidRDefault="00CC1967" w14:paraId="3EAFD77C" w14:textId="77777777">
      <w:pPr>
        <w:tabs>
          <w:tab w:val="right" w:pos="9360"/>
        </w:tabs>
        <w:ind w:left="5040"/>
        <w:jc w:val="left"/>
        <w:rPr>
          <w:rFonts w:eastAsia="Times New Roman"/>
        </w:rPr>
      </w:pPr>
      <w:bookmarkStart w:name="_DV_M807" w:id="592"/>
      <w:bookmarkEnd w:id="592"/>
      <w:r>
        <w:rPr>
          <w:rFonts w:eastAsia="Times New Roman"/>
        </w:rPr>
        <w:t>Title:</w:t>
      </w:r>
      <w:r>
        <w:rPr>
          <w:rFonts w:eastAsia="Times New Roman"/>
          <w:u w:val="single"/>
        </w:rPr>
        <w:tab/>
      </w:r>
    </w:p>
    <w:p w:rsidRPr="006C43AC" w:rsidR="00CC1967" w:rsidP="00CC1967" w:rsidRDefault="00CC1967" w14:paraId="7AEA9280" w14:textId="77777777">
      <w:pPr>
        <w:ind w:left="5040"/>
        <w:jc w:val="left"/>
        <w:rPr>
          <w:rFonts w:eastAsia="Times New Roman"/>
        </w:rPr>
      </w:pPr>
    </w:p>
    <w:p w:rsidRPr="006C43AC" w:rsidR="00CC1967" w:rsidP="00CC1967" w:rsidRDefault="00CC1967" w14:paraId="14034345" w14:textId="77777777">
      <w:pPr>
        <w:ind w:left="5040"/>
        <w:jc w:val="left"/>
        <w:rPr>
          <w:rFonts w:eastAsia="Times New Roman"/>
        </w:rPr>
      </w:pPr>
    </w:p>
    <w:p w:rsidRPr="006C43AC" w:rsidR="00CC1967" w:rsidP="00CC1967" w:rsidRDefault="00CC1967" w14:paraId="5C3870D3" w14:textId="77777777">
      <w:pPr>
        <w:ind w:left="5040"/>
        <w:jc w:val="left"/>
        <w:rPr>
          <w:rFonts w:eastAsia="Times New Roman"/>
        </w:rPr>
      </w:pPr>
    </w:p>
    <w:p w:rsidR="00CC1967" w:rsidP="00CC1967" w:rsidRDefault="00CC1967" w14:paraId="7C4D48C8" w14:textId="77777777">
      <w:pPr>
        <w:spacing w:after="240"/>
        <w:rPr>
          <w:rFonts w:eastAsia="Times New Roman"/>
        </w:rPr>
      </w:pPr>
      <w:bookmarkStart w:name="_DV_M808" w:id="593"/>
      <w:bookmarkEnd w:id="593"/>
      <w:r>
        <w:rPr>
          <w:rFonts w:eastAsia="Times New Roman"/>
        </w:rPr>
        <w:br w:type="page"/>
      </w:r>
    </w:p>
    <w:p w:rsidRPr="00BE07C6" w:rsidR="00CC1967" w:rsidP="00CC1967" w:rsidRDefault="00CC1967" w14:paraId="3BEE23B5" w14:textId="77777777">
      <w:pPr>
        <w:spacing w:after="240"/>
        <w:jc w:val="center"/>
        <w:outlineLvl w:val="3"/>
        <w:rPr>
          <w:rFonts w:ascii="Arial Bold" w:hAnsi="Arial Bold" w:eastAsia="Calibri"/>
          <w:b/>
          <w:caps/>
        </w:rPr>
      </w:pPr>
      <w:r>
        <w:rPr>
          <w:rFonts w:ascii="Arial Bold" w:hAnsi="Arial Bold" w:eastAsia="Calibri"/>
          <w:b/>
          <w:caps/>
        </w:rPr>
        <w:lastRenderedPageBreak/>
        <w:t>Annex 3</w:t>
      </w:r>
    </w:p>
    <w:p w:rsidRPr="00BE07C6" w:rsidR="00CC1967" w:rsidP="00CC1967" w:rsidRDefault="00CC1967" w14:paraId="39DCA4C1" w14:textId="58CA1790">
      <w:pPr>
        <w:spacing w:after="240"/>
        <w:jc w:val="center"/>
        <w:outlineLvl w:val="3"/>
        <w:rPr>
          <w:rFonts w:ascii="Arial Bold" w:hAnsi="Arial Bold" w:eastAsia="Times New Roman"/>
          <w:caps/>
          <w:spacing w:val="-4"/>
        </w:rPr>
      </w:pPr>
      <w:r>
        <w:rPr>
          <w:rFonts w:ascii="Arial Bold" w:hAnsi="Arial Bold" w:eastAsia="Calibri"/>
          <w:b/>
          <w:caps/>
        </w:rPr>
        <w:t>Form of Instruction to ASSIGN in Entirety</w:t>
      </w:r>
      <w:bookmarkStart w:name="_DV_M809" w:id="594"/>
      <w:bookmarkStart w:name="_DV_M810" w:id="595"/>
      <w:bookmarkStart w:name="_DV_M811" w:id="596"/>
      <w:bookmarkEnd w:id="594"/>
      <w:bookmarkEnd w:id="595"/>
      <w:bookmarkEnd w:id="596"/>
    </w:p>
    <w:p w:rsidRPr="006C43AC" w:rsidR="00CC1967" w:rsidP="00CC1967" w:rsidRDefault="00CC1967" w14:paraId="60A95D53" w14:textId="77777777">
      <w:pPr>
        <w:tabs>
          <w:tab w:val="left" w:pos="0"/>
          <w:tab w:val="left" w:pos="720"/>
        </w:tabs>
        <w:jc w:val="left"/>
        <w:rPr>
          <w:rFonts w:eastAsia="Times New Roman"/>
        </w:rPr>
      </w:pPr>
      <w:r>
        <w:rPr>
          <w:rFonts w:eastAsia="Times New Roman"/>
        </w:rPr>
        <w:t>Re: Irrevocable Standby Letter of Credit No.</w:t>
      </w:r>
    </w:p>
    <w:p w:rsidRPr="006C43AC" w:rsidR="00CC1967" w:rsidP="00CC1967" w:rsidRDefault="00CC1967" w14:paraId="5C6E117E" w14:textId="77777777">
      <w:pPr>
        <w:jc w:val="left"/>
        <w:rPr>
          <w:rFonts w:eastAsia="Times New Roman"/>
        </w:rPr>
      </w:pPr>
    </w:p>
    <w:p w:rsidRPr="006C43AC" w:rsidR="00CC1967" w:rsidP="00CC1967" w:rsidRDefault="00CC1967" w14:paraId="05A1EE89" w14:textId="77777777">
      <w:pPr>
        <w:jc w:val="left"/>
        <w:rPr>
          <w:rFonts w:eastAsia="Times New Roman"/>
        </w:rPr>
      </w:pPr>
      <w:bookmarkStart w:name="_DV_M812" w:id="597"/>
      <w:bookmarkEnd w:id="597"/>
      <w:r>
        <w:rPr>
          <w:rFonts w:eastAsia="Times New Roman"/>
        </w:rPr>
        <w:t>Ladies/Gentlemen:</w:t>
      </w:r>
    </w:p>
    <w:p w:rsidRPr="006C43AC" w:rsidR="00CC1967" w:rsidP="00CC1967" w:rsidRDefault="00CC1967" w14:paraId="3048B67E" w14:textId="77777777">
      <w:pPr>
        <w:jc w:val="left"/>
        <w:rPr>
          <w:rFonts w:eastAsia="Times New Roman"/>
        </w:rPr>
      </w:pPr>
    </w:p>
    <w:p w:rsidRPr="006C43AC" w:rsidR="00CC1967" w:rsidP="00CC1967" w:rsidRDefault="00CC1967" w14:paraId="708DC681" w14:textId="7BD0EC64">
      <w:pPr>
        <w:jc w:val="left"/>
        <w:rPr>
          <w:rFonts w:ascii="Calibri" w:hAnsi="Calibri" w:eastAsia="Times New Roman"/>
          <w:spacing w:val="-4"/>
        </w:rPr>
      </w:pPr>
      <w:bookmarkStart w:name="_DV_M813" w:id="598"/>
      <w:bookmarkEnd w:id="598"/>
      <w:r>
        <w:rPr>
          <w:rFonts w:eastAsia="Times New Roman"/>
          <w:spacing w:val="-4"/>
        </w:rPr>
        <w:t>For value received, the undersigned beneficiary hereby irrevocably assigns to:</w:t>
      </w:r>
    </w:p>
    <w:p w:rsidRPr="006C43AC" w:rsidR="00CC1967" w:rsidP="00CC1967" w:rsidRDefault="00CC1967" w14:paraId="0A052EB0" w14:textId="77777777">
      <w:pPr>
        <w:rPr>
          <w:rFonts w:eastAsia="Times New Roman"/>
        </w:rPr>
      </w:pPr>
      <w:bookmarkStart w:name="_DV_M814" w:id="599"/>
      <w:bookmarkEnd w:id="599"/>
      <w:r>
        <w:rPr>
          <w:rFonts w:eastAsia="Times New Roman"/>
          <w:highlight w:val="yellow"/>
        </w:rPr>
        <w:t>[Name of Assignee]</w:t>
      </w:r>
    </w:p>
    <w:p w:rsidRPr="006C43AC" w:rsidR="00CC1967" w:rsidP="00CC1967" w:rsidRDefault="00CC1967" w14:paraId="03DCD81A" w14:textId="77777777">
      <w:pPr>
        <w:rPr>
          <w:rFonts w:eastAsia="Times New Roman"/>
        </w:rPr>
      </w:pPr>
    </w:p>
    <w:p w:rsidRPr="006C43AC" w:rsidR="00CC1967" w:rsidP="00CC1967" w:rsidRDefault="00CC1967" w14:paraId="4A5B1FD5" w14:textId="77777777">
      <w:pPr>
        <w:rPr>
          <w:rFonts w:eastAsia="Times New Roman"/>
        </w:rPr>
      </w:pPr>
    </w:p>
    <w:p w:rsidRPr="006C43AC" w:rsidR="00CC1967" w:rsidP="00CC1967" w:rsidRDefault="00CC1967" w14:paraId="24E105AC" w14:textId="77777777">
      <w:pPr>
        <w:rPr>
          <w:rFonts w:eastAsia="Times New Roman"/>
        </w:rPr>
      </w:pPr>
    </w:p>
    <w:p w:rsidRPr="006C43AC" w:rsidR="00CC1967" w:rsidP="00CC1967" w:rsidRDefault="00CC1967" w14:paraId="67A36269" w14:textId="77777777">
      <w:pPr>
        <w:rPr>
          <w:rFonts w:eastAsia="Times New Roman"/>
        </w:rPr>
      </w:pPr>
      <w:bookmarkStart w:name="_DV_M815" w:id="600"/>
      <w:bookmarkEnd w:id="600"/>
      <w:r>
        <w:rPr>
          <w:rFonts w:eastAsia="Times New Roman"/>
          <w:highlight w:val="yellow"/>
        </w:rPr>
        <w:t>[Address]</w:t>
      </w:r>
    </w:p>
    <w:p w:rsidRPr="006C43AC" w:rsidR="00CC1967" w:rsidP="00CC1967" w:rsidRDefault="00CC1967" w14:paraId="02034890" w14:textId="77777777">
      <w:pPr>
        <w:spacing w:line="480" w:lineRule="auto"/>
        <w:rPr>
          <w:rFonts w:eastAsia="Times New Roman"/>
        </w:rPr>
      </w:pPr>
    </w:p>
    <w:p w:rsidRPr="006C43AC" w:rsidR="00CC1967" w:rsidP="00CC1967" w:rsidRDefault="00CC1967" w14:paraId="53037DCD" w14:textId="77777777">
      <w:pPr>
        <w:rPr>
          <w:rFonts w:eastAsia="Times New Roman"/>
        </w:rPr>
      </w:pPr>
      <w:bookmarkStart w:name="_DV_M816" w:id="601"/>
      <w:bookmarkEnd w:id="601"/>
      <w:r>
        <w:rPr>
          <w:rFonts w:eastAsia="Times New Roman"/>
        </w:rPr>
        <w:t>all rights of the undersigned beneficiary to demand payment under the above Standby Letter of Credit in its entirety.</w:t>
      </w:r>
    </w:p>
    <w:p w:rsidRPr="006C43AC" w:rsidR="00CC1967" w:rsidP="00CC1967" w:rsidRDefault="00CC1967" w14:paraId="47FDF1DF" w14:textId="77777777">
      <w:pPr>
        <w:rPr>
          <w:rFonts w:eastAsia="Times New Roman"/>
        </w:rPr>
      </w:pPr>
    </w:p>
    <w:p w:rsidRPr="006C43AC" w:rsidR="00CC1967" w:rsidP="00CC1967" w:rsidRDefault="00CC1967" w14:paraId="7434E508" w14:textId="7E289422">
      <w:pPr>
        <w:rPr>
          <w:rFonts w:ascii="Calibri" w:hAnsi="Calibri" w:eastAsia="Times New Roman"/>
          <w:spacing w:val="-4"/>
        </w:rPr>
      </w:pPr>
      <w:bookmarkStart w:name="_DV_M817" w:id="602"/>
      <w:bookmarkEnd w:id="602"/>
      <w:r>
        <w:rPr>
          <w:rFonts w:eastAsia="Times New Roman"/>
          <w:spacing w:val="-4"/>
        </w:rPr>
        <w:t xml:space="preserve">By this assignment, all rights of the undersigned beneficiary in such Standby Letter of Credit are transferred to the assignee and the assignee will hereafter have the sole rights as beneficiary thereof. The Account Party will be responsible for all fees and expenses related to the assignment. </w:t>
      </w:r>
    </w:p>
    <w:p w:rsidRPr="006C43AC" w:rsidR="00CC1967" w:rsidP="00CC1967" w:rsidRDefault="00CC1967" w14:paraId="2C4348C3" w14:textId="140EDFAE">
      <w:pPr>
        <w:rPr>
          <w:rFonts w:ascii="Calibri" w:hAnsi="Calibri" w:eastAsia="Times New Roman"/>
          <w:spacing w:val="-4"/>
        </w:rPr>
      </w:pPr>
      <w:bookmarkStart w:name="_DV_M818" w:id="603"/>
      <w:bookmarkEnd w:id="603"/>
      <w:r>
        <w:rPr>
          <w:rFonts w:eastAsia="Times New Roman"/>
          <w:spacing w:val="-4"/>
        </w:rPr>
        <w:t>The Account Party will be responsible for all fees and expenses related to this assignment.</w:t>
      </w:r>
    </w:p>
    <w:p w:rsidRPr="006C43AC" w:rsidR="00CC1967" w:rsidP="00CC1967" w:rsidRDefault="00CC1967" w14:paraId="2C4B2733" w14:textId="64E040E4">
      <w:pPr>
        <w:rPr>
          <w:rFonts w:ascii="Calibri" w:hAnsi="Calibri" w:eastAsia="Times New Roman"/>
          <w:spacing w:val="-4"/>
        </w:rPr>
      </w:pPr>
      <w:bookmarkStart w:name="_DV_M819" w:id="604"/>
      <w:bookmarkEnd w:id="604"/>
      <w:r>
        <w:rPr>
          <w:rFonts w:eastAsia="Times New Roman"/>
          <w:spacing w:val="-4"/>
        </w:rPr>
        <w:t>The Standby Letter of Credit is returned herewith and in accordance therewith we ask you to issue a new irrevocable Standby Letter of Credit in favor of the assignee with provisions consistent with the Standby Letter of Credit.</w:t>
      </w:r>
    </w:p>
    <w:p w:rsidRPr="006C43AC" w:rsidR="00CC1967" w:rsidP="00CC1967" w:rsidRDefault="00CC1967" w14:paraId="5A2B9882" w14:textId="77777777">
      <w:pPr>
        <w:ind w:left="5040"/>
        <w:jc w:val="left"/>
        <w:rPr>
          <w:rFonts w:eastAsia="Times New Roman"/>
        </w:rPr>
      </w:pPr>
      <w:bookmarkStart w:name="_DV_M820" w:id="605"/>
      <w:bookmarkEnd w:id="605"/>
      <w:r>
        <w:rPr>
          <w:rFonts w:eastAsia="Times New Roman"/>
        </w:rPr>
        <w:t>Sincerely,</w:t>
      </w:r>
    </w:p>
    <w:p w:rsidRPr="006C43AC" w:rsidR="00CC1967" w:rsidP="00CC1967" w:rsidRDefault="00CC1967" w14:paraId="558689EB" w14:textId="77777777">
      <w:pPr>
        <w:ind w:left="5040"/>
        <w:jc w:val="left"/>
        <w:rPr>
          <w:rFonts w:eastAsia="Times New Roman"/>
        </w:rPr>
      </w:pPr>
    </w:p>
    <w:p w:rsidRPr="006C43AC" w:rsidR="00CC1967" w:rsidP="00CC1967" w:rsidRDefault="00CC1967" w14:paraId="2565DC48" w14:textId="77777777">
      <w:pPr>
        <w:ind w:left="5040"/>
        <w:jc w:val="left"/>
        <w:rPr>
          <w:rFonts w:eastAsia="Times New Roman"/>
        </w:rPr>
      </w:pPr>
      <w:bookmarkStart w:name="_DV_M821" w:id="606"/>
      <w:bookmarkEnd w:id="606"/>
      <w:r>
        <w:rPr>
          <w:rFonts w:eastAsia="Times New Roman"/>
        </w:rPr>
        <w:t>[</w:t>
      </w:r>
      <w:r>
        <w:rPr>
          <w:rFonts w:eastAsia="Times New Roman"/>
          <w:highlight w:val="yellow"/>
        </w:rPr>
        <w:t>Beneficiary</w:t>
      </w:r>
      <w:r>
        <w:rPr>
          <w:rFonts w:eastAsia="Times New Roman"/>
        </w:rPr>
        <w:t>]</w:t>
      </w:r>
    </w:p>
    <w:p w:rsidRPr="006C43AC" w:rsidR="00CC1967" w:rsidP="00CC1967" w:rsidRDefault="00CC1967" w14:paraId="4FC07CD0" w14:textId="77777777">
      <w:pPr>
        <w:ind w:left="5040"/>
        <w:jc w:val="left"/>
        <w:rPr>
          <w:rFonts w:eastAsia="Times New Roman"/>
        </w:rPr>
      </w:pPr>
    </w:p>
    <w:p w:rsidRPr="006C43AC" w:rsidR="00CC1967" w:rsidP="00CC1967" w:rsidRDefault="00CC1967" w14:paraId="26811C6B" w14:textId="77777777">
      <w:pPr>
        <w:ind w:left="5040"/>
        <w:jc w:val="left"/>
        <w:rPr>
          <w:rFonts w:eastAsia="Times New Roman"/>
        </w:rPr>
      </w:pPr>
    </w:p>
    <w:p w:rsidRPr="006C43AC" w:rsidR="00CC1967" w:rsidP="00CC1967" w:rsidRDefault="00CC1967" w14:paraId="422BFB14" w14:textId="77777777">
      <w:pPr>
        <w:tabs>
          <w:tab w:val="right" w:pos="9360"/>
        </w:tabs>
        <w:ind w:left="5040"/>
        <w:jc w:val="left"/>
        <w:rPr>
          <w:rFonts w:eastAsia="Times New Roman"/>
        </w:rPr>
      </w:pPr>
      <w:bookmarkStart w:name="_DV_M822" w:id="607"/>
      <w:bookmarkEnd w:id="607"/>
      <w:proofErr w:type="gramStart"/>
      <w:r>
        <w:rPr>
          <w:rFonts w:eastAsia="Times New Roman"/>
        </w:rPr>
        <w:t>By:</w:t>
      </w:r>
      <w:proofErr w:type="gramEnd"/>
      <w:r>
        <w:rPr>
          <w:rFonts w:eastAsia="Times New Roman"/>
          <w:u w:val="single"/>
        </w:rPr>
        <w:tab/>
      </w:r>
    </w:p>
    <w:p w:rsidRPr="006C43AC" w:rsidR="00CC1967" w:rsidP="00CC1967" w:rsidRDefault="00CC1967" w14:paraId="2C4C0FAD" w14:textId="77777777">
      <w:pPr>
        <w:tabs>
          <w:tab w:val="right" w:pos="9360"/>
        </w:tabs>
        <w:ind w:left="5040"/>
        <w:jc w:val="left"/>
        <w:rPr>
          <w:rFonts w:eastAsia="Times New Roman"/>
        </w:rPr>
      </w:pPr>
    </w:p>
    <w:p w:rsidRPr="006C43AC" w:rsidR="00CC1967" w:rsidP="00CC1967" w:rsidRDefault="00CC1967" w14:paraId="7D02186A" w14:textId="77777777">
      <w:pPr>
        <w:tabs>
          <w:tab w:val="right" w:pos="9360"/>
        </w:tabs>
        <w:ind w:left="5040"/>
        <w:jc w:val="left"/>
        <w:rPr>
          <w:rFonts w:eastAsia="Times New Roman"/>
        </w:rPr>
      </w:pPr>
      <w:bookmarkStart w:name="_DV_M823" w:id="608"/>
      <w:bookmarkEnd w:id="608"/>
      <w:r>
        <w:rPr>
          <w:rFonts w:eastAsia="Times New Roman"/>
        </w:rPr>
        <w:t>Title:</w:t>
      </w:r>
    </w:p>
    <w:p w:rsidR="00CC1967" w:rsidP="00CC1967" w:rsidRDefault="00CC1967" w14:paraId="546FA007" w14:textId="77777777">
      <w:pPr>
        <w:spacing w:after="240"/>
        <w:rPr>
          <w:bCs/>
        </w:rPr>
      </w:pPr>
    </w:p>
    <w:p w:rsidRPr="00F10071" w:rsidR="00CC1967" w:rsidP="00CC1967" w:rsidRDefault="00CC1967" w14:paraId="595B20C1" w14:textId="77777777">
      <w:pPr>
        <w:spacing w:before="0" w:after="0"/>
        <w:jc w:val="left"/>
        <w:rPr>
          <w:rFonts w:eastAsia="Times New Roman" w:cs="Arial"/>
        </w:rPr>
      </w:pPr>
      <w:r>
        <w:rPr>
          <w:rFonts w:eastAsia="Times New Roman" w:cs="Arial"/>
        </w:rPr>
        <w:br w:type="page"/>
      </w:r>
    </w:p>
    <w:p w:rsidRPr="00F10071" w:rsidR="00CC1967" w:rsidP="00CC1967" w:rsidRDefault="00CC1967" w14:paraId="180481C1" w14:textId="77777777">
      <w:pPr>
        <w:suppressAutoHyphens/>
        <w:adjustRightInd w:val="0"/>
        <w:spacing w:before="0" w:after="0"/>
        <w:ind w:firstLine="4594"/>
        <w:textAlignment w:val="baseline"/>
        <w:rPr>
          <w:rFonts w:eastAsia="Times New Roman" w:cs="Arial"/>
        </w:rPr>
        <w:sectPr w:rsidRPr="00F10071" w:rsidR="00CC1967" w:rsidSect="006B1C54">
          <w:headerReference w:type="default" r:id="rId53"/>
          <w:footerReference w:type="default" r:id="rId54"/>
          <w:pgSz w:w="12240" w:h="15840" w:code="1"/>
          <w:pgMar w:top="1440" w:right="1440" w:bottom="1440" w:left="1440" w:header="720" w:footer="720" w:gutter="0"/>
          <w:paperSrc w:first="15" w:other="15"/>
          <w:cols w:space="1440"/>
        </w:sectPr>
      </w:pPr>
    </w:p>
    <w:p w:rsidR="00CC1967" w:rsidP="00CC1967" w:rsidRDefault="00CC1967" w14:paraId="7FF28354" w14:textId="1FC28A3D">
      <w:pPr>
        <w:pStyle w:val="zGTitleExhibit"/>
      </w:pPr>
      <w:bookmarkStart w:name="_Toc159988042" w:id="609"/>
      <w:bookmarkStart w:name="_Toc212475782" w:id="610"/>
      <w:bookmarkStart w:name="_Toc227838479" w:id="611"/>
      <w:r>
        <w:lastRenderedPageBreak/>
        <w:t>Exhibit I – Form of Commercial Operation Completion Certificate</w:t>
      </w:r>
      <w:bookmarkEnd w:id="609"/>
      <w:bookmarkEnd w:id="610"/>
      <w:bookmarkEnd w:id="611"/>
    </w:p>
    <w:p w:rsidR="00CC1967" w:rsidP="00CC1967" w:rsidRDefault="00CC1967" w14:paraId="15A532E4" w14:textId="77777777">
      <w:pPr>
        <w:pStyle w:val="zGNormal6"/>
      </w:pPr>
    </w:p>
    <w:p w:rsidRPr="00D81774" w:rsidR="00CC1967" w:rsidP="00CC1967" w:rsidRDefault="00CC1967" w14:paraId="00587E57" w14:textId="77777777">
      <w:pPr>
        <w:spacing w:before="0" w:after="0"/>
        <w:rPr>
          <w:rFonts w:eastAsia="Times New Roman" w:cs="Arial"/>
        </w:rPr>
      </w:pPr>
      <w:bookmarkStart w:name="_DV_M340" w:id="612"/>
      <w:bookmarkEnd w:id="612"/>
      <w:r>
        <w:rPr>
          <w:rFonts w:eastAsia="Times New Roman" w:cs="Arial"/>
        </w:rPr>
        <w:t>Georgia Power Company</w:t>
      </w:r>
    </w:p>
    <w:p w:rsidRPr="00CB241B" w:rsidR="00CC1967" w:rsidP="00CC1967" w:rsidRDefault="00056750" w14:paraId="5DF3761E" w14:textId="3E540267">
      <w:pPr>
        <w:spacing w:before="0" w:after="0"/>
        <w:rPr>
          <w:rFonts w:eastAsia="Times New Roman" w:cs="Arial"/>
        </w:rPr>
      </w:pPr>
      <w:bookmarkStart w:name="_DV_M341" w:id="613"/>
      <w:bookmarkEnd w:id="613"/>
      <w:r>
        <w:rPr>
          <w:rFonts w:eastAsia="Times New Roman" w:cs="Arial"/>
        </w:rPr>
        <w:t>Capacity Procurement Manager</w:t>
      </w:r>
    </w:p>
    <w:p w:rsidRPr="009A252A" w:rsidR="00CC1967" w:rsidP="00CC1967" w:rsidRDefault="00CC1967" w14:paraId="600744AD" w14:textId="1555F48C">
      <w:pPr>
        <w:spacing w:before="0" w:after="0"/>
        <w:rPr>
          <w:rFonts w:eastAsia="Times New Roman" w:cs="Arial"/>
          <w:lang w:val="de-DE"/>
        </w:rPr>
      </w:pPr>
      <w:bookmarkStart w:name="_DV_M342" w:id="614"/>
      <w:bookmarkEnd w:id="614"/>
      <w:r>
        <w:rPr>
          <w:rFonts w:eastAsia="Times New Roman" w:cs="Arial"/>
          <w:lang w:val="de-DE"/>
        </w:rPr>
        <w:t xml:space="preserve">Bin </w:t>
      </w:r>
      <w:r>
        <w:rPr>
          <w:rFonts w:cs="Arial"/>
          <w:highlight w:val="yellow"/>
          <w:lang w:val="de-DE"/>
        </w:rPr>
        <w:t>#BinNumber#</w:t>
      </w:r>
    </w:p>
    <w:p w:rsidRPr="009A252A" w:rsidR="00CC1967" w:rsidP="00CC1967" w:rsidRDefault="00CC1967" w14:paraId="11E278AB" w14:textId="77777777">
      <w:pPr>
        <w:spacing w:before="0" w:after="0"/>
        <w:rPr>
          <w:rFonts w:eastAsia="Times New Roman" w:cs="Arial"/>
          <w:lang w:val="de-DE"/>
        </w:rPr>
      </w:pPr>
      <w:bookmarkStart w:name="_DV_M343" w:id="615"/>
      <w:bookmarkEnd w:id="615"/>
      <w:r>
        <w:rPr>
          <w:rFonts w:eastAsia="Times New Roman" w:cs="Arial"/>
          <w:lang w:val="de-DE"/>
        </w:rPr>
        <w:t>241 Ralph McGill Blvd.</w:t>
      </w:r>
    </w:p>
    <w:p w:rsidRPr="00D81774" w:rsidR="00CC1967" w:rsidP="00CC1967" w:rsidRDefault="00CC1967" w14:paraId="383BE71A" w14:textId="77777777">
      <w:pPr>
        <w:spacing w:before="0" w:after="0"/>
        <w:rPr>
          <w:rFonts w:eastAsia="Times New Roman" w:cs="Arial"/>
        </w:rPr>
      </w:pPr>
      <w:bookmarkStart w:name="_DV_M344" w:id="616"/>
      <w:bookmarkEnd w:id="616"/>
      <w:r>
        <w:rPr>
          <w:rFonts w:eastAsia="Times New Roman" w:cs="Arial"/>
        </w:rPr>
        <w:t>Atlanta, Georgia 30308</w:t>
      </w:r>
    </w:p>
    <w:p w:rsidRPr="00D81774" w:rsidR="00CC1967" w:rsidP="00CC1967" w:rsidRDefault="00CC1967" w14:paraId="6D1DA603" w14:textId="77777777">
      <w:pPr>
        <w:spacing w:after="0"/>
        <w:rPr>
          <w:rFonts w:eastAsia="Times New Roman" w:cs="Arial"/>
        </w:rPr>
      </w:pPr>
    </w:p>
    <w:p w:rsidRPr="00D81774" w:rsidR="00CC1967" w:rsidP="00CC1967" w:rsidRDefault="00CC1967" w14:paraId="2576AB91" w14:textId="3EE5A7AF">
      <w:pPr>
        <w:rPr>
          <w:rFonts w:eastAsia="Times New Roman" w:cs="Arial"/>
        </w:rPr>
      </w:pPr>
      <w:bookmarkStart w:name="_DV_M345" w:id="617"/>
      <w:bookmarkStart w:name="_DV_M346" w:id="618"/>
      <w:bookmarkEnd w:id="617"/>
      <w:bookmarkEnd w:id="618"/>
      <w:r>
        <w:rPr>
          <w:rFonts w:eastAsia="Times New Roman" w:cs="Arial"/>
        </w:rPr>
        <w:t>Re:</w:t>
      </w:r>
      <w:r>
        <w:rPr>
          <w:rFonts w:eastAsia="Times New Roman" w:cs="Arial"/>
          <w:b/>
        </w:rPr>
        <w:t xml:space="preserve"> </w:t>
      </w:r>
      <w:r>
        <w:rPr>
          <w:rFonts w:eastAsia="Times New Roman" w:cs="Arial"/>
        </w:rPr>
        <w:t xml:space="preserve">Commercial Operation Completion Certificate – </w:t>
      </w:r>
      <w:r>
        <w:rPr>
          <w:rFonts w:cs="Arial"/>
          <w:b/>
          <w:bCs/>
        </w:rPr>
        <w:t>Power Purchase Agreement for Firm Capacity, Firm Energy, and Ancillary Services from a Combustion Turbine Facility for 2026 All-Source Capacity Request for Proposals for Need Years 2032</w:t>
      </w:r>
      <w:r>
        <w:rPr>
          <w:rFonts w:cs="Arial"/>
          <w:b/>
        </w:rPr>
        <w:t>–</w:t>
      </w:r>
      <w:r>
        <w:rPr>
          <w:rFonts w:cs="Arial"/>
          <w:b/>
          <w:bCs/>
        </w:rPr>
        <w:t xml:space="preserve">2033 </w:t>
      </w:r>
      <w:r>
        <w:rPr>
          <w:rFonts w:cs="Arial"/>
          <w:b/>
        </w:rPr>
        <w:t xml:space="preserve">at </w:t>
      </w:r>
      <w:r>
        <w:rPr>
          <w:rFonts w:eastAsia="Times New Roman" w:cs="Arial"/>
          <w:b/>
          <w:bCs/>
        </w:rPr>
        <w:t>(</w:t>
      </w:r>
      <w:r>
        <w:rPr>
          <w:rFonts w:eastAsia="Times New Roman" w:cs="Arial"/>
          <w:b/>
          <w:bCs/>
          <w:highlight w:val="yellow"/>
        </w:rPr>
        <w:t>#</w:t>
      </w:r>
      <w:r>
        <w:rPr>
          <w:rFonts w:cs="Arial"/>
          <w:b/>
          <w:highlight w:val="yellow"/>
        </w:rPr>
        <w:t>FacilityName</w:t>
      </w:r>
      <w:r>
        <w:rPr>
          <w:rFonts w:eastAsia="Times New Roman" w:cs="Arial"/>
          <w:b/>
          <w:bCs/>
          <w:highlight w:val="yellow"/>
        </w:rPr>
        <w:t>#</w:t>
      </w:r>
      <w:r>
        <w:rPr>
          <w:rFonts w:eastAsia="Times New Roman" w:cs="Arial"/>
          <w:b/>
          <w:bCs/>
        </w:rPr>
        <w:t>)</w:t>
      </w:r>
      <w:r>
        <w:rPr>
          <w:rFonts w:cs="Arial"/>
        </w:rPr>
        <w:t xml:space="preserve"> dated</w:t>
      </w:r>
      <w:r>
        <w:rPr>
          <w:rFonts w:cs="Arial"/>
          <w:color w:val="000000" w:themeColor="text1"/>
          <w:highlight w:val="yellow"/>
        </w:rPr>
        <w:t xml:space="preserve">______ ___, </w:t>
      </w:r>
      <w:r>
        <w:rPr>
          <w:rFonts w:cs="Arial"/>
          <w:highlight w:val="yellow"/>
        </w:rPr>
        <w:t>20__</w:t>
      </w:r>
      <w:r>
        <w:rPr>
          <w:rFonts w:eastAsia="Times New Roman" w:cs="Arial"/>
        </w:rPr>
        <w:t xml:space="preserve"> between </w:t>
      </w:r>
      <w:r>
        <w:rPr>
          <w:rFonts w:eastAsia="Times New Roman" w:cs="Arial"/>
          <w:b/>
        </w:rPr>
        <w:t>Georgia Power Company</w:t>
      </w:r>
      <w:r>
        <w:rPr>
          <w:rFonts w:eastAsia="Times New Roman" w:cs="Arial"/>
        </w:rPr>
        <w:t xml:space="preserve"> (“</w:t>
      </w:r>
      <w:r>
        <w:rPr>
          <w:rFonts w:eastAsia="Times New Roman" w:cs="Arial"/>
          <w:b/>
        </w:rPr>
        <w:t>GPC</w:t>
      </w:r>
      <w:r>
        <w:rPr>
          <w:rFonts w:eastAsia="Times New Roman" w:cs="Arial"/>
        </w:rPr>
        <w:t xml:space="preserve">”) and </w:t>
      </w:r>
      <w:r>
        <w:rPr>
          <w:rFonts w:eastAsia="Calibri" w:cs="Arial"/>
          <w:b/>
          <w:color w:val="000000"/>
          <w:highlight w:val="yellow"/>
        </w:rPr>
        <w:t>#SellerLegalName#</w:t>
      </w:r>
      <w:r>
        <w:rPr>
          <w:rFonts w:eastAsia="Times New Roman" w:cs="Arial"/>
        </w:rPr>
        <w:t xml:space="preserve"> (“</w:t>
      </w:r>
      <w:r>
        <w:rPr>
          <w:rFonts w:eastAsia="Times New Roman" w:cs="Arial"/>
          <w:b/>
        </w:rPr>
        <w:t>Seller</w:t>
      </w:r>
      <w:r>
        <w:rPr>
          <w:rFonts w:eastAsia="Times New Roman" w:cs="Arial"/>
        </w:rPr>
        <w:t xml:space="preserve">”) </w:t>
      </w:r>
      <w:r>
        <w:rPr>
          <w:rFonts w:cs="Arial"/>
        </w:rPr>
        <w:t>(“</w:t>
      </w:r>
      <w:r>
        <w:rPr>
          <w:rFonts w:cs="Arial"/>
          <w:b/>
        </w:rPr>
        <w:t>PPA</w:t>
      </w:r>
      <w:r>
        <w:rPr>
          <w:rFonts w:cs="Arial"/>
        </w:rPr>
        <w:t>”).</w:t>
      </w:r>
    </w:p>
    <w:p w:rsidRPr="00D81774" w:rsidR="00CC1967" w:rsidP="00CC1967" w:rsidRDefault="00CC1967" w14:paraId="54A0917F" w14:textId="10D88810">
      <w:pPr>
        <w:spacing w:after="240"/>
        <w:rPr>
          <w:rFonts w:eastAsia="Times New Roman" w:cs="Arial"/>
        </w:rPr>
      </w:pPr>
      <w:bookmarkStart w:name="_DV_M347" w:id="619"/>
      <w:bookmarkEnd w:id="619"/>
      <w:r>
        <w:rPr>
          <w:rFonts w:eastAsia="Times New Roman" w:cs="Arial"/>
        </w:rPr>
        <w:t>In accordance with PPA Section 7.1.3 (</w:t>
      </w:r>
      <w:r>
        <w:rPr>
          <w:rFonts w:eastAsia="Times New Roman" w:cs="Arial"/>
          <w:i/>
        </w:rPr>
        <w:t>Commercial Operation</w:t>
      </w:r>
      <w:r>
        <w:rPr>
          <w:rFonts w:eastAsia="Times New Roman" w:cs="Arial"/>
        </w:rPr>
        <w:t>), Seller certifies to GPC that Seller fully satisfied the following criteria for Commercial Operation of the Facility:</w:t>
      </w:r>
      <w:bookmarkStart w:name="_DV_M348" w:id="620"/>
      <w:bookmarkEnd w:id="620"/>
    </w:p>
    <w:p w:rsidRPr="00D81774" w:rsidR="00CC1967" w:rsidP="00CC1967" w:rsidRDefault="00CC1967" w14:paraId="2EFA9B57" w14:textId="2058C1E6">
      <w:pPr>
        <w:pStyle w:val="zGTC04"/>
        <w:rPr>
          <w:rFonts w:cs="Arial"/>
          <w:szCs w:val="20"/>
        </w:rPr>
      </w:pPr>
      <w:bookmarkStart w:name="_DV_M349" w:id="621"/>
      <w:bookmarkEnd w:id="621"/>
      <w:r>
        <w:rPr>
          <w:rFonts w:cs="Arial"/>
          <w:szCs w:val="20"/>
        </w:rPr>
        <w:t xml:space="preserve">The </w:t>
      </w:r>
      <w:r w:rsidR="00F433EC">
        <w:rPr>
          <w:rFonts w:cs="Arial"/>
          <w:szCs w:val="20"/>
        </w:rPr>
        <w:t xml:space="preserve">Facility </w:t>
      </w:r>
      <w:proofErr w:type="gramStart"/>
      <w:r>
        <w:rPr>
          <w:rFonts w:cs="Arial"/>
          <w:szCs w:val="20"/>
        </w:rPr>
        <w:t>is capable of producing and delivering</w:t>
      </w:r>
      <w:proofErr w:type="gramEnd"/>
      <w:r>
        <w:rPr>
          <w:rFonts w:cs="Arial"/>
          <w:szCs w:val="20"/>
        </w:rPr>
        <w:t xml:space="preserve">, on a reliable basis, </w:t>
      </w:r>
      <w:proofErr w:type="gramStart"/>
      <w:r>
        <w:rPr>
          <w:rFonts w:cs="Arial"/>
          <w:szCs w:val="20"/>
        </w:rPr>
        <w:t>all of</w:t>
      </w:r>
      <w:proofErr w:type="gramEnd"/>
      <w:r>
        <w:rPr>
          <w:rFonts w:cs="Arial"/>
          <w:szCs w:val="20"/>
        </w:rPr>
        <w:t xml:space="preserve"> the energy to the Electric System and meets GPC’s AGC requirements.</w:t>
      </w:r>
    </w:p>
    <w:p w:rsidRPr="00CB241B" w:rsidR="00CC1967" w:rsidP="00CC1967" w:rsidRDefault="00CC1967" w14:paraId="5F262927" w14:textId="30268467">
      <w:pPr>
        <w:pStyle w:val="zGTC04"/>
        <w:rPr>
          <w:rFonts w:cs="Arial"/>
          <w:szCs w:val="20"/>
        </w:rPr>
      </w:pPr>
      <w:r>
        <w:rPr>
          <w:rFonts w:cs="Arial"/>
          <w:szCs w:val="20"/>
        </w:rPr>
        <w:t xml:space="preserve">Seller has delivered to GPC a certificate from the </w:t>
      </w:r>
      <w:r>
        <w:t>IA</w:t>
      </w:r>
      <w:r>
        <w:rPr>
          <w:rFonts w:cs="Arial"/>
          <w:szCs w:val="20"/>
        </w:rPr>
        <w:t xml:space="preserve"> counterparty or a responsible officer of Seller that is reasonably acceptable to GPC certifying that Seller is in compliance with the </w:t>
      </w:r>
      <w:r>
        <w:t>IA</w:t>
      </w:r>
      <w:r>
        <w:rPr>
          <w:rFonts w:cs="Arial"/>
          <w:szCs w:val="20"/>
        </w:rPr>
        <w:t xml:space="preserve"> requirements; (b) the Facility is otherwise in compliance with the </w:t>
      </w:r>
      <w:r>
        <w:t>IA</w:t>
      </w:r>
      <w:r>
        <w:rPr>
          <w:rFonts w:cs="Arial"/>
          <w:szCs w:val="20"/>
        </w:rPr>
        <w:t xml:space="preserve">; and (c) </w:t>
      </w:r>
      <w:proofErr w:type="gramStart"/>
      <w:r>
        <w:rPr>
          <w:rFonts w:cs="Arial"/>
          <w:szCs w:val="20"/>
        </w:rPr>
        <w:t>the Facility</w:t>
      </w:r>
      <w:proofErr w:type="gramEnd"/>
      <w:r>
        <w:rPr>
          <w:rFonts w:cs="Arial"/>
          <w:szCs w:val="20"/>
        </w:rPr>
        <w:t xml:space="preserve"> has demonstrated reliability of its communication systems with the Scheduling Center.</w:t>
      </w:r>
    </w:p>
    <w:p w:rsidRPr="00CB241B" w:rsidR="00CC1967" w:rsidP="00CC1967" w:rsidRDefault="00CC1967" w14:paraId="5605A11F" w14:textId="6AFADBD2">
      <w:pPr>
        <w:pStyle w:val="zGTC04"/>
        <w:rPr>
          <w:rFonts w:cs="Arial"/>
          <w:szCs w:val="20"/>
        </w:rPr>
      </w:pPr>
      <w:r>
        <w:rPr>
          <w:rFonts w:cs="Arial"/>
          <w:szCs w:val="20"/>
        </w:rPr>
        <w:t xml:space="preserve"> Seller has successfully completed Performance Testing </w:t>
      </w:r>
      <w:r>
        <w:t>in accordance with PPA Section 9.1 (</w:t>
      </w:r>
      <w:r>
        <w:rPr>
          <w:i/>
          <w:iCs/>
        </w:rPr>
        <w:t>Tested Reliable Capacity and Declared Capacity</w:t>
      </w:r>
      <w:r>
        <w:t>) including a Tested Standard Reliable Capacity higher than 70% of the Nominal Standard Capability and a Tested Winter Reliable Capacity higher than 70% of the Nominal Winter Capability, each under Exhibit B (</w:t>
      </w:r>
      <w:r>
        <w:rPr>
          <w:bCs/>
          <w:i/>
          <w:iCs/>
        </w:rPr>
        <w:t>Capacity; Capacity Payments</w:t>
      </w:r>
      <w:r>
        <w:rPr>
          <w:i/>
        </w:rPr>
        <w:t xml:space="preserve"> and Payment Reductions; Buydown</w:t>
      </w:r>
      <w:r>
        <w:rPr>
          <w:iCs/>
        </w:rPr>
        <w:t>)</w:t>
      </w:r>
      <w:r>
        <w:t>, Section 1.4 (</w:t>
      </w:r>
      <w:r>
        <w:rPr>
          <w:i/>
          <w:iCs/>
        </w:rPr>
        <w:t>Tested Reliable Capacity Below Contracted Capacity Range; Capacity Buydown</w:t>
      </w:r>
      <w:r>
        <w:t xml:space="preserve">) or GPC determined to its reasonable satisfaction through any combination of testing and examination of </w:t>
      </w:r>
      <w:r w:rsidR="00F433EC">
        <w:t xml:space="preserve">Facility </w:t>
      </w:r>
      <w:r>
        <w:t xml:space="preserve">data that the </w:t>
      </w:r>
      <w:r w:rsidR="00F433EC">
        <w:t xml:space="preserve">Facility </w:t>
      </w:r>
      <w:r>
        <w:t>is fully capable of successfully completing a Performance Test</w:t>
      </w:r>
      <w:r>
        <w:rPr>
          <w:rFonts w:cs="Arial"/>
          <w:szCs w:val="20"/>
        </w:rPr>
        <w:t>.</w:t>
      </w:r>
    </w:p>
    <w:p w:rsidRPr="00CB241B" w:rsidR="00CC1967" w:rsidP="00CC1967" w:rsidRDefault="00CC1967" w14:paraId="310307F1" w14:textId="17CCBFA8">
      <w:pPr>
        <w:pStyle w:val="zGTC04"/>
        <w:rPr>
          <w:rFonts w:cs="Arial"/>
          <w:szCs w:val="20"/>
        </w:rPr>
      </w:pPr>
      <w:r>
        <w:rPr>
          <w:rFonts w:cs="Arial"/>
          <w:szCs w:val="20"/>
        </w:rPr>
        <w:t xml:space="preserve">GPC can receive energy at the Point of Delivery on a reliable basis in accordance with Prudent Industry Practices. </w:t>
      </w:r>
    </w:p>
    <w:p w:rsidRPr="00CB241B" w:rsidR="00CC1967" w:rsidP="00CC1967" w:rsidRDefault="00FD1469" w14:paraId="5C546EAF" w14:textId="477EFC79">
      <w:pPr>
        <w:pStyle w:val="zGTC04"/>
        <w:rPr>
          <w:rFonts w:cs="Arial"/>
          <w:szCs w:val="20"/>
        </w:rPr>
      </w:pPr>
      <w:r>
        <w:rPr>
          <w:rFonts w:cs="Arial"/>
          <w:szCs w:val="20"/>
        </w:rPr>
        <w:t xml:space="preserve">Seller has </w:t>
      </w:r>
      <w:proofErr w:type="gramStart"/>
      <w:r>
        <w:rPr>
          <w:rFonts w:cs="Arial"/>
          <w:szCs w:val="20"/>
        </w:rPr>
        <w:t>provided to</w:t>
      </w:r>
      <w:proofErr w:type="gramEnd"/>
      <w:r>
        <w:rPr>
          <w:rFonts w:cs="Arial"/>
          <w:szCs w:val="20"/>
        </w:rPr>
        <w:t xml:space="preserve"> </w:t>
      </w:r>
      <w:proofErr w:type="gramStart"/>
      <w:r>
        <w:rPr>
          <w:rFonts w:cs="Arial"/>
          <w:szCs w:val="20"/>
        </w:rPr>
        <w:t>GPC</w:t>
      </w:r>
      <w:proofErr w:type="gramEnd"/>
      <w:r>
        <w:rPr>
          <w:rFonts w:cs="Arial"/>
          <w:szCs w:val="20"/>
        </w:rPr>
        <w:t xml:space="preserve"> a certificate reasonably acceptable to GPC confirming that the Facility has been designed, engineered, constructed, and tested in accordance with Prudent Industry Practices and can perform in accordance with the terms of this PPA.</w:t>
      </w:r>
    </w:p>
    <w:p w:rsidRPr="00CB241B" w:rsidR="00CC1967" w:rsidP="00CC1967" w:rsidRDefault="00CC1967" w14:paraId="2E270A04" w14:textId="34CFF3F0">
      <w:pPr>
        <w:pStyle w:val="zGTC04"/>
        <w:rPr>
          <w:rFonts w:cs="Arial"/>
          <w:szCs w:val="20"/>
        </w:rPr>
      </w:pPr>
      <w:r>
        <w:rPr>
          <w:rFonts w:cs="Arial"/>
          <w:szCs w:val="20"/>
        </w:rPr>
        <w:t>Seller has delivered to GPC a</w:t>
      </w:r>
      <w:r w:rsidR="004F5D95">
        <w:rPr>
          <w:rFonts w:cs="Arial"/>
          <w:szCs w:val="20"/>
        </w:rPr>
        <w:t>ny</w:t>
      </w:r>
      <w:r>
        <w:rPr>
          <w:rFonts w:cs="Arial"/>
          <w:szCs w:val="20"/>
        </w:rPr>
        <w:t xml:space="preserve"> as-built drawings concerning the Facility, as may be requested by GPC.</w:t>
      </w:r>
    </w:p>
    <w:p w:rsidRPr="00D81774" w:rsidR="00CC1967" w:rsidP="00CC1967" w:rsidRDefault="00CC1967" w14:paraId="2AB7F826" w14:textId="19D5A40D">
      <w:pPr>
        <w:pStyle w:val="zGTC04"/>
        <w:rPr>
          <w:rFonts w:cs="Arial"/>
        </w:rPr>
      </w:pPr>
      <w:r>
        <w:rPr>
          <w:rFonts w:cs="Arial"/>
        </w:rPr>
        <w:t>Seller has delivered to GPC a certificate certifying that Seller has obtained Governmental Approvals for construction, ownership, operation, and maintenance of the Facility in accordance with the PPA.</w:t>
      </w:r>
    </w:p>
    <w:p w:rsidRPr="00D81774" w:rsidR="00CC1967" w:rsidP="00CC1967" w:rsidRDefault="00CC1967" w14:paraId="6EB78239" w14:textId="5CA08FCA">
      <w:pPr>
        <w:pStyle w:val="zGTC04"/>
        <w:rPr>
          <w:rFonts w:cs="Arial"/>
          <w:szCs w:val="20"/>
        </w:rPr>
      </w:pPr>
      <w:r>
        <w:rPr>
          <w:rFonts w:cs="Arial"/>
          <w:szCs w:val="20"/>
        </w:rPr>
        <w:t xml:space="preserve">If the Facility is interconnected to an Electric System outside the SBAA, Seller has delivered to GPC a certificate from a responsible officer of Seller that is reasonably acceptable to GPC confirming that Firm Transmission Service has been procured from the COD throughout the Term. </w:t>
      </w:r>
    </w:p>
    <w:p w:rsidRPr="00D81774" w:rsidR="00CC1967" w:rsidP="00CC1967" w:rsidRDefault="00CC1967" w14:paraId="110BBC4C" w14:textId="77777777">
      <w:pPr>
        <w:keepNext/>
        <w:rPr>
          <w:rFonts w:eastAsia="Calibri" w:cs="Arial"/>
        </w:rPr>
      </w:pPr>
      <w:bookmarkStart w:name="_DV_M354" w:id="622"/>
      <w:bookmarkEnd w:id="622"/>
      <w:r>
        <w:rPr>
          <w:rFonts w:eastAsia="Times New Roman" w:cs="Arial"/>
        </w:rPr>
        <w:t xml:space="preserve">Seller certifies that the Project achieved Commercial Operation as of </w:t>
      </w:r>
      <w:r>
        <w:rPr>
          <w:rFonts w:eastAsia="Times New Roman" w:cs="Arial"/>
          <w:b/>
          <w:highlight w:val="yellow"/>
        </w:rPr>
        <w:t>#CommercialOperationDate#</w:t>
      </w:r>
      <w:r>
        <w:rPr>
          <w:rFonts w:eastAsia="Times New Roman" w:cs="Arial"/>
        </w:rPr>
        <w:t xml:space="preserve">. Seller agrees to provide photographs of the Facility and Site at GPC’s request. The electrical inspection </w:t>
      </w:r>
      <w:r>
        <w:rPr>
          <w:rFonts w:eastAsia="Times New Roman" w:cs="Arial"/>
        </w:rPr>
        <w:lastRenderedPageBreak/>
        <w:t xml:space="preserve">documentation in support of Seller’s certification of Commercial Operation is attached. Seller </w:t>
      </w:r>
      <w:r>
        <w:rPr>
          <w:rFonts w:eastAsia="Calibri" w:cs="Arial"/>
        </w:rPr>
        <w:t xml:space="preserve">grants to GPC </w:t>
      </w:r>
      <w:r>
        <w:rPr>
          <w:rFonts w:eastAsia="Calibri" w:cs="Arial"/>
          <w:spacing w:val="-1"/>
        </w:rPr>
        <w:t>an</w:t>
      </w:r>
      <w:r>
        <w:rPr>
          <w:rFonts w:eastAsia="Calibri" w:cs="Arial"/>
        </w:rPr>
        <w:t xml:space="preserve">d </w:t>
      </w:r>
      <w:r>
        <w:rPr>
          <w:rFonts w:eastAsia="Calibri" w:cs="Arial"/>
          <w:spacing w:val="-1"/>
        </w:rPr>
        <w:t>i</w:t>
      </w:r>
      <w:r>
        <w:rPr>
          <w:rFonts w:eastAsia="Calibri" w:cs="Arial"/>
        </w:rPr>
        <w:t xml:space="preserve">ts </w:t>
      </w:r>
      <w:r>
        <w:rPr>
          <w:rFonts w:eastAsia="Calibri" w:cs="Arial"/>
          <w:spacing w:val="-1"/>
        </w:rPr>
        <w:t>agen</w:t>
      </w:r>
      <w:r>
        <w:rPr>
          <w:rFonts w:eastAsia="Calibri" w:cs="Arial"/>
        </w:rPr>
        <w:t>ts,</w:t>
      </w:r>
      <w:r>
        <w:rPr>
          <w:rFonts w:eastAsia="Calibri" w:cs="Arial"/>
          <w:spacing w:val="1"/>
        </w:rPr>
        <w:t xml:space="preserve"> affiliates, </w:t>
      </w:r>
      <w:r>
        <w:rPr>
          <w:rFonts w:eastAsia="Calibri" w:cs="Arial"/>
        </w:rPr>
        <w:t>s</w:t>
      </w:r>
      <w:r>
        <w:rPr>
          <w:rFonts w:eastAsia="Calibri" w:cs="Arial"/>
          <w:spacing w:val="-1"/>
        </w:rPr>
        <w:t>u</w:t>
      </w:r>
      <w:r>
        <w:rPr>
          <w:rFonts w:eastAsia="Calibri" w:cs="Arial"/>
        </w:rPr>
        <w:t>cc</w:t>
      </w:r>
      <w:r>
        <w:rPr>
          <w:rFonts w:eastAsia="Calibri" w:cs="Arial"/>
          <w:spacing w:val="-1"/>
        </w:rPr>
        <w:t>e</w:t>
      </w:r>
      <w:r>
        <w:rPr>
          <w:rFonts w:eastAsia="Calibri" w:cs="Arial"/>
        </w:rPr>
        <w:t>s</w:t>
      </w:r>
      <w:r>
        <w:rPr>
          <w:rFonts w:eastAsia="Calibri" w:cs="Arial"/>
          <w:spacing w:val="2"/>
        </w:rPr>
        <w:t>s</w:t>
      </w:r>
      <w:r>
        <w:rPr>
          <w:rFonts w:eastAsia="Calibri" w:cs="Arial"/>
          <w:spacing w:val="-1"/>
        </w:rPr>
        <w:t>o</w:t>
      </w:r>
      <w:r>
        <w:rPr>
          <w:rFonts w:eastAsia="Calibri" w:cs="Arial"/>
        </w:rPr>
        <w:t>rs,</w:t>
      </w:r>
      <w:r>
        <w:rPr>
          <w:rFonts w:eastAsia="Calibri" w:cs="Arial"/>
          <w:spacing w:val="1"/>
        </w:rPr>
        <w:t xml:space="preserve"> </w:t>
      </w:r>
      <w:r>
        <w:rPr>
          <w:rFonts w:eastAsia="Calibri" w:cs="Arial"/>
          <w:spacing w:val="-1"/>
        </w:rPr>
        <w:t>an</w:t>
      </w:r>
      <w:r>
        <w:rPr>
          <w:rFonts w:eastAsia="Calibri" w:cs="Arial"/>
        </w:rPr>
        <w:t xml:space="preserve">d </w:t>
      </w:r>
      <w:r>
        <w:rPr>
          <w:rFonts w:eastAsia="Calibri" w:cs="Arial"/>
          <w:spacing w:val="-1"/>
        </w:rPr>
        <w:t>a</w:t>
      </w:r>
      <w:r>
        <w:rPr>
          <w:rFonts w:eastAsia="Calibri" w:cs="Arial"/>
        </w:rPr>
        <w:t>ss</w:t>
      </w:r>
      <w:r>
        <w:rPr>
          <w:rFonts w:eastAsia="Calibri" w:cs="Arial"/>
          <w:spacing w:val="-1"/>
        </w:rPr>
        <w:t>ign</w:t>
      </w:r>
      <w:r>
        <w:rPr>
          <w:rFonts w:eastAsia="Calibri" w:cs="Arial"/>
        </w:rPr>
        <w:t>s an irrevocable, worldwide, royalty-free, and unrestricted right and license to use, duplicate, modify, sublicense, distribute, display, and otherwise engage the photographs and related intellectual property, including the creation of derivative works. Seller represents and warrants that it has the exclusive right to grant the license to GPC for the purposes stated in the PPA.</w:t>
      </w:r>
    </w:p>
    <w:p w:rsidRPr="00D81774" w:rsidR="00CC1967" w:rsidP="00CC1967" w:rsidRDefault="00CC1967" w14:paraId="0A435F31" w14:textId="77777777">
      <w:pPr>
        <w:keepNext/>
        <w:rPr>
          <w:rFonts w:eastAsia="Calibri" w:cs="Arial"/>
          <w:b/>
          <w:u w:val="single"/>
        </w:rPr>
      </w:pPr>
    </w:p>
    <w:tbl>
      <w:tblPr>
        <w:tblW w:w="5130" w:type="dxa"/>
        <w:tblLayout w:type="fixed"/>
        <w:tblCellMar>
          <w:left w:w="29" w:type="dxa"/>
          <w:right w:w="29" w:type="dxa"/>
        </w:tblCellMar>
        <w:tblLook w:val="01E0" w:firstRow="1" w:lastRow="1" w:firstColumn="1" w:lastColumn="1" w:noHBand="0" w:noVBand="0"/>
      </w:tblPr>
      <w:tblGrid>
        <w:gridCol w:w="1008"/>
        <w:gridCol w:w="4093"/>
        <w:gridCol w:w="29"/>
      </w:tblGrid>
      <w:tr w:rsidRPr="00A61905" w:rsidR="00CC1967" w14:paraId="1A0114D6" w14:textId="77777777">
        <w:trPr>
          <w:cantSplit/>
          <w:trHeight w:val="432"/>
        </w:trPr>
        <w:tc>
          <w:tcPr>
            <w:tcW w:w="5130" w:type="dxa"/>
            <w:gridSpan w:val="3"/>
          </w:tcPr>
          <w:p w:rsidRPr="00D81774" w:rsidR="00CC1967" w:rsidRDefault="00CC1967" w14:paraId="55A79B63" w14:textId="77777777">
            <w:pPr>
              <w:keepNext/>
              <w:keepLines/>
              <w:widowControl w:val="0"/>
              <w:autoSpaceDE w:val="0"/>
              <w:autoSpaceDN w:val="0"/>
              <w:adjustRightInd w:val="0"/>
              <w:rPr>
                <w:rFonts w:eastAsia="Yu Mincho" w:cs="Arial"/>
                <w:b/>
                <w:spacing w:val="-6"/>
                <w:kern w:val="14"/>
              </w:rPr>
            </w:pPr>
            <w:bookmarkStart w:name="_DV_M360" w:id="623"/>
            <w:bookmarkEnd w:id="623"/>
            <w:r>
              <w:rPr>
                <w:rFonts w:eastAsia="Yu Mincho" w:cs="Arial"/>
                <w:b/>
                <w:spacing w:val="-6"/>
                <w:kern w:val="14"/>
                <w:highlight w:val="yellow"/>
              </w:rPr>
              <w:t>#SellerLegalName#</w:t>
            </w:r>
          </w:p>
        </w:tc>
      </w:tr>
      <w:tr w:rsidRPr="00A61905" w:rsidR="00CC1967" w14:paraId="14B1413D" w14:textId="77777777">
        <w:trPr>
          <w:gridAfter w:val="1"/>
          <w:wAfter w:w="29" w:type="dxa"/>
          <w:cantSplit/>
          <w:trHeight w:val="504"/>
        </w:trPr>
        <w:tc>
          <w:tcPr>
            <w:tcW w:w="1008" w:type="dxa"/>
            <w:vAlign w:val="bottom"/>
          </w:tcPr>
          <w:p w:rsidRPr="00D81774" w:rsidR="00CC1967" w:rsidRDefault="00CC1967" w14:paraId="3689107D" w14:textId="77777777">
            <w:pPr>
              <w:autoSpaceDE w:val="0"/>
              <w:autoSpaceDN w:val="0"/>
              <w:adjustRightInd w:val="0"/>
              <w:rPr>
                <w:rFonts w:eastAsia="Yu Mincho" w:cs="Arial"/>
                <w:kern w:val="14"/>
              </w:rPr>
            </w:pPr>
            <w:r>
              <w:rPr>
                <w:rFonts w:eastAsia="Yu Mincho" w:cs="Arial"/>
                <w:kern w:val="14"/>
              </w:rPr>
              <w:t>By:</w:t>
            </w:r>
          </w:p>
        </w:tc>
        <w:tc>
          <w:tcPr>
            <w:tcW w:w="4093" w:type="dxa"/>
            <w:tcBorders>
              <w:bottom w:val="single" w:color="auto" w:sz="4" w:space="0"/>
            </w:tcBorders>
            <w:vAlign w:val="bottom"/>
          </w:tcPr>
          <w:p w:rsidRPr="00D81774" w:rsidR="00CC1967" w:rsidRDefault="00CC1967" w14:paraId="434A4E79" w14:textId="77777777">
            <w:pPr>
              <w:keepLines/>
              <w:rPr>
                <w:rFonts w:eastAsia="Calibri" w:cs="Arial"/>
              </w:rPr>
            </w:pPr>
          </w:p>
        </w:tc>
      </w:tr>
      <w:tr w:rsidRPr="00A61905" w:rsidR="00CC1967" w14:paraId="63A73DB2" w14:textId="77777777">
        <w:trPr>
          <w:gridAfter w:val="1"/>
          <w:wAfter w:w="29" w:type="dxa"/>
          <w:cantSplit/>
          <w:trHeight w:val="504"/>
        </w:trPr>
        <w:tc>
          <w:tcPr>
            <w:tcW w:w="1008" w:type="dxa"/>
            <w:vAlign w:val="bottom"/>
          </w:tcPr>
          <w:p w:rsidRPr="00D81774" w:rsidR="00CC1967" w:rsidRDefault="00CC1967" w14:paraId="6F208D5C" w14:textId="77777777">
            <w:pPr>
              <w:autoSpaceDE w:val="0"/>
              <w:autoSpaceDN w:val="0"/>
              <w:adjustRightInd w:val="0"/>
              <w:rPr>
                <w:rFonts w:eastAsia="Yu Mincho" w:cs="Arial"/>
                <w:kern w:val="14"/>
              </w:rPr>
            </w:pPr>
            <w:r>
              <w:rPr>
                <w:rFonts w:eastAsia="Yu Mincho" w:cs="Arial"/>
                <w:kern w:val="14"/>
              </w:rPr>
              <w:t>Name</w:t>
            </w:r>
          </w:p>
          <w:p w:rsidRPr="00D81774" w:rsidR="00CC1967" w:rsidRDefault="00CC1967" w14:paraId="4EDBF835" w14:textId="77777777">
            <w:pPr>
              <w:autoSpaceDE w:val="0"/>
              <w:autoSpaceDN w:val="0"/>
              <w:adjustRightInd w:val="0"/>
              <w:rPr>
                <w:rFonts w:eastAsia="Yu Mincho" w:cs="Arial"/>
                <w:kern w:val="14"/>
              </w:rPr>
            </w:pPr>
            <w:r>
              <w:rPr>
                <w:rFonts w:eastAsia="Yu Mincho" w:cs="Arial"/>
                <w:kern w:val="14"/>
              </w:rPr>
              <w:t>Printed:</w:t>
            </w:r>
          </w:p>
        </w:tc>
        <w:tc>
          <w:tcPr>
            <w:tcW w:w="4093" w:type="dxa"/>
            <w:tcBorders>
              <w:top w:val="single" w:color="auto" w:sz="4" w:space="0"/>
              <w:bottom w:val="single" w:color="auto" w:sz="4" w:space="0"/>
            </w:tcBorders>
            <w:vAlign w:val="bottom"/>
          </w:tcPr>
          <w:p w:rsidRPr="00D81774" w:rsidR="00CC1967" w:rsidRDefault="00CC1967" w14:paraId="67CDF7C5" w14:textId="77777777">
            <w:pPr>
              <w:keepLines/>
              <w:rPr>
                <w:rFonts w:eastAsia="Calibri" w:cs="Arial"/>
              </w:rPr>
            </w:pPr>
          </w:p>
        </w:tc>
      </w:tr>
      <w:tr w:rsidRPr="00A61905" w:rsidR="00CC1967" w14:paraId="0A318F23" w14:textId="77777777">
        <w:trPr>
          <w:gridAfter w:val="1"/>
          <w:wAfter w:w="29" w:type="dxa"/>
          <w:cantSplit/>
          <w:trHeight w:val="504"/>
        </w:trPr>
        <w:tc>
          <w:tcPr>
            <w:tcW w:w="1008" w:type="dxa"/>
            <w:vAlign w:val="bottom"/>
          </w:tcPr>
          <w:p w:rsidRPr="00D81774" w:rsidR="00CC1967" w:rsidRDefault="00CC1967" w14:paraId="21F6BC8B" w14:textId="77777777">
            <w:pPr>
              <w:autoSpaceDE w:val="0"/>
              <w:autoSpaceDN w:val="0"/>
              <w:adjustRightInd w:val="0"/>
              <w:rPr>
                <w:rFonts w:eastAsia="Yu Mincho" w:cs="Arial"/>
                <w:kern w:val="14"/>
              </w:rPr>
            </w:pPr>
            <w:r>
              <w:rPr>
                <w:rFonts w:eastAsia="Yu Mincho" w:cs="Arial"/>
                <w:kern w:val="14"/>
              </w:rPr>
              <w:t>Title:</w:t>
            </w:r>
          </w:p>
        </w:tc>
        <w:tc>
          <w:tcPr>
            <w:tcW w:w="4093" w:type="dxa"/>
            <w:tcBorders>
              <w:top w:val="single" w:color="auto" w:sz="4" w:space="0"/>
              <w:bottom w:val="single" w:color="auto" w:sz="4" w:space="0"/>
            </w:tcBorders>
            <w:vAlign w:val="bottom"/>
          </w:tcPr>
          <w:p w:rsidRPr="00D81774" w:rsidR="00CC1967" w:rsidRDefault="00CC1967" w14:paraId="11ABE309" w14:textId="77777777">
            <w:pPr>
              <w:keepLines/>
              <w:rPr>
                <w:rFonts w:eastAsia="Calibri" w:cs="Arial"/>
              </w:rPr>
            </w:pPr>
          </w:p>
        </w:tc>
      </w:tr>
      <w:tr w:rsidRPr="00A61905" w:rsidR="00CC1967" w14:paraId="37CEA527" w14:textId="77777777">
        <w:trPr>
          <w:gridAfter w:val="1"/>
          <w:wAfter w:w="29" w:type="dxa"/>
          <w:cantSplit/>
          <w:trHeight w:val="504"/>
        </w:trPr>
        <w:tc>
          <w:tcPr>
            <w:tcW w:w="1008" w:type="dxa"/>
            <w:vAlign w:val="bottom"/>
          </w:tcPr>
          <w:p w:rsidRPr="00D81774" w:rsidR="00CC1967" w:rsidRDefault="00CC1967" w14:paraId="2A4CF467" w14:textId="77777777">
            <w:pPr>
              <w:autoSpaceDE w:val="0"/>
              <w:autoSpaceDN w:val="0"/>
              <w:adjustRightInd w:val="0"/>
              <w:rPr>
                <w:rFonts w:eastAsia="Yu Mincho" w:cs="Arial"/>
                <w:kern w:val="14"/>
              </w:rPr>
            </w:pPr>
            <w:r>
              <w:rPr>
                <w:rFonts w:eastAsia="Yu Mincho" w:cs="Arial"/>
                <w:kern w:val="14"/>
              </w:rPr>
              <w:t>Date:</w:t>
            </w:r>
          </w:p>
        </w:tc>
        <w:tc>
          <w:tcPr>
            <w:tcW w:w="4093" w:type="dxa"/>
            <w:tcBorders>
              <w:top w:val="single" w:color="auto" w:sz="4" w:space="0"/>
              <w:bottom w:val="single" w:color="auto" w:sz="4" w:space="0"/>
            </w:tcBorders>
            <w:vAlign w:val="bottom"/>
          </w:tcPr>
          <w:p w:rsidRPr="00D81774" w:rsidR="00CC1967" w:rsidRDefault="00CC1967" w14:paraId="6548E038" w14:textId="77777777">
            <w:pPr>
              <w:keepLines/>
              <w:rPr>
                <w:rFonts w:eastAsia="Calibri" w:cs="Arial"/>
              </w:rPr>
            </w:pPr>
          </w:p>
        </w:tc>
      </w:tr>
    </w:tbl>
    <w:p w:rsidRPr="00D81774" w:rsidR="00CC1967" w:rsidP="00CC1967" w:rsidRDefault="00CC1967" w14:paraId="0DA296B9" w14:textId="77777777">
      <w:pPr>
        <w:rPr>
          <w:rFonts w:eastAsia="Calibri" w:cs="Arial"/>
        </w:rPr>
      </w:pPr>
    </w:p>
    <w:p w:rsidR="00CC1967" w:rsidP="00CC1967" w:rsidRDefault="00CC1967" w14:paraId="317CEA9C" w14:textId="77777777">
      <w:pPr>
        <w:pStyle w:val="zGNormal6"/>
      </w:pPr>
    </w:p>
    <w:p w:rsidRPr="00F10071" w:rsidR="00CC1967" w:rsidP="00CC1967" w:rsidRDefault="00CC1967" w14:paraId="20412D61" w14:textId="77777777">
      <w:pPr>
        <w:suppressAutoHyphens/>
        <w:adjustRightInd w:val="0"/>
        <w:spacing w:before="0" w:after="240"/>
        <w:ind w:firstLine="720"/>
        <w:textAlignment w:val="baseline"/>
        <w:rPr>
          <w:rFonts w:eastAsia="Times New Roman" w:cs="Arial"/>
        </w:rPr>
        <w:sectPr w:rsidRPr="00F10071" w:rsidR="00CC1967" w:rsidSect="006B1C54">
          <w:headerReference w:type="default" r:id="rId55"/>
          <w:footerReference w:type="default" r:id="rId56"/>
          <w:pgSz w:w="12240" w:h="15840" w:code="1"/>
          <w:pgMar w:top="1440" w:right="1440" w:bottom="1440" w:left="1440" w:header="720" w:footer="720" w:gutter="0"/>
          <w:paperSrc w:first="15" w:other="15"/>
          <w:cols w:space="1440"/>
        </w:sectPr>
      </w:pPr>
    </w:p>
    <w:p w:rsidRPr="00F10071" w:rsidR="00CC1967" w:rsidP="00CC1967" w:rsidRDefault="00CC1967" w14:paraId="53D0CD12" w14:textId="525CA295">
      <w:pPr>
        <w:pStyle w:val="zGTitleExhibit"/>
        <w:rPr>
          <w:rFonts w:cs="Arial"/>
        </w:rPr>
      </w:pPr>
      <w:bookmarkStart w:name="_Toc159988043" w:id="624"/>
      <w:bookmarkStart w:name="_Toc212475783" w:id="625"/>
      <w:bookmarkStart w:name="_Toc227838480" w:id="626"/>
      <w:r>
        <w:rPr>
          <w:rFonts w:cs="Arial"/>
        </w:rPr>
        <w:lastRenderedPageBreak/>
        <w:t>Exhibit J – VIE Certification</w:t>
      </w:r>
      <w:bookmarkEnd w:id="624"/>
      <w:bookmarkEnd w:id="625"/>
      <w:bookmarkEnd w:id="626"/>
    </w:p>
    <w:p w:rsidRPr="00F10071" w:rsidR="00CC1967" w:rsidP="00CC1967" w:rsidRDefault="00CC1967" w14:paraId="3CE24470" w14:textId="0B5EC6BC">
      <w:pPr>
        <w:suppressAutoHyphens/>
        <w:adjustRightInd w:val="0"/>
        <w:spacing w:before="0" w:after="0"/>
        <w:textAlignment w:val="baseline"/>
        <w:rPr>
          <w:rFonts w:eastAsia="Times New Roman" w:cs="Arial"/>
        </w:rPr>
      </w:pPr>
      <w:r>
        <w:rPr>
          <w:rFonts w:eastAsia="Times New Roman" w:cs="Arial"/>
          <w:b/>
        </w:rPr>
        <w:t xml:space="preserve">AGREEMENT – </w:t>
      </w:r>
      <w:r>
        <w:rPr>
          <w:rFonts w:cs="Arial"/>
          <w:b/>
        </w:rPr>
        <w:t xml:space="preserve">Power Purchase Agreement for Firm Capacity, Firm Energy, and Ancillary Services from a Combustion Turbine Facility for 2026 All-Source Capacity Request for Proposals for Need Years 2032–2033 </w:t>
      </w:r>
      <w:r>
        <w:rPr>
          <w:rFonts w:eastAsia="Times New Roman" w:cs="Arial"/>
          <w:b/>
          <w:bCs/>
        </w:rPr>
        <w:t>at (</w:t>
      </w:r>
      <w:r>
        <w:rPr>
          <w:rFonts w:eastAsia="Times New Roman" w:cs="Arial"/>
          <w:b/>
          <w:bCs/>
          <w:highlight w:val="yellow"/>
        </w:rPr>
        <w:t>#</w:t>
      </w:r>
      <w:r>
        <w:rPr>
          <w:rFonts w:eastAsia="Times New Roman" w:cs="Arial"/>
          <w:b/>
          <w:highlight w:val="yellow"/>
        </w:rPr>
        <w:t>FacilityName</w:t>
      </w:r>
      <w:r>
        <w:rPr>
          <w:rFonts w:eastAsia="Times New Roman" w:cs="Arial"/>
          <w:b/>
          <w:bCs/>
          <w:highlight w:val="yellow"/>
        </w:rPr>
        <w:t>#</w:t>
      </w:r>
      <w:r>
        <w:rPr>
          <w:rFonts w:eastAsia="Times New Roman" w:cs="Arial"/>
          <w:b/>
          <w:bCs/>
        </w:rPr>
        <w:t xml:space="preserve">) </w:t>
      </w:r>
      <w:r>
        <w:rPr>
          <w:rFonts w:eastAsia="Times New Roman" w:cs="Arial"/>
        </w:rPr>
        <w:t xml:space="preserve">dated </w:t>
      </w:r>
      <w:r>
        <w:rPr>
          <w:rFonts w:eastAsia="Calibri" w:cs="Arial"/>
          <w:highlight w:val="yellow"/>
        </w:rPr>
        <w:t>#Month</w:t>
      </w:r>
      <w:r>
        <w:rPr>
          <w:rFonts w:eastAsia="Calibri" w:cs="Arial"/>
        </w:rPr>
        <w:t xml:space="preserve"> </w:t>
      </w:r>
      <w:r>
        <w:rPr>
          <w:rFonts w:eastAsia="Calibri" w:cs="Arial"/>
          <w:highlight w:val="yellow"/>
        </w:rPr>
        <w:t>#Day</w:t>
      </w:r>
      <w:r>
        <w:rPr>
          <w:rFonts w:eastAsia="Calibri" w:cs="Arial"/>
        </w:rPr>
        <w:t xml:space="preserve">, </w:t>
      </w:r>
      <w:r>
        <w:rPr>
          <w:rFonts w:eastAsia="Calibri" w:cs="Arial"/>
          <w:highlight w:val="yellow"/>
        </w:rPr>
        <w:t>#Year</w:t>
      </w:r>
      <w:r>
        <w:rPr>
          <w:rFonts w:eastAsia="Times New Roman" w:cs="Arial"/>
        </w:rPr>
        <w:t xml:space="preserve"> between</w:t>
      </w:r>
      <w:r>
        <w:rPr>
          <w:rFonts w:eastAsia="Times New Roman" w:cs="Arial"/>
          <w:b/>
        </w:rPr>
        <w:t xml:space="preserve"> </w:t>
      </w:r>
      <w:r>
        <w:rPr>
          <w:rFonts w:eastAsia="Times New Roman" w:cs="Arial"/>
        </w:rPr>
        <w:t>Georgia Power Company (“</w:t>
      </w:r>
      <w:r>
        <w:rPr>
          <w:rFonts w:eastAsia="Times New Roman" w:cs="Arial"/>
          <w:b/>
          <w:bCs/>
        </w:rPr>
        <w:t>GPC</w:t>
      </w:r>
      <w:r>
        <w:rPr>
          <w:rFonts w:eastAsia="Times New Roman" w:cs="Arial"/>
        </w:rPr>
        <w:t xml:space="preserve">”), and </w:t>
      </w:r>
      <w:r>
        <w:rPr>
          <w:rFonts w:eastAsia="Yu Mincho" w:cs="Arial"/>
          <w:b/>
          <w:spacing w:val="-6"/>
          <w:kern w:val="14"/>
          <w:highlight w:val="yellow"/>
        </w:rPr>
        <w:t>#SellerLegalName#</w:t>
      </w:r>
      <w:r>
        <w:rPr>
          <w:rFonts w:eastAsia="Times New Roman" w:cs="Arial"/>
        </w:rPr>
        <w:t xml:space="preserve"> (“</w:t>
      </w:r>
      <w:r>
        <w:rPr>
          <w:rFonts w:eastAsia="Times New Roman" w:cs="Arial"/>
          <w:b/>
          <w:bCs/>
        </w:rPr>
        <w:t>Seller</w:t>
      </w:r>
      <w:r>
        <w:rPr>
          <w:rFonts w:eastAsia="Times New Roman" w:cs="Arial"/>
        </w:rPr>
        <w:t>”) (“</w:t>
      </w:r>
      <w:r>
        <w:rPr>
          <w:rFonts w:eastAsia="Times New Roman" w:cs="Arial"/>
          <w:b/>
          <w:bCs/>
        </w:rPr>
        <w:t>PPA</w:t>
      </w:r>
      <w:r>
        <w:rPr>
          <w:rFonts w:eastAsia="Times New Roman" w:cs="Arial"/>
        </w:rPr>
        <w:t xml:space="preserve">”). Capitalized terms used herein </w:t>
      </w:r>
      <w:r>
        <w:rPr>
          <w:rFonts w:cs="Arial"/>
        </w:rPr>
        <w:t>will</w:t>
      </w:r>
      <w:r>
        <w:rPr>
          <w:rFonts w:eastAsia="Times New Roman" w:cs="Arial"/>
        </w:rPr>
        <w:t xml:space="preserve"> have the meaning assigned in the PPA.</w:t>
      </w:r>
    </w:p>
    <w:p w:rsidRPr="00F10071" w:rsidR="00CC1967" w:rsidP="00CC1967" w:rsidRDefault="00CC1967" w14:paraId="4F684153" w14:textId="77777777">
      <w:pPr>
        <w:suppressAutoHyphens/>
        <w:adjustRightInd w:val="0"/>
        <w:spacing w:before="0" w:after="0"/>
        <w:textAlignment w:val="baseline"/>
        <w:rPr>
          <w:rFonts w:eastAsia="Times New Roman" w:cs="Arial"/>
          <w:b/>
        </w:rPr>
      </w:pPr>
    </w:p>
    <w:p w:rsidRPr="00412C31" w:rsidR="00A52CC1" w:rsidP="00A52CC1" w:rsidRDefault="00A52CC1" w14:paraId="2D4C6048" w14:textId="77777777">
      <w:pPr>
        <w:suppressAutoHyphens/>
        <w:autoSpaceDE w:val="0"/>
        <w:autoSpaceDN w:val="0"/>
        <w:adjustRightInd w:val="0"/>
        <w:rPr>
          <w:rFonts w:eastAsia="Calibri" w:cs="Arial"/>
        </w:rPr>
      </w:pPr>
      <w:bookmarkStart w:name="_DV_C2135" w:id="627"/>
      <w:r>
        <w:rPr>
          <w:rFonts w:eastAsia="Calibri" w:cs="Arial"/>
        </w:rPr>
        <w:t>The undersigned individual, being the</w:t>
      </w:r>
      <w:bookmarkStart w:name="_DV_X1736" w:id="628"/>
      <w:bookmarkStart w:name="_DV_C2136" w:id="629"/>
      <w:bookmarkEnd w:id="627"/>
      <w:r>
        <w:rPr>
          <w:rFonts w:eastAsia="Calibri" w:cs="Arial"/>
        </w:rPr>
        <w:t xml:space="preserve"> Chief Financial Officer </w:t>
      </w:r>
      <w:bookmarkStart w:name="_DV_C2137" w:id="630"/>
      <w:bookmarkEnd w:id="628"/>
      <w:bookmarkEnd w:id="629"/>
      <w:r>
        <w:rPr>
          <w:rFonts w:eastAsia="Calibri" w:cs="Arial"/>
        </w:rPr>
        <w:t>of Seller</w:t>
      </w:r>
      <w:bookmarkStart w:name="_Ref121294435" w:id="631"/>
      <w:r>
        <w:rPr>
          <w:rFonts w:eastAsia="Calibri" w:cs="Arial"/>
          <w:vertAlign w:val="superscript"/>
        </w:rPr>
        <w:footnoteReference w:id="3"/>
      </w:r>
      <w:bookmarkEnd w:id="631"/>
      <w:r>
        <w:rPr>
          <w:rFonts w:eastAsia="Calibri" w:cs="Arial"/>
        </w:rPr>
        <w:t xml:space="preserve"> and having responsibilities for financial accounting matters associated with this PPA, certifies that this </w:t>
      </w:r>
      <w:r>
        <w:rPr>
          <w:rFonts w:eastAsia="Times New Roman" w:cs="Arial"/>
        </w:rPr>
        <w:t xml:space="preserve">PPA </w:t>
      </w:r>
      <w:r>
        <w:rPr>
          <w:rFonts w:eastAsia="Calibri" w:cs="Arial"/>
        </w:rPr>
        <w:t xml:space="preserve">WILL (_____)/WILL NOT (_____) require Seller, over the Term and based on U.S. Generally Accepting Accounting Principles in effect as of the date of this certificate, to deconsolidate on its books and records any assets, liabilities, cash flow, profits, or losses of Seller </w:t>
      </w:r>
      <w:proofErr w:type="gramStart"/>
      <w:r>
        <w:rPr>
          <w:rFonts w:eastAsia="Calibri" w:cs="Arial"/>
        </w:rPr>
        <w:t>as a result of</w:t>
      </w:r>
      <w:proofErr w:type="gramEnd"/>
      <w:r>
        <w:rPr>
          <w:rFonts w:eastAsia="Calibri" w:cs="Arial"/>
        </w:rPr>
        <w:t xml:space="preserve"> GPC being determined to be the Primary Beneficiary. My determination of the most likely accounting treatment of this transaction results from my personal consideration after necessary discussions with relevant officers of</w:t>
      </w:r>
      <w:bookmarkStart w:name="_DV_X2116" w:id="632"/>
      <w:bookmarkStart w:name="_DV_C2138" w:id="633"/>
      <w:bookmarkEnd w:id="630"/>
      <w:r>
        <w:rPr>
          <w:rFonts w:eastAsia="Calibri" w:cs="Arial"/>
        </w:rPr>
        <w:t xml:space="preserve"> Accounting Standards Codification (“</w:t>
      </w:r>
      <w:r>
        <w:rPr>
          <w:rFonts w:eastAsia="Calibri" w:cs="Arial"/>
          <w:b/>
        </w:rPr>
        <w:t>ASC</w:t>
      </w:r>
      <w:r>
        <w:rPr>
          <w:rFonts w:eastAsia="Calibri" w:cs="Arial"/>
        </w:rPr>
        <w:t xml:space="preserve">”) Topic </w:t>
      </w:r>
      <w:bookmarkStart w:name="DocXTextRef461" w:id="634"/>
      <w:r>
        <w:rPr>
          <w:rFonts w:eastAsia="Calibri" w:cs="Arial"/>
        </w:rPr>
        <w:t>810</w:t>
      </w:r>
      <w:bookmarkEnd w:id="634"/>
      <w:r>
        <w:rPr>
          <w:rFonts w:eastAsia="Calibri" w:cs="Arial"/>
        </w:rPr>
        <w:t xml:space="preserve">, </w:t>
      </w:r>
      <w:bookmarkStart w:name="_DV_C2139" w:id="635"/>
      <w:bookmarkEnd w:id="632"/>
      <w:bookmarkEnd w:id="633"/>
      <w:r>
        <w:rPr>
          <w:rFonts w:eastAsia="Calibri" w:cs="Arial"/>
        </w:rPr>
        <w:t>Consolidation, and the following factual matters:</w:t>
      </w:r>
      <w:bookmarkEnd w:id="635"/>
    </w:p>
    <w:p w:rsidRPr="00412C31" w:rsidR="00A52CC1" w:rsidP="00E62CF6" w:rsidRDefault="00A52CC1" w14:paraId="66166892" w14:textId="77777777">
      <w:pPr>
        <w:widowControl w:val="0"/>
        <w:numPr>
          <w:ilvl w:val="0"/>
          <w:numId w:val="13"/>
        </w:numPr>
        <w:suppressAutoHyphens/>
        <w:autoSpaceDE w:val="0"/>
        <w:autoSpaceDN w:val="0"/>
        <w:adjustRightInd w:val="0"/>
        <w:jc w:val="left"/>
        <w:textAlignment w:val="baseline"/>
        <w:rPr>
          <w:rFonts w:eastAsia="Calibri" w:cs="Arial"/>
        </w:rPr>
      </w:pPr>
      <w:bookmarkStart w:name="_DV_C2140" w:id="636"/>
      <w:r>
        <w:rPr>
          <w:rFonts w:eastAsia="Calibri" w:cs="Arial"/>
        </w:rPr>
        <w:t>Seller’s accounting policies, procedures, and internal controls are sufficient to provide GPC with an appropriate basis for confirming the information contained herein.</w:t>
      </w:r>
      <w:bookmarkEnd w:id="636"/>
    </w:p>
    <w:p w:rsidRPr="00412C31" w:rsidR="00A52CC1" w:rsidP="003C3208" w:rsidRDefault="00A52CC1" w14:paraId="04B68EA5" w14:textId="77777777">
      <w:pPr>
        <w:suppressAutoHyphens/>
        <w:autoSpaceDE w:val="0"/>
        <w:autoSpaceDN w:val="0"/>
        <w:adjustRightInd w:val="0"/>
        <w:ind w:firstLine="720"/>
        <w:rPr>
          <w:rFonts w:eastAsia="Calibri" w:cs="Arial"/>
        </w:rPr>
      </w:pPr>
      <w:bookmarkStart w:name="_DV_C2141" w:id="637"/>
    </w:p>
    <w:p w:rsidRPr="00412C31" w:rsidR="00A52CC1" w:rsidP="003C3208" w:rsidRDefault="00A52CC1" w14:paraId="6A8B0F1B" w14:textId="77777777">
      <w:pPr>
        <w:suppressAutoHyphens/>
        <w:autoSpaceDE w:val="0"/>
        <w:autoSpaceDN w:val="0"/>
        <w:adjustRightInd w:val="0"/>
        <w:ind w:firstLine="720"/>
        <w:rPr>
          <w:rFonts w:eastAsia="Calibri" w:cs="Arial"/>
        </w:rPr>
      </w:pPr>
      <w:r>
        <w:rPr>
          <w:rFonts w:eastAsia="Calibri" w:cs="Arial"/>
        </w:rPr>
        <w:t>________Yes</w:t>
      </w:r>
      <w:bookmarkEnd w:id="637"/>
    </w:p>
    <w:p w:rsidRPr="00412C31" w:rsidR="00A52CC1" w:rsidP="003C3208" w:rsidRDefault="00A52CC1" w14:paraId="73CF5D5E" w14:textId="77777777">
      <w:pPr>
        <w:suppressAutoHyphens/>
        <w:autoSpaceDE w:val="0"/>
        <w:autoSpaceDN w:val="0"/>
        <w:adjustRightInd w:val="0"/>
        <w:ind w:firstLine="720"/>
        <w:rPr>
          <w:rFonts w:eastAsia="Calibri" w:cs="Arial"/>
        </w:rPr>
      </w:pPr>
      <w:bookmarkStart w:name="_DV_C2142" w:id="638"/>
      <w:r>
        <w:rPr>
          <w:rFonts w:eastAsia="Calibri" w:cs="Arial"/>
        </w:rPr>
        <w:t>________No (please explain)</w:t>
      </w:r>
      <w:bookmarkEnd w:id="638"/>
    </w:p>
    <w:p w:rsidRPr="00412C31" w:rsidR="00A52CC1" w:rsidP="003C3208" w:rsidRDefault="00A52CC1" w14:paraId="753DC1D3" w14:textId="77777777">
      <w:pPr>
        <w:suppressAutoHyphens/>
        <w:autoSpaceDE w:val="0"/>
        <w:autoSpaceDN w:val="0"/>
        <w:adjustRightInd w:val="0"/>
        <w:ind w:firstLine="720"/>
        <w:rPr>
          <w:rFonts w:eastAsia="Calibri" w:cs="Arial"/>
        </w:rPr>
      </w:pPr>
    </w:p>
    <w:p w:rsidRPr="00412C31" w:rsidR="00A52CC1" w:rsidP="003C3208" w:rsidRDefault="00A52CC1" w14:paraId="5D41C465" w14:textId="77777777">
      <w:pPr>
        <w:suppressAutoHyphens/>
        <w:autoSpaceDE w:val="0"/>
        <w:autoSpaceDN w:val="0"/>
        <w:adjustRightInd w:val="0"/>
        <w:ind w:left="720" w:hanging="14"/>
        <w:rPr>
          <w:rFonts w:eastAsia="Calibri" w:cs="Arial"/>
          <w:iCs/>
        </w:rPr>
      </w:pPr>
      <w:r>
        <w:rPr>
          <w:rFonts w:eastAsia="Calibri" w:cs="Arial"/>
          <w:i/>
        </w:rPr>
        <w:t>Explain:</w:t>
      </w:r>
      <w:r>
        <w:rPr>
          <w:rFonts w:eastAsia="Calibri" w:cs="Arial"/>
          <w:iCs/>
        </w:rPr>
        <w:t>_______________________________________________________________________</w:t>
      </w:r>
    </w:p>
    <w:p w:rsidRPr="00412C31" w:rsidR="00A52CC1" w:rsidP="003C3208" w:rsidRDefault="00A52CC1" w14:paraId="3F184390" w14:textId="77777777">
      <w:pPr>
        <w:suppressAutoHyphens/>
        <w:autoSpaceDE w:val="0"/>
        <w:autoSpaceDN w:val="0"/>
        <w:adjustRightInd w:val="0"/>
        <w:ind w:left="720" w:hanging="14"/>
        <w:rPr>
          <w:rFonts w:eastAsia="Calibri" w:cs="Arial"/>
        </w:rPr>
      </w:pPr>
    </w:p>
    <w:p w:rsidRPr="00412C31" w:rsidR="00A52CC1" w:rsidP="00E62CF6" w:rsidRDefault="00A52CC1" w14:paraId="20E4C23B" w14:textId="77777777">
      <w:pPr>
        <w:widowControl w:val="0"/>
        <w:numPr>
          <w:ilvl w:val="0"/>
          <w:numId w:val="13"/>
        </w:numPr>
        <w:suppressAutoHyphens/>
        <w:autoSpaceDE w:val="0"/>
        <w:autoSpaceDN w:val="0"/>
        <w:adjustRightInd w:val="0"/>
        <w:jc w:val="left"/>
        <w:textAlignment w:val="baseline"/>
        <w:rPr>
          <w:rFonts w:eastAsia="Calibri" w:cs="Arial"/>
        </w:rPr>
      </w:pPr>
      <w:r>
        <w:rPr>
          <w:rFonts w:eastAsia="Calibri" w:cs="Arial"/>
        </w:rPr>
        <w:t xml:space="preserve">Seller qualifies for one of the scope exceptions listed in paragraphs </w:t>
      </w:r>
      <w:bookmarkStart w:name="DocXTextRef462" w:id="639"/>
      <w:r>
        <w:rPr>
          <w:rFonts w:eastAsia="Calibri" w:cs="Arial"/>
        </w:rPr>
        <w:t>810</w:t>
      </w:r>
      <w:bookmarkEnd w:id="639"/>
      <w:r>
        <w:rPr>
          <w:rFonts w:eastAsia="Calibri" w:cs="Arial"/>
        </w:rPr>
        <w:t>-</w:t>
      </w:r>
      <w:bookmarkStart w:name="DocXTextRef463" w:id="640"/>
      <w:r>
        <w:rPr>
          <w:rFonts w:eastAsia="Calibri" w:cs="Arial"/>
        </w:rPr>
        <w:t>10</w:t>
      </w:r>
      <w:bookmarkEnd w:id="640"/>
      <w:r>
        <w:rPr>
          <w:rFonts w:eastAsia="Calibri" w:cs="Arial"/>
        </w:rPr>
        <w:t xml:space="preserve">-15-12 and </w:t>
      </w:r>
      <w:bookmarkStart w:name="DocXTextRef466" w:id="641"/>
      <w:r>
        <w:rPr>
          <w:rFonts w:eastAsia="Calibri" w:cs="Arial"/>
        </w:rPr>
        <w:t>810</w:t>
      </w:r>
      <w:bookmarkEnd w:id="641"/>
      <w:r>
        <w:rPr>
          <w:rFonts w:eastAsia="Calibri" w:cs="Arial"/>
        </w:rPr>
        <w:t>-</w:t>
      </w:r>
      <w:bookmarkStart w:name="DocXTextRef464" w:id="642"/>
      <w:r>
        <w:rPr>
          <w:rFonts w:eastAsia="Calibri" w:cs="Arial"/>
        </w:rPr>
        <w:t>10</w:t>
      </w:r>
      <w:bookmarkEnd w:id="642"/>
      <w:r>
        <w:rPr>
          <w:rFonts w:eastAsia="Calibri" w:cs="Arial"/>
        </w:rPr>
        <w:t xml:space="preserve">-15-17 of ASC Topic </w:t>
      </w:r>
      <w:bookmarkStart w:name="DocXTextRef465" w:id="643"/>
      <w:r>
        <w:rPr>
          <w:rFonts w:eastAsia="Calibri" w:cs="Arial"/>
        </w:rPr>
        <w:t>810</w:t>
      </w:r>
      <w:bookmarkEnd w:id="643"/>
      <w:r>
        <w:rPr>
          <w:rFonts w:eastAsia="Calibri" w:cs="Arial"/>
        </w:rPr>
        <w:t xml:space="preserve">. </w:t>
      </w:r>
    </w:p>
    <w:p w:rsidRPr="00412C31" w:rsidR="00A52CC1" w:rsidP="003C3208" w:rsidRDefault="00A52CC1" w14:paraId="02FC1FE3" w14:textId="77777777">
      <w:pPr>
        <w:suppressAutoHyphens/>
        <w:autoSpaceDE w:val="0"/>
        <w:autoSpaceDN w:val="0"/>
        <w:adjustRightInd w:val="0"/>
        <w:ind w:left="720"/>
        <w:rPr>
          <w:rFonts w:eastAsia="Calibri" w:cs="Arial"/>
        </w:rPr>
      </w:pPr>
    </w:p>
    <w:p w:rsidRPr="00412C31" w:rsidR="00A52CC1" w:rsidP="003C3208" w:rsidRDefault="00A52CC1" w14:paraId="1D6001C3" w14:textId="28CE005A">
      <w:pPr>
        <w:suppressAutoHyphens/>
        <w:autoSpaceDE w:val="0"/>
        <w:autoSpaceDN w:val="0"/>
        <w:adjustRightInd w:val="0"/>
        <w:ind w:left="720"/>
        <w:rPr>
          <w:rFonts w:eastAsia="Calibri" w:cs="Arial"/>
        </w:rPr>
      </w:pPr>
      <w:bookmarkStart w:name="_DV_C2145" w:id="644"/>
      <w:r>
        <w:rPr>
          <w:rFonts w:eastAsia="Calibri" w:cs="Arial"/>
        </w:rPr>
        <w:t xml:space="preserve">________Yes  </w:t>
      </w:r>
    </w:p>
    <w:p w:rsidRPr="00412C31" w:rsidR="00A52CC1" w:rsidP="003C3208" w:rsidRDefault="00A52CC1" w14:paraId="07305576" w14:textId="77777777">
      <w:pPr>
        <w:suppressAutoHyphens/>
        <w:autoSpaceDE w:val="0"/>
        <w:autoSpaceDN w:val="0"/>
        <w:adjustRightInd w:val="0"/>
        <w:ind w:left="720"/>
        <w:rPr>
          <w:rFonts w:eastAsia="Calibri" w:cs="Arial"/>
        </w:rPr>
      </w:pPr>
      <w:r>
        <w:rPr>
          <w:rFonts w:eastAsia="Calibri" w:cs="Arial"/>
        </w:rPr>
        <w:t>________No</w:t>
      </w:r>
      <w:bookmarkEnd w:id="644"/>
      <w:r>
        <w:rPr>
          <w:rFonts w:eastAsia="Calibri" w:cs="Arial"/>
        </w:rPr>
        <w:t xml:space="preserve"> (please explain)</w:t>
      </w:r>
    </w:p>
    <w:p w:rsidRPr="00412C31" w:rsidR="00A52CC1" w:rsidP="003C3208" w:rsidRDefault="00A52CC1" w14:paraId="644B3C26" w14:textId="77777777">
      <w:pPr>
        <w:suppressAutoHyphens/>
        <w:autoSpaceDE w:val="0"/>
        <w:autoSpaceDN w:val="0"/>
        <w:adjustRightInd w:val="0"/>
        <w:ind w:left="720"/>
        <w:rPr>
          <w:rFonts w:eastAsia="Calibri" w:cs="Arial"/>
        </w:rPr>
      </w:pPr>
    </w:p>
    <w:p w:rsidRPr="00412C31" w:rsidR="00A52CC1" w:rsidP="003C3208" w:rsidRDefault="00A52CC1" w14:paraId="354F650F" w14:textId="77777777">
      <w:pPr>
        <w:suppressAutoHyphens/>
        <w:autoSpaceDE w:val="0"/>
        <w:autoSpaceDN w:val="0"/>
        <w:adjustRightInd w:val="0"/>
        <w:ind w:left="720"/>
        <w:rPr>
          <w:rFonts w:eastAsia="Calibri" w:cs="Arial"/>
        </w:rPr>
      </w:pPr>
      <w:r>
        <w:rPr>
          <w:rFonts w:eastAsia="Calibri" w:cs="Arial"/>
          <w:i/>
        </w:rPr>
        <w:t>Explain:</w:t>
      </w:r>
      <w:r>
        <w:rPr>
          <w:rFonts w:eastAsia="Calibri" w:cs="Arial"/>
          <w:iCs/>
        </w:rPr>
        <w:t xml:space="preserve">_______________________________________________________________________ </w:t>
      </w:r>
    </w:p>
    <w:p w:rsidRPr="00412C31" w:rsidR="00A52CC1" w:rsidP="003C3208" w:rsidRDefault="00A52CC1" w14:paraId="41E4AF77" w14:textId="77777777">
      <w:pPr>
        <w:suppressAutoHyphens/>
        <w:autoSpaceDE w:val="0"/>
        <w:autoSpaceDN w:val="0"/>
        <w:adjustRightInd w:val="0"/>
        <w:ind w:left="720"/>
        <w:rPr>
          <w:rFonts w:eastAsia="Calibri" w:cs="Arial"/>
        </w:rPr>
      </w:pPr>
    </w:p>
    <w:p w:rsidRPr="00412C31" w:rsidR="00A52CC1" w:rsidP="00E62CF6" w:rsidRDefault="00A52CC1" w14:paraId="7D2C38DA" w14:textId="77777777">
      <w:pPr>
        <w:widowControl w:val="0"/>
        <w:numPr>
          <w:ilvl w:val="0"/>
          <w:numId w:val="13"/>
        </w:numPr>
        <w:suppressAutoHyphens/>
        <w:autoSpaceDE w:val="0"/>
        <w:autoSpaceDN w:val="0"/>
        <w:adjustRightInd w:val="0"/>
        <w:jc w:val="left"/>
        <w:textAlignment w:val="baseline"/>
        <w:rPr>
          <w:rFonts w:eastAsia="Calibri" w:cs="Arial"/>
        </w:rPr>
      </w:pPr>
      <w:r>
        <w:rPr>
          <w:rFonts w:eastAsia="Calibri" w:cs="Arial"/>
        </w:rPr>
        <w:t xml:space="preserve">Seller is financed with equity equal to or greater than 10% of Seller’s total assets per paragraphs </w:t>
      </w:r>
      <w:bookmarkStart w:name="DocXTextRef467" w:id="645"/>
      <w:r>
        <w:rPr>
          <w:rFonts w:eastAsia="Calibri" w:cs="Arial"/>
        </w:rPr>
        <w:t>810</w:t>
      </w:r>
      <w:bookmarkEnd w:id="645"/>
      <w:r>
        <w:rPr>
          <w:rFonts w:eastAsia="Calibri" w:cs="Arial"/>
        </w:rPr>
        <w:t>-</w:t>
      </w:r>
      <w:bookmarkStart w:name="DocXTextRef468" w:id="646"/>
      <w:r>
        <w:rPr>
          <w:rFonts w:eastAsia="Calibri" w:cs="Arial"/>
        </w:rPr>
        <w:t>10</w:t>
      </w:r>
      <w:bookmarkEnd w:id="646"/>
      <w:r>
        <w:rPr>
          <w:rFonts w:eastAsia="Calibri" w:cs="Arial"/>
        </w:rPr>
        <w:t xml:space="preserve">-25-45 to </w:t>
      </w:r>
      <w:bookmarkStart w:name="DocXTextRef470" w:id="647"/>
      <w:r>
        <w:rPr>
          <w:rFonts w:eastAsia="Calibri" w:cs="Arial"/>
        </w:rPr>
        <w:t>47</w:t>
      </w:r>
      <w:bookmarkEnd w:id="647"/>
      <w:r>
        <w:rPr>
          <w:rFonts w:eastAsia="Calibri" w:cs="Arial"/>
        </w:rPr>
        <w:t xml:space="preserve"> of ASC Topic </w:t>
      </w:r>
      <w:bookmarkStart w:name="DocXTextRef469" w:id="648"/>
      <w:r>
        <w:rPr>
          <w:rFonts w:eastAsia="Calibri" w:cs="Arial"/>
        </w:rPr>
        <w:t>810</w:t>
      </w:r>
      <w:bookmarkEnd w:id="648"/>
      <w:r>
        <w:rPr>
          <w:rFonts w:eastAsia="Calibri" w:cs="Arial"/>
        </w:rPr>
        <w:t>.</w:t>
      </w:r>
    </w:p>
    <w:p w:rsidRPr="00412C31" w:rsidR="00A52CC1" w:rsidP="003C3208" w:rsidRDefault="00A52CC1" w14:paraId="248DEE1F" w14:textId="77777777">
      <w:pPr>
        <w:suppressAutoHyphens/>
        <w:autoSpaceDE w:val="0"/>
        <w:autoSpaceDN w:val="0"/>
        <w:adjustRightInd w:val="0"/>
        <w:ind w:firstLine="720"/>
        <w:rPr>
          <w:rFonts w:eastAsia="Calibri" w:cs="Arial"/>
        </w:rPr>
      </w:pPr>
    </w:p>
    <w:p w:rsidRPr="00412C31" w:rsidR="00A52CC1" w:rsidP="003C3208" w:rsidRDefault="00A52CC1" w14:paraId="73F4D687" w14:textId="77777777">
      <w:pPr>
        <w:suppressAutoHyphens/>
        <w:autoSpaceDE w:val="0"/>
        <w:autoSpaceDN w:val="0"/>
        <w:adjustRightInd w:val="0"/>
        <w:ind w:firstLine="720"/>
        <w:rPr>
          <w:rFonts w:eastAsia="Calibri" w:cs="Arial"/>
        </w:rPr>
      </w:pPr>
      <w:r>
        <w:rPr>
          <w:rFonts w:eastAsia="Calibri" w:cs="Arial"/>
        </w:rPr>
        <w:t xml:space="preserve">________Yes </w:t>
      </w:r>
    </w:p>
    <w:p w:rsidRPr="00412C31" w:rsidR="00A52CC1" w:rsidP="003C3208" w:rsidRDefault="00A52CC1" w14:paraId="12D6ECE3" w14:textId="77777777">
      <w:pPr>
        <w:suppressAutoHyphens/>
        <w:autoSpaceDE w:val="0"/>
        <w:autoSpaceDN w:val="0"/>
        <w:adjustRightInd w:val="0"/>
        <w:ind w:firstLine="720"/>
        <w:rPr>
          <w:rFonts w:eastAsia="Calibri" w:cs="Arial"/>
        </w:rPr>
      </w:pPr>
      <w:r>
        <w:rPr>
          <w:rFonts w:eastAsia="Calibri" w:cs="Arial"/>
        </w:rPr>
        <w:t>________No (please explain)</w:t>
      </w:r>
    </w:p>
    <w:p w:rsidRPr="00412C31" w:rsidR="00A52CC1" w:rsidP="003C3208" w:rsidRDefault="00A52CC1" w14:paraId="5A4A6D0C" w14:textId="77777777">
      <w:pPr>
        <w:suppressAutoHyphens/>
        <w:autoSpaceDE w:val="0"/>
        <w:autoSpaceDN w:val="0"/>
        <w:adjustRightInd w:val="0"/>
        <w:ind w:firstLine="720"/>
        <w:rPr>
          <w:rFonts w:eastAsia="Calibri" w:cs="Arial"/>
        </w:rPr>
      </w:pPr>
    </w:p>
    <w:p w:rsidRPr="00412C31" w:rsidR="00A52CC1" w:rsidP="003C3208" w:rsidRDefault="00A52CC1" w14:paraId="7446421E" w14:textId="77777777">
      <w:pPr>
        <w:suppressAutoHyphens/>
        <w:autoSpaceDE w:val="0"/>
        <w:autoSpaceDN w:val="0"/>
        <w:adjustRightInd w:val="0"/>
        <w:ind w:left="720" w:hanging="14"/>
        <w:rPr>
          <w:rFonts w:eastAsia="Calibri" w:cs="Arial"/>
          <w:iCs/>
        </w:rPr>
      </w:pPr>
      <w:r>
        <w:rPr>
          <w:rFonts w:eastAsia="Calibri" w:cs="Arial"/>
          <w:i/>
        </w:rPr>
        <w:t>Explain</w:t>
      </w:r>
      <w:r>
        <w:rPr>
          <w:rFonts w:eastAsia="Calibri" w:cs="Arial"/>
          <w:iCs/>
        </w:rPr>
        <w:t>:_______________________________________________________________________</w:t>
      </w:r>
    </w:p>
    <w:p w:rsidRPr="00412C31" w:rsidR="00A52CC1" w:rsidP="003C3208" w:rsidRDefault="00A52CC1" w14:paraId="46637428" w14:textId="77777777">
      <w:pPr>
        <w:suppressAutoHyphens/>
        <w:autoSpaceDE w:val="0"/>
        <w:autoSpaceDN w:val="0"/>
        <w:adjustRightInd w:val="0"/>
        <w:ind w:left="720" w:hanging="14"/>
        <w:rPr>
          <w:rFonts w:eastAsia="Calibri" w:cs="Arial"/>
          <w:iCs/>
        </w:rPr>
      </w:pPr>
    </w:p>
    <w:p w:rsidRPr="00412C31" w:rsidR="00A52CC1" w:rsidP="00E62CF6" w:rsidRDefault="00A52CC1" w14:paraId="706BF4BA" w14:textId="77777777">
      <w:pPr>
        <w:widowControl w:val="0"/>
        <w:numPr>
          <w:ilvl w:val="0"/>
          <w:numId w:val="13"/>
        </w:numPr>
        <w:suppressAutoHyphens/>
        <w:autoSpaceDE w:val="0"/>
        <w:autoSpaceDN w:val="0"/>
        <w:adjustRightInd w:val="0"/>
        <w:jc w:val="left"/>
        <w:textAlignment w:val="baseline"/>
        <w:rPr>
          <w:rFonts w:eastAsia="Calibri" w:cs="Arial"/>
        </w:rPr>
      </w:pPr>
      <w:r>
        <w:rPr>
          <w:rFonts w:eastAsia="Calibri" w:cs="Arial"/>
        </w:rPr>
        <w:t xml:space="preserve">The </w:t>
      </w:r>
      <w:r>
        <w:rPr>
          <w:rFonts w:eastAsia="Times New Roman" w:cs="Arial"/>
        </w:rPr>
        <w:t>PPA</w:t>
      </w:r>
      <w:r>
        <w:rPr>
          <w:rFonts w:eastAsia="Calibri" w:cs="Arial"/>
        </w:rPr>
        <w:t xml:space="preserve"> revenues correlate with fluctuations in Seller’s operating cash </w:t>
      </w:r>
      <w:proofErr w:type="gramStart"/>
      <w:r>
        <w:rPr>
          <w:rFonts w:eastAsia="Calibri" w:cs="Arial"/>
        </w:rPr>
        <w:t>flows</w:t>
      </w:r>
      <w:proofErr w:type="gramEnd"/>
      <w:r>
        <w:rPr>
          <w:rFonts w:eastAsia="Calibri" w:cs="Arial"/>
        </w:rPr>
        <w:t xml:space="preserve"> (operating expenses). </w:t>
      </w:r>
    </w:p>
    <w:p w:rsidRPr="00412C31" w:rsidR="00A52CC1" w:rsidP="003C3208" w:rsidRDefault="00A52CC1" w14:paraId="7898675F" w14:textId="77777777">
      <w:pPr>
        <w:suppressAutoHyphens/>
        <w:autoSpaceDE w:val="0"/>
        <w:autoSpaceDN w:val="0"/>
        <w:adjustRightInd w:val="0"/>
        <w:ind w:firstLine="720"/>
        <w:rPr>
          <w:rFonts w:eastAsia="Calibri" w:cs="Arial"/>
        </w:rPr>
      </w:pPr>
    </w:p>
    <w:p w:rsidRPr="00412C31" w:rsidR="00A52CC1" w:rsidP="003C3208" w:rsidRDefault="00A52CC1" w14:paraId="09C2A59F" w14:textId="77777777">
      <w:pPr>
        <w:suppressAutoHyphens/>
        <w:autoSpaceDE w:val="0"/>
        <w:autoSpaceDN w:val="0"/>
        <w:adjustRightInd w:val="0"/>
        <w:ind w:firstLine="720"/>
        <w:rPr>
          <w:rFonts w:eastAsia="Calibri" w:cs="Arial"/>
        </w:rPr>
      </w:pPr>
      <w:r>
        <w:rPr>
          <w:rFonts w:eastAsia="Calibri" w:cs="Arial"/>
        </w:rPr>
        <w:t xml:space="preserve">________Yes </w:t>
      </w:r>
    </w:p>
    <w:p w:rsidRPr="00412C31" w:rsidR="00A52CC1" w:rsidP="003C3208" w:rsidRDefault="00A52CC1" w14:paraId="0B586CDA" w14:textId="77777777">
      <w:pPr>
        <w:suppressAutoHyphens/>
        <w:autoSpaceDE w:val="0"/>
        <w:autoSpaceDN w:val="0"/>
        <w:adjustRightInd w:val="0"/>
        <w:ind w:firstLine="720"/>
        <w:rPr>
          <w:rFonts w:eastAsia="Calibri" w:cs="Arial"/>
        </w:rPr>
      </w:pPr>
      <w:r>
        <w:rPr>
          <w:rFonts w:eastAsia="Calibri" w:cs="Arial"/>
        </w:rPr>
        <w:t>________No (please explain)</w:t>
      </w:r>
    </w:p>
    <w:p w:rsidRPr="00412C31" w:rsidR="00A52CC1" w:rsidP="003C3208" w:rsidRDefault="00A52CC1" w14:paraId="5A54A17D" w14:textId="77777777">
      <w:pPr>
        <w:suppressAutoHyphens/>
        <w:autoSpaceDE w:val="0"/>
        <w:autoSpaceDN w:val="0"/>
        <w:adjustRightInd w:val="0"/>
        <w:ind w:firstLine="720"/>
        <w:rPr>
          <w:rFonts w:eastAsia="Calibri" w:cs="Arial"/>
        </w:rPr>
      </w:pPr>
    </w:p>
    <w:p w:rsidRPr="00412C31" w:rsidR="00A52CC1" w:rsidP="003C3208" w:rsidRDefault="00A52CC1" w14:paraId="7BC41E62" w14:textId="77777777">
      <w:pPr>
        <w:suppressAutoHyphens/>
        <w:autoSpaceDE w:val="0"/>
        <w:autoSpaceDN w:val="0"/>
        <w:adjustRightInd w:val="0"/>
        <w:ind w:left="720"/>
        <w:rPr>
          <w:rFonts w:eastAsia="Calibri" w:cs="Arial"/>
          <w:iCs/>
        </w:rPr>
      </w:pPr>
      <w:r>
        <w:rPr>
          <w:rFonts w:eastAsia="Calibri" w:cs="Arial"/>
          <w:i/>
        </w:rPr>
        <w:t>Explain</w:t>
      </w:r>
      <w:r>
        <w:rPr>
          <w:rFonts w:eastAsia="Calibri" w:cs="Arial"/>
          <w:iCs/>
        </w:rPr>
        <w:t xml:space="preserve">:_______________________________________________________________________ </w:t>
      </w:r>
    </w:p>
    <w:p w:rsidRPr="00412C31" w:rsidR="00A52CC1" w:rsidP="003C3208" w:rsidRDefault="00A52CC1" w14:paraId="2DCE9DF9" w14:textId="77777777">
      <w:pPr>
        <w:suppressAutoHyphens/>
        <w:autoSpaceDE w:val="0"/>
        <w:autoSpaceDN w:val="0"/>
        <w:adjustRightInd w:val="0"/>
        <w:ind w:firstLine="720"/>
        <w:rPr>
          <w:rFonts w:eastAsia="Calibri" w:cs="Arial"/>
          <w:iCs/>
        </w:rPr>
      </w:pPr>
    </w:p>
    <w:p w:rsidRPr="00412C31" w:rsidR="00A52CC1" w:rsidP="00E62CF6" w:rsidRDefault="00A52CC1" w14:paraId="6A8F2369" w14:textId="77777777">
      <w:pPr>
        <w:pStyle w:val="ListParagraph"/>
        <w:numPr>
          <w:ilvl w:val="0"/>
          <w:numId w:val="13"/>
        </w:numPr>
        <w:spacing w:before="120" w:after="120" w:line="240" w:lineRule="auto"/>
        <w:contextualSpacing w:val="0"/>
        <w:rPr>
          <w:rFonts w:ascii="Arial" w:hAnsi="Arial" w:cs="Arial"/>
          <w:sz w:val="20"/>
          <w:szCs w:val="20"/>
        </w:rPr>
      </w:pPr>
      <w:r>
        <w:rPr>
          <w:rFonts w:ascii="Arial" w:hAnsi="Arial" w:cs="Arial"/>
          <w:sz w:val="20"/>
          <w:szCs w:val="20"/>
        </w:rPr>
        <w:t xml:space="preserve">The </w:t>
      </w:r>
      <w:r>
        <w:rPr>
          <w:rFonts w:ascii="Arial" w:hAnsi="Arial" w:eastAsia="Times New Roman" w:cs="Arial"/>
          <w:sz w:val="20"/>
          <w:szCs w:val="20"/>
        </w:rPr>
        <w:t>PPA</w:t>
      </w:r>
      <w:r>
        <w:rPr>
          <w:rFonts w:ascii="Arial" w:hAnsi="Arial" w:cs="Arial"/>
          <w:sz w:val="20"/>
          <w:szCs w:val="20"/>
        </w:rPr>
        <w:t xml:space="preserve"> reduces variability in the fair value of Seller’s assets, for example by absorbing fuel or electricity price risk. </w:t>
      </w:r>
    </w:p>
    <w:p w:rsidRPr="00412C31" w:rsidR="00A52CC1" w:rsidP="003C3208" w:rsidRDefault="00A52CC1" w14:paraId="104E57B4" w14:textId="77777777">
      <w:pPr>
        <w:suppressAutoHyphens/>
        <w:autoSpaceDE w:val="0"/>
        <w:autoSpaceDN w:val="0"/>
        <w:adjustRightInd w:val="0"/>
        <w:rPr>
          <w:rFonts w:eastAsia="Calibri" w:cs="Arial"/>
        </w:rPr>
      </w:pPr>
    </w:p>
    <w:p w:rsidRPr="00412C31" w:rsidR="00A52CC1" w:rsidP="003C3208" w:rsidRDefault="00A52CC1" w14:paraId="28873EBA" w14:textId="77777777">
      <w:pPr>
        <w:suppressAutoHyphens/>
        <w:autoSpaceDE w:val="0"/>
        <w:autoSpaceDN w:val="0"/>
        <w:adjustRightInd w:val="0"/>
        <w:ind w:firstLine="720"/>
        <w:rPr>
          <w:rFonts w:eastAsia="Calibri" w:cs="Arial"/>
        </w:rPr>
      </w:pPr>
      <w:r>
        <w:rPr>
          <w:rFonts w:eastAsia="Calibri" w:cs="Arial"/>
        </w:rPr>
        <w:t xml:space="preserve">_______Yes </w:t>
      </w:r>
    </w:p>
    <w:p w:rsidRPr="00412C31" w:rsidR="00A52CC1" w:rsidP="003C3208" w:rsidRDefault="00A52CC1" w14:paraId="677E3119" w14:textId="77777777">
      <w:pPr>
        <w:suppressAutoHyphens/>
        <w:autoSpaceDE w:val="0"/>
        <w:autoSpaceDN w:val="0"/>
        <w:adjustRightInd w:val="0"/>
        <w:ind w:firstLine="720"/>
        <w:rPr>
          <w:rFonts w:eastAsia="Calibri" w:cs="Arial"/>
        </w:rPr>
      </w:pPr>
      <w:r>
        <w:rPr>
          <w:rFonts w:eastAsia="Calibri" w:cs="Arial"/>
        </w:rPr>
        <w:t>_______No (please explain)</w:t>
      </w:r>
    </w:p>
    <w:p w:rsidRPr="00412C31" w:rsidR="00A52CC1" w:rsidP="003C3208" w:rsidRDefault="00A52CC1" w14:paraId="6F2E6984" w14:textId="77777777">
      <w:pPr>
        <w:suppressAutoHyphens/>
        <w:autoSpaceDE w:val="0"/>
        <w:autoSpaceDN w:val="0"/>
        <w:adjustRightInd w:val="0"/>
        <w:ind w:firstLine="720"/>
        <w:rPr>
          <w:rFonts w:eastAsia="Calibri" w:cs="Arial"/>
        </w:rPr>
      </w:pPr>
    </w:p>
    <w:p w:rsidRPr="00412C31" w:rsidR="00A52CC1" w:rsidP="003C3208" w:rsidRDefault="00A52CC1" w14:paraId="6292DA32" w14:textId="77777777">
      <w:pPr>
        <w:suppressAutoHyphens/>
        <w:autoSpaceDE w:val="0"/>
        <w:autoSpaceDN w:val="0"/>
        <w:adjustRightInd w:val="0"/>
        <w:ind w:left="720"/>
        <w:rPr>
          <w:rFonts w:eastAsia="Calibri" w:cs="Arial"/>
          <w:iCs/>
        </w:rPr>
      </w:pPr>
      <w:r>
        <w:rPr>
          <w:rFonts w:eastAsia="Calibri" w:cs="Arial"/>
          <w:i/>
        </w:rPr>
        <w:t>Explain</w:t>
      </w:r>
      <w:r>
        <w:rPr>
          <w:rFonts w:eastAsia="Calibri" w:cs="Arial"/>
          <w:iCs/>
        </w:rPr>
        <w:t xml:space="preserve">:_______________________________________________________________________ </w:t>
      </w:r>
    </w:p>
    <w:p w:rsidRPr="00412C31" w:rsidR="00A52CC1" w:rsidP="003C3208" w:rsidRDefault="00A52CC1" w14:paraId="36C9AA13" w14:textId="77777777">
      <w:pPr>
        <w:suppressAutoHyphens/>
        <w:autoSpaceDE w:val="0"/>
        <w:autoSpaceDN w:val="0"/>
        <w:adjustRightInd w:val="0"/>
        <w:ind w:left="720"/>
        <w:rPr>
          <w:rFonts w:eastAsia="Calibri" w:cs="Arial"/>
          <w:iCs/>
        </w:rPr>
      </w:pPr>
    </w:p>
    <w:p w:rsidRPr="00412C31" w:rsidR="00A52CC1" w:rsidP="00E62CF6" w:rsidRDefault="00A52CC1" w14:paraId="718E62AE" w14:textId="5CEFAD78">
      <w:pPr>
        <w:widowControl w:val="0"/>
        <w:numPr>
          <w:ilvl w:val="0"/>
          <w:numId w:val="13"/>
        </w:numPr>
        <w:suppressAutoHyphens/>
        <w:autoSpaceDE w:val="0"/>
        <w:autoSpaceDN w:val="0"/>
        <w:adjustRightInd w:val="0"/>
        <w:jc w:val="left"/>
        <w:textAlignment w:val="baseline"/>
        <w:rPr>
          <w:rFonts w:eastAsia="Calibri" w:cs="Arial"/>
        </w:rPr>
      </w:pPr>
      <w:r>
        <w:rPr>
          <w:rFonts w:eastAsia="Calibri" w:cs="Arial"/>
        </w:rPr>
        <w:t xml:space="preserve">The </w:t>
      </w:r>
      <w:r>
        <w:rPr>
          <w:rFonts w:eastAsia="Times New Roman" w:cs="Arial"/>
        </w:rPr>
        <w:t>PPA</w:t>
      </w:r>
      <w:r>
        <w:rPr>
          <w:rFonts w:eastAsia="Calibri" w:cs="Arial"/>
        </w:rPr>
        <w:t xml:space="preserve"> Term is for greater than 50% of the remaining economic life of the Facility.</w:t>
      </w:r>
    </w:p>
    <w:p w:rsidRPr="00412C31" w:rsidR="00A52CC1" w:rsidP="003C3208" w:rsidRDefault="00A52CC1" w14:paraId="7E6CADDC" w14:textId="77777777">
      <w:pPr>
        <w:suppressAutoHyphens/>
        <w:autoSpaceDE w:val="0"/>
        <w:autoSpaceDN w:val="0"/>
        <w:adjustRightInd w:val="0"/>
        <w:ind w:firstLine="720"/>
        <w:rPr>
          <w:rFonts w:eastAsia="Calibri" w:cs="Arial"/>
        </w:rPr>
      </w:pPr>
    </w:p>
    <w:p w:rsidRPr="00412C31" w:rsidR="00A52CC1" w:rsidP="003C3208" w:rsidRDefault="00A52CC1" w14:paraId="2A56CC7B" w14:textId="77777777">
      <w:pPr>
        <w:suppressAutoHyphens/>
        <w:autoSpaceDE w:val="0"/>
        <w:autoSpaceDN w:val="0"/>
        <w:adjustRightInd w:val="0"/>
        <w:ind w:firstLine="720"/>
        <w:rPr>
          <w:rFonts w:eastAsia="Calibri" w:cs="Arial"/>
        </w:rPr>
      </w:pPr>
      <w:r>
        <w:rPr>
          <w:rFonts w:eastAsia="Calibri" w:cs="Arial"/>
        </w:rPr>
        <w:t>________Yes</w:t>
      </w:r>
    </w:p>
    <w:p w:rsidRPr="00412C31" w:rsidR="00A52CC1" w:rsidP="003C3208" w:rsidRDefault="00A52CC1" w14:paraId="5EEF5263" w14:textId="77777777">
      <w:pPr>
        <w:suppressAutoHyphens/>
        <w:autoSpaceDE w:val="0"/>
        <w:autoSpaceDN w:val="0"/>
        <w:adjustRightInd w:val="0"/>
        <w:ind w:firstLine="720"/>
        <w:rPr>
          <w:rFonts w:eastAsia="Calibri" w:cs="Arial"/>
        </w:rPr>
      </w:pPr>
      <w:r>
        <w:rPr>
          <w:rFonts w:eastAsia="Calibri" w:cs="Arial"/>
        </w:rPr>
        <w:t xml:space="preserve">________No </w:t>
      </w:r>
    </w:p>
    <w:p w:rsidRPr="00412C31" w:rsidR="00A52CC1" w:rsidP="003C3208" w:rsidRDefault="00A52CC1" w14:paraId="1E3899A7" w14:textId="77777777">
      <w:pPr>
        <w:suppressAutoHyphens/>
        <w:autoSpaceDE w:val="0"/>
        <w:autoSpaceDN w:val="0"/>
        <w:adjustRightInd w:val="0"/>
        <w:ind w:firstLine="720"/>
        <w:rPr>
          <w:rFonts w:eastAsia="Calibri" w:cs="Arial"/>
        </w:rPr>
      </w:pPr>
    </w:p>
    <w:p w:rsidRPr="00412C31" w:rsidR="00A52CC1" w:rsidP="00E62CF6" w:rsidRDefault="00A52CC1" w14:paraId="7C6B4E8A" w14:textId="77777777">
      <w:pPr>
        <w:widowControl w:val="0"/>
        <w:numPr>
          <w:ilvl w:val="0"/>
          <w:numId w:val="13"/>
        </w:numPr>
        <w:suppressAutoHyphens/>
        <w:autoSpaceDE w:val="0"/>
        <w:autoSpaceDN w:val="0"/>
        <w:adjustRightInd w:val="0"/>
        <w:jc w:val="left"/>
        <w:textAlignment w:val="baseline"/>
        <w:rPr>
          <w:rFonts w:eastAsia="Calibri" w:cs="Arial"/>
        </w:rPr>
      </w:pPr>
      <w:bookmarkStart w:name="_DV_C2158" w:id="649"/>
      <w:r>
        <w:rPr>
          <w:rFonts w:eastAsia="Calibri" w:cs="Arial"/>
        </w:rPr>
        <w:t xml:space="preserve">The </w:t>
      </w:r>
      <w:r>
        <w:rPr>
          <w:rFonts w:eastAsia="Times New Roman" w:cs="Arial"/>
        </w:rPr>
        <w:t>PPA</w:t>
      </w:r>
      <w:r>
        <w:rPr>
          <w:rFonts w:eastAsia="Calibri" w:cs="Arial"/>
        </w:rPr>
        <w:t xml:space="preserve"> is for substantially </w:t>
      </w:r>
      <w:proofErr w:type="gramStart"/>
      <w:r>
        <w:rPr>
          <w:rFonts w:eastAsia="Calibri" w:cs="Arial"/>
        </w:rPr>
        <w:t>all of</w:t>
      </w:r>
      <w:proofErr w:type="gramEnd"/>
      <w:r>
        <w:rPr>
          <w:rFonts w:eastAsia="Calibri" w:cs="Arial"/>
        </w:rPr>
        <w:t xml:space="preserve"> the proposed Facility’s productive output.</w:t>
      </w:r>
      <w:bookmarkEnd w:id="649"/>
    </w:p>
    <w:p w:rsidRPr="00412C31" w:rsidR="00A52CC1" w:rsidP="003C3208" w:rsidRDefault="00A52CC1" w14:paraId="3BB11126" w14:textId="77777777">
      <w:pPr>
        <w:suppressAutoHyphens/>
        <w:autoSpaceDE w:val="0"/>
        <w:autoSpaceDN w:val="0"/>
        <w:adjustRightInd w:val="0"/>
        <w:ind w:firstLine="720"/>
        <w:rPr>
          <w:rFonts w:eastAsia="Calibri" w:cs="Arial"/>
        </w:rPr>
      </w:pPr>
      <w:bookmarkStart w:name="_DV_C2159" w:id="650"/>
    </w:p>
    <w:p w:rsidRPr="00412C31" w:rsidR="00A52CC1" w:rsidP="003C3208" w:rsidRDefault="00A52CC1" w14:paraId="12EBB2F4" w14:textId="77777777">
      <w:pPr>
        <w:suppressAutoHyphens/>
        <w:autoSpaceDE w:val="0"/>
        <w:autoSpaceDN w:val="0"/>
        <w:adjustRightInd w:val="0"/>
        <w:ind w:firstLine="720"/>
        <w:rPr>
          <w:rFonts w:eastAsia="Calibri" w:cs="Arial"/>
        </w:rPr>
      </w:pPr>
      <w:r>
        <w:rPr>
          <w:rFonts w:eastAsia="Calibri" w:cs="Arial"/>
        </w:rPr>
        <w:t>________Yes</w:t>
      </w:r>
      <w:bookmarkEnd w:id="650"/>
    </w:p>
    <w:p w:rsidRPr="00412C31" w:rsidR="00A52CC1" w:rsidP="003C3208" w:rsidRDefault="00A52CC1" w14:paraId="773CED70" w14:textId="77777777">
      <w:pPr>
        <w:suppressAutoHyphens/>
        <w:autoSpaceDE w:val="0"/>
        <w:autoSpaceDN w:val="0"/>
        <w:adjustRightInd w:val="0"/>
        <w:ind w:firstLine="720"/>
        <w:rPr>
          <w:rFonts w:eastAsia="Calibri" w:cs="Arial"/>
        </w:rPr>
      </w:pPr>
      <w:bookmarkStart w:name="_DV_C2160" w:id="651"/>
      <w:r>
        <w:rPr>
          <w:rFonts w:eastAsia="Calibri" w:cs="Arial"/>
        </w:rPr>
        <w:t>________No</w:t>
      </w:r>
      <w:bookmarkEnd w:id="651"/>
    </w:p>
    <w:p w:rsidRPr="00412C31" w:rsidR="00A52CC1" w:rsidP="003C3208" w:rsidRDefault="00A52CC1" w14:paraId="776DE7BB" w14:textId="77777777">
      <w:pPr>
        <w:suppressAutoHyphens/>
        <w:autoSpaceDE w:val="0"/>
        <w:autoSpaceDN w:val="0"/>
        <w:adjustRightInd w:val="0"/>
        <w:ind w:firstLine="720"/>
        <w:rPr>
          <w:rFonts w:eastAsia="Calibri" w:cs="Arial"/>
        </w:rPr>
      </w:pPr>
    </w:p>
    <w:p w:rsidRPr="00412C31" w:rsidR="00A52CC1" w:rsidP="00E62CF6" w:rsidRDefault="00A52CC1" w14:paraId="4E5FEF7D" w14:textId="71DEB985">
      <w:pPr>
        <w:widowControl w:val="0"/>
        <w:numPr>
          <w:ilvl w:val="0"/>
          <w:numId w:val="13"/>
        </w:numPr>
        <w:suppressAutoHyphens/>
        <w:autoSpaceDE w:val="0"/>
        <w:autoSpaceDN w:val="0"/>
        <w:adjustRightInd w:val="0"/>
        <w:jc w:val="left"/>
        <w:textAlignment w:val="baseline"/>
        <w:rPr>
          <w:rFonts w:eastAsia="Calibri" w:cs="Arial"/>
        </w:rPr>
      </w:pPr>
      <w:bookmarkStart w:name="_DV_C2161" w:id="652"/>
      <w:r>
        <w:rPr>
          <w:rFonts w:eastAsia="Calibri" w:cs="Arial"/>
        </w:rPr>
        <w:t>GPC and its Affiliates participated significantly in the design or redesign of the Facility.</w:t>
      </w:r>
      <w:bookmarkEnd w:id="652"/>
    </w:p>
    <w:p w:rsidRPr="00412C31" w:rsidR="00A52CC1" w:rsidP="003C3208" w:rsidRDefault="00A52CC1" w14:paraId="5173604E" w14:textId="77777777">
      <w:pPr>
        <w:suppressAutoHyphens/>
        <w:autoSpaceDE w:val="0"/>
        <w:autoSpaceDN w:val="0"/>
        <w:adjustRightInd w:val="0"/>
        <w:ind w:firstLine="720"/>
        <w:rPr>
          <w:rFonts w:eastAsia="Calibri" w:cs="Arial"/>
        </w:rPr>
      </w:pPr>
      <w:bookmarkStart w:name="_DV_C2162" w:id="653"/>
    </w:p>
    <w:p w:rsidRPr="00412C31" w:rsidR="00A52CC1" w:rsidP="003C3208" w:rsidRDefault="00A52CC1" w14:paraId="52427EA1" w14:textId="77777777">
      <w:pPr>
        <w:suppressAutoHyphens/>
        <w:autoSpaceDE w:val="0"/>
        <w:autoSpaceDN w:val="0"/>
        <w:adjustRightInd w:val="0"/>
        <w:ind w:firstLine="720"/>
        <w:rPr>
          <w:rFonts w:eastAsia="Calibri" w:cs="Arial"/>
        </w:rPr>
      </w:pPr>
      <w:r>
        <w:rPr>
          <w:rFonts w:eastAsia="Calibri" w:cs="Arial"/>
        </w:rPr>
        <w:t>________Yes</w:t>
      </w:r>
      <w:bookmarkEnd w:id="653"/>
    </w:p>
    <w:p w:rsidRPr="00412C31" w:rsidR="00A52CC1" w:rsidP="003C3208" w:rsidRDefault="00A52CC1" w14:paraId="5C00CEB6" w14:textId="77777777">
      <w:pPr>
        <w:suppressAutoHyphens/>
        <w:autoSpaceDE w:val="0"/>
        <w:autoSpaceDN w:val="0"/>
        <w:adjustRightInd w:val="0"/>
        <w:ind w:firstLine="720"/>
        <w:rPr>
          <w:rFonts w:eastAsia="Calibri" w:cs="Arial"/>
        </w:rPr>
      </w:pPr>
      <w:bookmarkStart w:name="_DV_C2163" w:id="654"/>
      <w:r>
        <w:rPr>
          <w:rFonts w:eastAsia="Calibri" w:cs="Arial"/>
        </w:rPr>
        <w:t>________No</w:t>
      </w:r>
      <w:bookmarkEnd w:id="654"/>
    </w:p>
    <w:p w:rsidRPr="00412C31" w:rsidR="00A52CC1" w:rsidP="003C3208" w:rsidRDefault="00A52CC1" w14:paraId="26070F5C" w14:textId="77777777">
      <w:pPr>
        <w:suppressAutoHyphens/>
        <w:autoSpaceDE w:val="0"/>
        <w:autoSpaceDN w:val="0"/>
        <w:adjustRightInd w:val="0"/>
        <w:ind w:firstLine="720"/>
        <w:rPr>
          <w:rFonts w:eastAsia="Calibri" w:cs="Arial"/>
        </w:rPr>
      </w:pPr>
    </w:p>
    <w:p w:rsidRPr="00412C31" w:rsidR="00A52CC1" w:rsidP="00E62CF6" w:rsidRDefault="00A52CC1" w14:paraId="77E4FDD5" w14:textId="77777777">
      <w:pPr>
        <w:widowControl w:val="0"/>
        <w:numPr>
          <w:ilvl w:val="0"/>
          <w:numId w:val="13"/>
        </w:numPr>
        <w:suppressAutoHyphens/>
        <w:autoSpaceDE w:val="0"/>
        <w:autoSpaceDN w:val="0"/>
        <w:adjustRightInd w:val="0"/>
        <w:jc w:val="left"/>
        <w:textAlignment w:val="baseline"/>
        <w:rPr>
          <w:rFonts w:eastAsia="Calibri" w:cs="Arial"/>
        </w:rPr>
      </w:pPr>
      <w:bookmarkStart w:name="_DV_C2164" w:id="655"/>
      <w:bookmarkStart w:name="_Ref121294425" w:id="656"/>
      <w:r>
        <w:rPr>
          <w:rFonts w:eastAsia="Calibri" w:cs="Arial"/>
        </w:rPr>
        <w:t xml:space="preserve">The percentage that the Facility’s fair value represents, of the fair value of the proposed Seller’s total assets, is </w:t>
      </w:r>
      <w:proofErr w:type="gramStart"/>
      <w:r>
        <w:rPr>
          <w:rFonts w:eastAsia="Calibri" w:cs="Arial"/>
        </w:rPr>
        <w:t>approximately</w:t>
      </w:r>
      <w:bookmarkEnd w:id="655"/>
      <w:r>
        <w:rPr>
          <w:rFonts w:eastAsia="Calibri" w:cs="Arial"/>
        </w:rPr>
        <w:t>;</w:t>
      </w:r>
      <w:bookmarkStart w:name="_DV_C2165" w:id="657"/>
      <w:bookmarkEnd w:id="656"/>
      <w:proofErr w:type="gramEnd"/>
    </w:p>
    <w:p w:rsidRPr="00412C31" w:rsidR="00A52CC1" w:rsidP="003C3208" w:rsidRDefault="00A52CC1" w14:paraId="26EAC42C" w14:textId="77777777">
      <w:pPr>
        <w:suppressAutoHyphens/>
        <w:autoSpaceDE w:val="0"/>
        <w:autoSpaceDN w:val="0"/>
        <w:adjustRightInd w:val="0"/>
        <w:ind w:left="810"/>
        <w:rPr>
          <w:rFonts w:eastAsia="Calibri" w:cs="Arial"/>
        </w:rPr>
      </w:pPr>
    </w:p>
    <w:p w:rsidRPr="00412C31" w:rsidR="00A52CC1" w:rsidP="003C3208" w:rsidRDefault="00A52CC1" w14:paraId="1774A620" w14:textId="77777777">
      <w:pPr>
        <w:suppressAutoHyphens/>
        <w:autoSpaceDE w:val="0"/>
        <w:autoSpaceDN w:val="0"/>
        <w:adjustRightInd w:val="0"/>
        <w:ind w:left="810"/>
        <w:rPr>
          <w:rFonts w:eastAsia="Calibri" w:cs="Arial"/>
        </w:rPr>
      </w:pPr>
      <w:r>
        <w:rPr>
          <w:rFonts w:eastAsia="Calibri" w:cs="Arial"/>
        </w:rPr>
        <w:lastRenderedPageBreak/>
        <w:t>_______%</w:t>
      </w:r>
      <w:bookmarkStart w:name="_DV_C2166" w:id="658"/>
      <w:bookmarkEnd w:id="657"/>
    </w:p>
    <w:p w:rsidRPr="00412C31" w:rsidR="00A52CC1" w:rsidP="003C3208" w:rsidRDefault="00A52CC1" w14:paraId="7115E0CE" w14:textId="77777777">
      <w:pPr>
        <w:suppressAutoHyphens/>
        <w:autoSpaceDE w:val="0"/>
        <w:autoSpaceDN w:val="0"/>
        <w:adjustRightInd w:val="0"/>
        <w:ind w:left="720"/>
        <w:rPr>
          <w:rFonts w:eastAsia="Calibri" w:cs="Arial"/>
        </w:rPr>
      </w:pPr>
    </w:p>
    <w:p w:rsidRPr="00412C31" w:rsidR="00A52CC1" w:rsidP="00E62CF6" w:rsidRDefault="00A52CC1" w14:paraId="6F5E2E1A" w14:textId="77777777">
      <w:pPr>
        <w:widowControl w:val="0"/>
        <w:numPr>
          <w:ilvl w:val="0"/>
          <w:numId w:val="13"/>
        </w:numPr>
        <w:suppressAutoHyphens/>
        <w:autoSpaceDE w:val="0"/>
        <w:autoSpaceDN w:val="0"/>
        <w:adjustRightInd w:val="0"/>
        <w:jc w:val="left"/>
        <w:textAlignment w:val="baseline"/>
        <w:rPr>
          <w:rFonts w:eastAsia="Calibri" w:cs="Arial"/>
        </w:rPr>
      </w:pPr>
      <w:bookmarkStart w:name="_Ref121294426" w:id="659"/>
      <w:r>
        <w:rPr>
          <w:rFonts w:eastAsia="Calibri" w:cs="Arial"/>
        </w:rPr>
        <w:t>The Facility is essentially the only source of payment for specified liabilities or specified other interest (there is specific debt associated with the Facility)</w:t>
      </w:r>
      <w:bookmarkEnd w:id="658"/>
      <w:bookmarkEnd w:id="659"/>
      <w:r>
        <w:rPr>
          <w:rFonts w:eastAsia="Calibri" w:cs="Arial"/>
        </w:rPr>
        <w:t xml:space="preserve">. </w:t>
      </w:r>
    </w:p>
    <w:p w:rsidRPr="00412C31" w:rsidR="00A52CC1" w:rsidP="003C3208" w:rsidRDefault="00A52CC1" w14:paraId="0B1B919C" w14:textId="77777777">
      <w:pPr>
        <w:suppressAutoHyphens/>
        <w:autoSpaceDE w:val="0"/>
        <w:autoSpaceDN w:val="0"/>
        <w:adjustRightInd w:val="0"/>
        <w:ind w:firstLine="720"/>
        <w:rPr>
          <w:rFonts w:eastAsia="Calibri" w:cs="Arial"/>
        </w:rPr>
      </w:pPr>
      <w:bookmarkStart w:name="_DV_C2167" w:id="660"/>
    </w:p>
    <w:p w:rsidRPr="00412C31" w:rsidR="00A52CC1" w:rsidP="003C3208" w:rsidRDefault="00A52CC1" w14:paraId="3BADD262" w14:textId="77777777">
      <w:pPr>
        <w:suppressAutoHyphens/>
        <w:autoSpaceDE w:val="0"/>
        <w:autoSpaceDN w:val="0"/>
        <w:adjustRightInd w:val="0"/>
        <w:ind w:firstLine="720"/>
        <w:rPr>
          <w:rFonts w:eastAsia="Calibri" w:cs="Arial"/>
        </w:rPr>
      </w:pPr>
      <w:r>
        <w:rPr>
          <w:rFonts w:eastAsia="Calibri" w:cs="Arial"/>
        </w:rPr>
        <w:t>________Yes</w:t>
      </w:r>
      <w:bookmarkEnd w:id="660"/>
    </w:p>
    <w:p w:rsidRPr="00412C31" w:rsidR="00A52CC1" w:rsidP="003C3208" w:rsidRDefault="00A52CC1" w14:paraId="166CC2BC" w14:textId="77777777">
      <w:pPr>
        <w:suppressAutoHyphens/>
        <w:autoSpaceDE w:val="0"/>
        <w:autoSpaceDN w:val="0"/>
        <w:adjustRightInd w:val="0"/>
        <w:ind w:firstLine="720"/>
        <w:rPr>
          <w:rFonts w:eastAsia="Calibri" w:cs="Arial"/>
        </w:rPr>
      </w:pPr>
      <w:bookmarkStart w:name="_DV_C2168" w:id="661"/>
      <w:r>
        <w:rPr>
          <w:rFonts w:eastAsia="Calibri" w:cs="Arial"/>
        </w:rPr>
        <w:t>________No</w:t>
      </w:r>
      <w:bookmarkEnd w:id="661"/>
    </w:p>
    <w:p w:rsidRPr="00412C31" w:rsidR="00A52CC1" w:rsidP="00A52CC1" w:rsidRDefault="00A52CC1" w14:paraId="6577648F" w14:textId="77777777">
      <w:pPr>
        <w:suppressAutoHyphens/>
        <w:adjustRightInd w:val="0"/>
        <w:textAlignment w:val="baseline"/>
        <w:rPr>
          <w:rFonts w:eastAsia="Times New Roman" w:cs="Arial"/>
          <w:b/>
          <w:u w:val="single"/>
        </w:rPr>
      </w:pPr>
    </w:p>
    <w:p w:rsidRPr="00412C31" w:rsidR="00A52CC1" w:rsidP="00A52CC1" w:rsidRDefault="00A52CC1" w14:paraId="76E11BD5" w14:textId="77777777">
      <w:pPr>
        <w:suppressAutoHyphens/>
        <w:adjustRightInd w:val="0"/>
        <w:textAlignment w:val="baseline"/>
        <w:rPr>
          <w:rFonts w:eastAsia="Times New Roman" w:cs="Arial"/>
          <w:b/>
          <w:u w:val="single"/>
        </w:rPr>
      </w:pPr>
      <w:r>
        <w:rPr>
          <w:rFonts w:eastAsia="Times New Roman" w:cs="Arial"/>
          <w:b/>
          <w:u w:val="single"/>
        </w:rPr>
        <w:t>Certification</w:t>
      </w:r>
    </w:p>
    <w:p w:rsidRPr="00412C31" w:rsidR="00A52CC1" w:rsidP="00A52CC1" w:rsidRDefault="00A52CC1" w14:paraId="34F5C2D3" w14:textId="77777777">
      <w:pPr>
        <w:suppressAutoHyphens/>
        <w:adjustRightInd w:val="0"/>
        <w:textAlignment w:val="baseline"/>
        <w:rPr>
          <w:rFonts w:eastAsia="Times New Roman" w:cs="Arial"/>
          <w:b/>
        </w:rPr>
      </w:pPr>
      <w:r>
        <w:rPr>
          <w:rFonts w:eastAsia="Times New Roman" w:cs="Arial"/>
          <w:b/>
        </w:rPr>
        <w:t>The above information (and any attachments) has been completed in full and agrees with our records as of the date of this Certification.</w:t>
      </w:r>
    </w:p>
    <w:tbl>
      <w:tblPr>
        <w:tblW w:w="5130" w:type="dxa"/>
        <w:tblLayout w:type="fixed"/>
        <w:tblCellMar>
          <w:left w:w="29" w:type="dxa"/>
          <w:right w:w="29" w:type="dxa"/>
        </w:tblCellMar>
        <w:tblLook w:val="01E0" w:firstRow="1" w:lastRow="1" w:firstColumn="1" w:lastColumn="1" w:noHBand="0" w:noVBand="0"/>
      </w:tblPr>
      <w:tblGrid>
        <w:gridCol w:w="1008"/>
        <w:gridCol w:w="4093"/>
        <w:gridCol w:w="29"/>
      </w:tblGrid>
      <w:tr w:rsidRPr="00412C31" w:rsidR="00A52CC1" w14:paraId="55F36CB4" w14:textId="77777777">
        <w:trPr>
          <w:cantSplit/>
          <w:trHeight w:val="432"/>
        </w:trPr>
        <w:tc>
          <w:tcPr>
            <w:tcW w:w="5130" w:type="dxa"/>
            <w:gridSpan w:val="3"/>
          </w:tcPr>
          <w:p w:rsidRPr="00412C31" w:rsidR="00A52CC1" w:rsidRDefault="00A52CC1" w14:paraId="533FE9A6" w14:textId="77777777">
            <w:pPr>
              <w:keepNext/>
              <w:keepLines/>
              <w:widowControl w:val="0"/>
              <w:autoSpaceDE w:val="0"/>
              <w:autoSpaceDN w:val="0"/>
              <w:adjustRightInd w:val="0"/>
              <w:rPr>
                <w:rFonts w:eastAsia="Yu Mincho" w:cs="Arial"/>
                <w:b/>
                <w:spacing w:val="-6"/>
                <w:kern w:val="14"/>
              </w:rPr>
            </w:pPr>
            <w:r>
              <w:rPr>
                <w:rFonts w:eastAsia="Yu Mincho" w:cs="Arial"/>
                <w:b/>
                <w:spacing w:val="-6"/>
                <w:kern w:val="14"/>
                <w:highlight w:val="yellow"/>
              </w:rPr>
              <w:t>#SellerLegalName#</w:t>
            </w:r>
          </w:p>
        </w:tc>
      </w:tr>
      <w:tr w:rsidRPr="00412C31" w:rsidR="00A52CC1" w14:paraId="22B6B42D" w14:textId="77777777">
        <w:trPr>
          <w:gridAfter w:val="1"/>
          <w:wAfter w:w="29" w:type="dxa"/>
          <w:cantSplit/>
          <w:trHeight w:val="504"/>
        </w:trPr>
        <w:tc>
          <w:tcPr>
            <w:tcW w:w="1008" w:type="dxa"/>
            <w:vAlign w:val="bottom"/>
          </w:tcPr>
          <w:p w:rsidRPr="00412C31" w:rsidR="00A52CC1" w:rsidRDefault="00A52CC1" w14:paraId="769E28B4" w14:textId="77777777">
            <w:pPr>
              <w:autoSpaceDE w:val="0"/>
              <w:autoSpaceDN w:val="0"/>
              <w:adjustRightInd w:val="0"/>
              <w:rPr>
                <w:rFonts w:eastAsia="Yu Mincho" w:cs="Arial"/>
                <w:kern w:val="14"/>
              </w:rPr>
            </w:pPr>
            <w:r>
              <w:rPr>
                <w:rFonts w:eastAsia="Yu Mincho" w:cs="Arial"/>
                <w:kern w:val="14"/>
              </w:rPr>
              <w:t>By:</w:t>
            </w:r>
          </w:p>
        </w:tc>
        <w:tc>
          <w:tcPr>
            <w:tcW w:w="4093" w:type="dxa"/>
            <w:tcBorders>
              <w:bottom w:val="single" w:color="auto" w:sz="4" w:space="0"/>
            </w:tcBorders>
            <w:vAlign w:val="bottom"/>
          </w:tcPr>
          <w:p w:rsidRPr="00412C31" w:rsidR="00A52CC1" w:rsidRDefault="00A52CC1" w14:paraId="2C8C7023" w14:textId="77777777">
            <w:pPr>
              <w:keepLines/>
              <w:rPr>
                <w:rFonts w:eastAsia="Calibri" w:cs="Arial"/>
              </w:rPr>
            </w:pPr>
          </w:p>
        </w:tc>
      </w:tr>
      <w:tr w:rsidRPr="00412C31" w:rsidR="00A52CC1" w14:paraId="201A5843" w14:textId="77777777">
        <w:trPr>
          <w:gridAfter w:val="1"/>
          <w:wAfter w:w="29" w:type="dxa"/>
          <w:cantSplit/>
          <w:trHeight w:val="504"/>
        </w:trPr>
        <w:tc>
          <w:tcPr>
            <w:tcW w:w="1008" w:type="dxa"/>
            <w:vAlign w:val="bottom"/>
          </w:tcPr>
          <w:p w:rsidRPr="00412C31" w:rsidR="00A52CC1" w:rsidRDefault="00A52CC1" w14:paraId="562AE46F" w14:textId="77777777">
            <w:pPr>
              <w:autoSpaceDE w:val="0"/>
              <w:autoSpaceDN w:val="0"/>
              <w:adjustRightInd w:val="0"/>
              <w:rPr>
                <w:rFonts w:eastAsia="Yu Mincho" w:cs="Arial"/>
                <w:kern w:val="14"/>
              </w:rPr>
            </w:pPr>
            <w:r>
              <w:rPr>
                <w:rFonts w:eastAsia="Yu Mincho" w:cs="Arial"/>
                <w:kern w:val="14"/>
              </w:rPr>
              <w:t>Name</w:t>
            </w:r>
          </w:p>
          <w:p w:rsidRPr="00412C31" w:rsidR="00A52CC1" w:rsidRDefault="00A52CC1" w14:paraId="468A581B" w14:textId="77777777">
            <w:pPr>
              <w:autoSpaceDE w:val="0"/>
              <w:autoSpaceDN w:val="0"/>
              <w:adjustRightInd w:val="0"/>
              <w:rPr>
                <w:rFonts w:eastAsia="Yu Mincho" w:cs="Arial"/>
                <w:kern w:val="14"/>
              </w:rPr>
            </w:pPr>
            <w:r>
              <w:rPr>
                <w:rFonts w:eastAsia="Yu Mincho" w:cs="Arial"/>
                <w:kern w:val="14"/>
              </w:rPr>
              <w:t>Printed:</w:t>
            </w:r>
          </w:p>
        </w:tc>
        <w:tc>
          <w:tcPr>
            <w:tcW w:w="4093" w:type="dxa"/>
            <w:tcBorders>
              <w:top w:val="single" w:color="auto" w:sz="4" w:space="0"/>
              <w:bottom w:val="single" w:color="auto" w:sz="4" w:space="0"/>
            </w:tcBorders>
            <w:vAlign w:val="bottom"/>
          </w:tcPr>
          <w:p w:rsidRPr="00412C31" w:rsidR="00A52CC1" w:rsidRDefault="00A52CC1" w14:paraId="4462DF39" w14:textId="77777777">
            <w:pPr>
              <w:keepLines/>
              <w:rPr>
                <w:rFonts w:eastAsia="Calibri" w:cs="Arial"/>
              </w:rPr>
            </w:pPr>
          </w:p>
        </w:tc>
      </w:tr>
      <w:tr w:rsidRPr="00412C31" w:rsidR="00A52CC1" w14:paraId="5F2AB7F8" w14:textId="77777777">
        <w:trPr>
          <w:gridAfter w:val="1"/>
          <w:wAfter w:w="29" w:type="dxa"/>
          <w:cantSplit/>
          <w:trHeight w:val="504"/>
        </w:trPr>
        <w:tc>
          <w:tcPr>
            <w:tcW w:w="1008" w:type="dxa"/>
            <w:vAlign w:val="bottom"/>
          </w:tcPr>
          <w:p w:rsidRPr="00412C31" w:rsidR="00A52CC1" w:rsidRDefault="00A52CC1" w14:paraId="2DB8D1EA" w14:textId="77777777">
            <w:pPr>
              <w:autoSpaceDE w:val="0"/>
              <w:autoSpaceDN w:val="0"/>
              <w:adjustRightInd w:val="0"/>
              <w:rPr>
                <w:rFonts w:eastAsia="Yu Mincho" w:cs="Arial"/>
                <w:kern w:val="14"/>
              </w:rPr>
            </w:pPr>
            <w:r>
              <w:rPr>
                <w:rFonts w:eastAsia="Yu Mincho" w:cs="Arial"/>
                <w:kern w:val="14"/>
              </w:rPr>
              <w:t>Title:</w:t>
            </w:r>
          </w:p>
        </w:tc>
        <w:tc>
          <w:tcPr>
            <w:tcW w:w="4093" w:type="dxa"/>
            <w:tcBorders>
              <w:top w:val="single" w:color="auto" w:sz="4" w:space="0"/>
              <w:bottom w:val="single" w:color="auto" w:sz="4" w:space="0"/>
            </w:tcBorders>
            <w:vAlign w:val="bottom"/>
          </w:tcPr>
          <w:p w:rsidRPr="00412C31" w:rsidR="00A52CC1" w:rsidRDefault="00A52CC1" w14:paraId="2659D41A" w14:textId="77777777">
            <w:pPr>
              <w:keepLines/>
              <w:rPr>
                <w:rFonts w:eastAsia="Calibri" w:cs="Arial"/>
              </w:rPr>
            </w:pPr>
          </w:p>
        </w:tc>
      </w:tr>
      <w:tr w:rsidRPr="00412C31" w:rsidR="00A52CC1" w14:paraId="09BBC569" w14:textId="77777777">
        <w:trPr>
          <w:gridAfter w:val="1"/>
          <w:wAfter w:w="29" w:type="dxa"/>
          <w:cantSplit/>
          <w:trHeight w:val="504"/>
        </w:trPr>
        <w:tc>
          <w:tcPr>
            <w:tcW w:w="1008" w:type="dxa"/>
            <w:vAlign w:val="bottom"/>
          </w:tcPr>
          <w:p w:rsidRPr="00412C31" w:rsidR="00A52CC1" w:rsidRDefault="00A52CC1" w14:paraId="04E08CB9" w14:textId="77777777">
            <w:pPr>
              <w:autoSpaceDE w:val="0"/>
              <w:autoSpaceDN w:val="0"/>
              <w:adjustRightInd w:val="0"/>
              <w:rPr>
                <w:rFonts w:eastAsia="Yu Mincho" w:cs="Arial"/>
                <w:kern w:val="14"/>
              </w:rPr>
            </w:pPr>
            <w:r>
              <w:rPr>
                <w:rFonts w:eastAsia="Yu Mincho" w:cs="Arial"/>
                <w:kern w:val="14"/>
              </w:rPr>
              <w:t>Date:</w:t>
            </w:r>
          </w:p>
        </w:tc>
        <w:tc>
          <w:tcPr>
            <w:tcW w:w="4093" w:type="dxa"/>
            <w:tcBorders>
              <w:top w:val="single" w:color="auto" w:sz="4" w:space="0"/>
              <w:bottom w:val="single" w:color="auto" w:sz="4" w:space="0"/>
            </w:tcBorders>
            <w:vAlign w:val="bottom"/>
          </w:tcPr>
          <w:p w:rsidRPr="00412C31" w:rsidR="00A52CC1" w:rsidRDefault="00A52CC1" w14:paraId="358350B3" w14:textId="77777777">
            <w:pPr>
              <w:keepLines/>
              <w:rPr>
                <w:rFonts w:eastAsia="Calibri" w:cs="Arial"/>
              </w:rPr>
            </w:pPr>
          </w:p>
        </w:tc>
      </w:tr>
    </w:tbl>
    <w:p w:rsidR="00CC1967" w:rsidP="00CC1967" w:rsidRDefault="00CC1967" w14:paraId="7B477292" w14:textId="4D11573B">
      <w:pPr>
        <w:adjustRightInd w:val="0"/>
        <w:spacing w:before="0" w:after="240"/>
        <w:textAlignment w:val="baseline"/>
        <w:rPr>
          <w:rFonts w:eastAsia="Times New Roman" w:cs="Arial"/>
        </w:rPr>
      </w:pPr>
    </w:p>
    <w:p w:rsidR="00CC1967" w:rsidP="00CC1967" w:rsidRDefault="00CC1967" w14:paraId="7F034A44" w14:textId="77777777">
      <w:pPr>
        <w:adjustRightInd w:val="0"/>
        <w:spacing w:before="0" w:after="240"/>
        <w:textAlignment w:val="baseline"/>
        <w:rPr>
          <w:rFonts w:eastAsia="Times New Roman" w:cs="Arial"/>
        </w:rPr>
      </w:pPr>
    </w:p>
    <w:p w:rsidR="00CC1967" w:rsidP="00CC1967" w:rsidRDefault="00CC1967" w14:paraId="3C44FD07" w14:textId="77777777">
      <w:pPr>
        <w:adjustRightInd w:val="0"/>
        <w:spacing w:before="0" w:after="240"/>
        <w:textAlignment w:val="baseline"/>
        <w:rPr>
          <w:rFonts w:eastAsia="Times New Roman" w:cs="Arial"/>
        </w:rPr>
      </w:pPr>
    </w:p>
    <w:p w:rsidR="00CC1967" w:rsidP="00CC1967" w:rsidRDefault="00CC1967" w14:paraId="3DABC5CB" w14:textId="77777777">
      <w:pPr>
        <w:adjustRightInd w:val="0"/>
        <w:spacing w:before="0" w:after="240"/>
        <w:textAlignment w:val="baseline"/>
        <w:rPr>
          <w:rFonts w:eastAsia="Times New Roman" w:cs="Arial"/>
        </w:rPr>
      </w:pPr>
    </w:p>
    <w:p w:rsidR="00CC1967" w:rsidP="00CC1967" w:rsidRDefault="00CC1967" w14:paraId="01CFC4D5" w14:textId="77777777">
      <w:pPr>
        <w:adjustRightInd w:val="0"/>
        <w:spacing w:before="0" w:after="240"/>
        <w:textAlignment w:val="baseline"/>
        <w:rPr>
          <w:rFonts w:eastAsia="Times New Roman" w:cs="Arial"/>
        </w:rPr>
      </w:pPr>
    </w:p>
    <w:p w:rsidR="00CC1967" w:rsidP="00CC1967" w:rsidRDefault="00CC1967" w14:paraId="1ABEC8D1" w14:textId="77777777">
      <w:pPr>
        <w:adjustRightInd w:val="0"/>
        <w:spacing w:before="0" w:after="240"/>
        <w:textAlignment w:val="baseline"/>
        <w:rPr>
          <w:rFonts w:eastAsia="Times New Roman" w:cs="Arial"/>
        </w:rPr>
      </w:pPr>
    </w:p>
    <w:p w:rsidR="00CC1967" w:rsidP="00CC1967" w:rsidRDefault="00CC1967" w14:paraId="242ABE91" w14:textId="77777777">
      <w:pPr>
        <w:adjustRightInd w:val="0"/>
        <w:spacing w:before="0" w:after="240"/>
        <w:textAlignment w:val="baseline"/>
        <w:rPr>
          <w:rFonts w:eastAsia="Times New Roman" w:cs="Arial"/>
        </w:rPr>
      </w:pPr>
    </w:p>
    <w:p w:rsidR="00CC1967" w:rsidP="00CC1967" w:rsidRDefault="00CC1967" w14:paraId="16DD737B" w14:textId="77777777">
      <w:pPr>
        <w:adjustRightInd w:val="0"/>
        <w:spacing w:before="0" w:after="240"/>
        <w:textAlignment w:val="baseline"/>
        <w:rPr>
          <w:rFonts w:eastAsia="Times New Roman" w:cs="Arial"/>
        </w:rPr>
      </w:pPr>
    </w:p>
    <w:p w:rsidR="00CC1967" w:rsidP="00CC1967" w:rsidRDefault="00CC1967" w14:paraId="48A3EF01" w14:textId="77777777">
      <w:pPr>
        <w:adjustRightInd w:val="0"/>
        <w:spacing w:before="0" w:after="240"/>
        <w:textAlignment w:val="baseline"/>
        <w:rPr>
          <w:rFonts w:eastAsia="Times New Roman" w:cs="Arial"/>
        </w:rPr>
      </w:pPr>
    </w:p>
    <w:p w:rsidR="00CC1967" w:rsidP="00CC1967" w:rsidRDefault="00CC1967" w14:paraId="5414D17A" w14:textId="77777777">
      <w:pPr>
        <w:adjustRightInd w:val="0"/>
        <w:spacing w:before="0" w:after="240"/>
        <w:textAlignment w:val="baseline"/>
        <w:rPr>
          <w:rFonts w:eastAsia="Times New Roman" w:cs="Arial"/>
        </w:rPr>
      </w:pPr>
    </w:p>
    <w:p w:rsidR="00CC1967" w:rsidP="00CC1967" w:rsidRDefault="00CC1967" w14:paraId="3DB5268A" w14:textId="77777777">
      <w:pPr>
        <w:adjustRightInd w:val="0"/>
        <w:spacing w:before="0" w:after="240"/>
        <w:textAlignment w:val="baseline"/>
        <w:rPr>
          <w:rFonts w:eastAsia="Times New Roman" w:cs="Arial"/>
        </w:rPr>
      </w:pPr>
    </w:p>
    <w:p w:rsidRPr="00F10071" w:rsidR="00D96326" w:rsidP="00D96326" w:rsidRDefault="00D96326" w14:paraId="596E5F74" w14:textId="77777777">
      <w:pPr>
        <w:adjustRightInd w:val="0"/>
        <w:spacing w:before="0" w:after="720"/>
        <w:textAlignment w:val="baseline"/>
        <w:rPr>
          <w:rFonts w:eastAsia="Times New Roman" w:cs="Arial"/>
        </w:rPr>
        <w:sectPr w:rsidRPr="00F10071" w:rsidR="00D96326" w:rsidSect="006B1C54">
          <w:headerReference w:type="even" r:id="rId57"/>
          <w:headerReference w:type="default" r:id="rId58"/>
          <w:footerReference w:type="default" r:id="rId59"/>
          <w:headerReference w:type="first" r:id="rId60"/>
          <w:footnotePr>
            <w:numRestart w:val="eachSect"/>
          </w:footnotePr>
          <w:pgSz w:w="12240" w:h="15840" w:code="1"/>
          <w:pgMar w:top="1440" w:right="1440" w:bottom="1440" w:left="1440" w:header="720" w:footer="720" w:gutter="0"/>
          <w:paperSrc w:first="15" w:other="15"/>
          <w:cols w:space="1440"/>
        </w:sectPr>
      </w:pPr>
    </w:p>
    <w:p w:rsidRPr="00F10071" w:rsidR="00D96326" w:rsidP="00D96326" w:rsidRDefault="00D96326" w14:paraId="7A50C26C" w14:textId="7AD95E27">
      <w:pPr>
        <w:pStyle w:val="zGTitleExhibit"/>
        <w:rPr>
          <w:rFonts w:cs="Arial"/>
          <w:w w:val="0"/>
        </w:rPr>
      </w:pPr>
      <w:bookmarkStart w:name="_Toc212475784" w:id="662"/>
      <w:bookmarkStart w:name="_Toc227838481" w:id="663"/>
      <w:r>
        <w:rPr>
          <w:rFonts w:cs="Arial"/>
          <w:w w:val="0"/>
        </w:rPr>
        <w:lastRenderedPageBreak/>
        <w:t xml:space="preserve">Exhibit K – </w:t>
      </w:r>
      <w:r>
        <w:rPr>
          <w:rFonts w:cs="Arial"/>
          <w:bCs w:val="0"/>
          <w:w w:val="0"/>
        </w:rPr>
        <w:t>Transfer of Information Acknowledgement</w:t>
      </w:r>
      <w:bookmarkEnd w:id="662"/>
      <w:bookmarkEnd w:id="663"/>
    </w:p>
    <w:p w:rsidRPr="00F10071" w:rsidR="00D96326" w:rsidP="00D96326" w:rsidRDefault="00D96326" w14:paraId="073FAEE9" w14:textId="77777777">
      <w:pPr>
        <w:suppressAutoHyphens/>
        <w:adjustRightInd w:val="0"/>
        <w:spacing w:before="0" w:after="240"/>
        <w:ind w:left="2880" w:hanging="2880"/>
        <w:jc w:val="center"/>
        <w:textAlignment w:val="baseline"/>
        <w:rPr>
          <w:rFonts w:eastAsia="Times New Roman" w:cs="Arial"/>
          <w:b/>
          <w:bCs/>
          <w:w w:val="0"/>
        </w:rPr>
      </w:pPr>
      <w:r>
        <w:rPr>
          <w:rFonts w:eastAsia="Times New Roman" w:cs="Arial"/>
          <w:b/>
          <w:w w:val="0"/>
        </w:rPr>
        <w:t>TRANSFER OF INFORMATION ACKNOWLEDGEMENT</w:t>
      </w:r>
    </w:p>
    <w:p w:rsidRPr="00F10071" w:rsidR="00D96326" w:rsidP="00D96326" w:rsidRDefault="00D96326" w14:paraId="3125D5EB" w14:textId="767FA149">
      <w:pPr>
        <w:widowControl w:val="0"/>
        <w:adjustRightInd w:val="0"/>
        <w:spacing w:before="0" w:after="0"/>
        <w:textAlignment w:val="baseline"/>
        <w:rPr>
          <w:rFonts w:eastAsia="Times New Roman" w:cs="Arial"/>
        </w:rPr>
      </w:pPr>
      <w:r>
        <w:rPr>
          <w:b/>
          <w:color w:val="000000" w:themeColor="text1"/>
          <w:highlight w:val="yellow"/>
        </w:rPr>
        <w:t>#SellerLegalName#</w:t>
      </w:r>
      <w:r>
        <w:rPr>
          <w:rFonts w:eastAsia="Times New Roman" w:cs="Arial"/>
        </w:rPr>
        <w:t xml:space="preserve"> (“</w:t>
      </w:r>
      <w:r>
        <w:rPr>
          <w:rFonts w:eastAsia="Times New Roman" w:cs="Arial"/>
          <w:b/>
          <w:bCs/>
        </w:rPr>
        <w:t>Seller</w:t>
      </w:r>
      <w:r>
        <w:rPr>
          <w:rFonts w:eastAsia="Times New Roman" w:cs="Arial"/>
        </w:rPr>
        <w:t>”) and Georgia Power Company (“</w:t>
      </w:r>
      <w:r>
        <w:rPr>
          <w:rFonts w:eastAsia="Times New Roman" w:cs="Arial"/>
          <w:b/>
          <w:bCs/>
        </w:rPr>
        <w:t>GPC</w:t>
      </w:r>
      <w:r>
        <w:rPr>
          <w:rFonts w:eastAsia="Times New Roman" w:cs="Arial"/>
        </w:rPr>
        <w:t xml:space="preserve">”) have entered into the </w:t>
      </w:r>
      <w:r>
        <w:rPr>
          <w:rFonts w:cs="Arial"/>
          <w:b/>
        </w:rPr>
        <w:t xml:space="preserve">Power Purchase Agreement for Firm Capacity, Firm Energy, and Ancillary Services from a Combustion Turbine Facility for 2026 All-Source Capacity Request for Proposals for Need Years 2032–2033 </w:t>
      </w:r>
      <w:r>
        <w:rPr>
          <w:rFonts w:eastAsia="Times New Roman" w:cs="Arial"/>
          <w:b/>
          <w:bCs/>
        </w:rPr>
        <w:t>at (</w:t>
      </w:r>
      <w:r>
        <w:rPr>
          <w:rFonts w:eastAsia="Times New Roman" w:cs="Arial"/>
          <w:b/>
          <w:bCs/>
          <w:highlight w:val="yellow"/>
        </w:rPr>
        <w:t>#FacilityName#</w:t>
      </w:r>
      <w:r>
        <w:rPr>
          <w:rFonts w:eastAsia="Times New Roman" w:cs="Arial"/>
          <w:b/>
          <w:bCs/>
        </w:rPr>
        <w:t>)</w:t>
      </w:r>
      <w:r>
        <w:rPr>
          <w:rFonts w:eastAsia="Times New Roman" w:cs="Arial"/>
        </w:rPr>
        <w:t xml:space="preserve"> (“</w:t>
      </w:r>
      <w:r>
        <w:rPr>
          <w:rFonts w:eastAsia="Times New Roman" w:cs="Arial"/>
          <w:b/>
          <w:bCs/>
        </w:rPr>
        <w:t>PPA</w:t>
      </w:r>
      <w:r>
        <w:rPr>
          <w:rFonts w:eastAsia="Times New Roman" w:cs="Arial"/>
        </w:rPr>
        <w:t>”) dated as of _____________________, 202__. The PPA contemplates that Seller will provide to GPC or GPC’s affiliate Southern Company Services, Inc. (“</w:t>
      </w:r>
      <w:r>
        <w:rPr>
          <w:rFonts w:eastAsia="Times New Roman" w:cs="Arial"/>
          <w:b/>
          <w:bCs/>
          <w:i/>
          <w:iCs/>
        </w:rPr>
        <w:t>SCS</w:t>
      </w:r>
      <w:r>
        <w:rPr>
          <w:rFonts w:eastAsia="Times New Roman" w:cs="Arial"/>
        </w:rPr>
        <w:t>”) as agent for the transmission-owning subsidiaries of Southern Company (GPC, Alabama Power Company, and Mississippi Power Company) certain information that could be considered non-public information that potentially has implications under the Federal Energy Regulatory Commission (“</w:t>
      </w:r>
      <w:r>
        <w:rPr>
          <w:rFonts w:eastAsia="Times New Roman" w:cs="Arial"/>
          <w:b/>
        </w:rPr>
        <w:t>FERC</w:t>
      </w:r>
      <w:r>
        <w:rPr>
          <w:rFonts w:eastAsia="Times New Roman" w:cs="Arial"/>
        </w:rPr>
        <w:t xml:space="preserve">”) Standards of Conduct. Seller acknowledges that the information is being provided for the purposes of operational implementation and administration of the PPA (which includes conducting GPC’s system operations and dispatch functions) and will be used by GPC or SCS individuals in both Transmission/Distribution and energy affiliate/wholesale marketing unit functions under the FERC Standards of Conduct.  </w:t>
      </w:r>
    </w:p>
    <w:p w:rsidRPr="00F10071" w:rsidR="00D96326" w:rsidP="00D96326" w:rsidRDefault="00D96326" w14:paraId="138C77D5" w14:textId="77777777">
      <w:pPr>
        <w:widowControl w:val="0"/>
        <w:adjustRightInd w:val="0"/>
        <w:spacing w:before="0" w:after="0"/>
        <w:textAlignment w:val="baseline"/>
        <w:rPr>
          <w:rFonts w:eastAsia="Times New Roman" w:cs="Arial"/>
        </w:rPr>
      </w:pPr>
    </w:p>
    <w:p w:rsidR="00D96326" w:rsidP="00D96326" w:rsidRDefault="00D96326" w14:paraId="0EDDE998" w14:textId="77777777">
      <w:pPr>
        <w:widowControl w:val="0"/>
        <w:adjustRightInd w:val="0"/>
        <w:spacing w:before="0" w:after="0"/>
        <w:textAlignment w:val="baseline"/>
        <w:rPr>
          <w:rFonts w:eastAsia="Times New Roman" w:cs="Arial"/>
        </w:rPr>
      </w:pPr>
      <w:r>
        <w:rPr>
          <w:rFonts w:eastAsia="Times New Roman" w:cs="Arial"/>
        </w:rPr>
        <w:t xml:space="preserve">The individuals within the Southern Company organizations indicated above may use the information only for purposes of implementing and administering the PPA (including conducting GPC’s system operations and dispatch functions). Seller understands that the information will not be used or disseminated in any manner contrary to the confidentiality provisions in the PPA or in violation of the FERC Standards of Conduct. </w:t>
      </w:r>
    </w:p>
    <w:p w:rsidR="00D96326" w:rsidP="00D96326" w:rsidRDefault="00D96326" w14:paraId="72571D12" w14:textId="77777777">
      <w:pPr>
        <w:widowControl w:val="0"/>
        <w:adjustRightInd w:val="0"/>
        <w:spacing w:before="0" w:after="0"/>
        <w:textAlignment w:val="baseline"/>
        <w:rPr>
          <w:rFonts w:eastAsia="Times New Roman" w:cs="Arial"/>
        </w:rPr>
      </w:pPr>
    </w:p>
    <w:p w:rsidRPr="00F10071" w:rsidR="00D96326" w:rsidP="00D96326" w:rsidRDefault="00D96326" w14:paraId="130325DE" w14:textId="77777777">
      <w:pPr>
        <w:widowControl w:val="0"/>
        <w:adjustRightInd w:val="0"/>
        <w:spacing w:before="0" w:after="0"/>
        <w:textAlignment w:val="baseline"/>
        <w:rPr>
          <w:rFonts w:eastAsia="Times New Roman" w:cs="Arial"/>
        </w:rPr>
      </w:pPr>
      <w:r>
        <w:rPr>
          <w:rFonts w:eastAsia="Times New Roman" w:cs="Arial"/>
        </w:rPr>
        <w:t>Seller’s provision of this information has not been and is not being provided in exchange for any preferential treatment, either operational or rate-related, by SCS or by any of the transmission-owning subsidiaries of Southern Company. Seller also acknowledges that Seller is not providing the information under duress or coercion. In accordance with FERC requirements, SCS may post on Southern Company’s Open Access Same-time Information System (OASIS) the fact of Seller’s consent to the provision of the information specified above to certain employees that may be employed within organizational units deemed to be energy affiliates/wholesale marketing units under the Standards of Conduct.</w:t>
      </w:r>
    </w:p>
    <w:p w:rsidRPr="00F10071" w:rsidR="00D96326" w:rsidP="00D96326" w:rsidRDefault="00D96326" w14:paraId="7AD05F88" w14:textId="77777777">
      <w:pPr>
        <w:widowControl w:val="0"/>
        <w:adjustRightInd w:val="0"/>
        <w:spacing w:before="0" w:after="0"/>
        <w:textAlignment w:val="baseline"/>
        <w:rPr>
          <w:rFonts w:eastAsia="Times New Roman" w:cs="Arial"/>
        </w:rPr>
      </w:pPr>
    </w:p>
    <w:p w:rsidRPr="00F10071" w:rsidR="00D96326" w:rsidP="00D96326" w:rsidRDefault="00D96326" w14:paraId="26EDD2DA" w14:textId="77777777">
      <w:pPr>
        <w:widowControl w:val="0"/>
        <w:adjustRightInd w:val="0"/>
        <w:spacing w:before="0" w:after="0"/>
        <w:textAlignment w:val="baseline"/>
        <w:rPr>
          <w:rFonts w:eastAsia="Times New Roman" w:cs="Arial"/>
        </w:rPr>
      </w:pPr>
    </w:p>
    <w:p w:rsidR="00D96326" w:rsidP="00D96326" w:rsidRDefault="00D96326" w14:paraId="0CBEC526" w14:textId="77777777">
      <w:pPr>
        <w:widowControl w:val="0"/>
        <w:adjustRightInd w:val="0"/>
        <w:spacing w:before="0" w:after="0"/>
        <w:jc w:val="left"/>
        <w:textAlignment w:val="baseline"/>
        <w:rPr>
          <w:rFonts w:eastAsia="Times New Roman" w:cs="Arial"/>
        </w:rPr>
      </w:pPr>
      <w:r>
        <w:rPr>
          <w:rFonts w:eastAsia="Times New Roman" w:cs="Arial"/>
          <w:u w:val="single"/>
        </w:rPr>
        <w:t>Acknowledged on behalf of Seller by Seller’s authorized representative signing below</w:t>
      </w:r>
      <w:r>
        <w:rPr>
          <w:rFonts w:eastAsia="Times New Roman" w:cs="Arial"/>
        </w:rPr>
        <w:t>:</w:t>
      </w:r>
    </w:p>
    <w:p w:rsidR="00D96326" w:rsidP="00D96326" w:rsidRDefault="00D96326" w14:paraId="0D9DEF04" w14:textId="77777777">
      <w:pPr>
        <w:widowControl w:val="0"/>
        <w:adjustRightInd w:val="0"/>
        <w:spacing w:before="0" w:after="0"/>
        <w:jc w:val="left"/>
        <w:textAlignment w:val="baseline"/>
        <w:rPr>
          <w:rFonts w:eastAsia="Times New Roman" w:cs="Arial"/>
        </w:rPr>
      </w:pPr>
    </w:p>
    <w:tbl>
      <w:tblPr>
        <w:tblW w:w="5040" w:type="dxa"/>
        <w:tblLayout w:type="fixed"/>
        <w:tblCellMar>
          <w:left w:w="29" w:type="dxa"/>
          <w:right w:w="29" w:type="dxa"/>
        </w:tblCellMar>
        <w:tblLook w:val="01E0" w:firstRow="1" w:lastRow="1" w:firstColumn="1" w:lastColumn="1" w:noHBand="0" w:noVBand="0"/>
      </w:tblPr>
      <w:tblGrid>
        <w:gridCol w:w="900"/>
        <w:gridCol w:w="4140"/>
      </w:tblGrid>
      <w:tr w:rsidR="00D96326" w14:paraId="04B7F404" w14:textId="77777777">
        <w:trPr>
          <w:cantSplit/>
          <w:trHeight w:val="432"/>
        </w:trPr>
        <w:tc>
          <w:tcPr>
            <w:tcW w:w="5040" w:type="dxa"/>
            <w:gridSpan w:val="2"/>
            <w:hideMark/>
          </w:tcPr>
          <w:p w:rsidR="00D96326" w:rsidRDefault="00D96326" w14:paraId="7EE7265F" w14:textId="77777777">
            <w:pPr>
              <w:pStyle w:val="zGTableSig12"/>
              <w:spacing w:line="256" w:lineRule="auto"/>
            </w:pPr>
            <w:r>
              <w:rPr>
                <w:highlight w:val="yellow"/>
              </w:rPr>
              <w:t>#SellerLegalName#</w:t>
            </w:r>
          </w:p>
        </w:tc>
      </w:tr>
      <w:tr w:rsidR="00D96326" w14:paraId="37A67BBD" w14:textId="77777777">
        <w:trPr>
          <w:cantSplit/>
          <w:trHeight w:val="504"/>
        </w:trPr>
        <w:tc>
          <w:tcPr>
            <w:tcW w:w="900" w:type="dxa"/>
            <w:vAlign w:val="bottom"/>
            <w:hideMark/>
          </w:tcPr>
          <w:p w:rsidR="00D96326" w:rsidRDefault="00D96326" w14:paraId="2018E757" w14:textId="77777777">
            <w:pPr>
              <w:pStyle w:val="zGNormal"/>
              <w:spacing w:line="256" w:lineRule="auto"/>
              <w:rPr>
                <w:sz w:val="18"/>
                <w:szCs w:val="18"/>
              </w:rPr>
            </w:pPr>
            <w:r>
              <w:rPr>
                <w:sz w:val="18"/>
                <w:szCs w:val="18"/>
              </w:rPr>
              <w:t>By:</w:t>
            </w:r>
          </w:p>
        </w:tc>
        <w:tc>
          <w:tcPr>
            <w:tcW w:w="4140" w:type="dxa"/>
            <w:tcBorders>
              <w:top w:val="nil"/>
              <w:left w:val="nil"/>
              <w:bottom w:val="single" w:color="auto" w:sz="8" w:space="0"/>
              <w:right w:val="nil"/>
            </w:tcBorders>
            <w:vAlign w:val="bottom"/>
          </w:tcPr>
          <w:p w:rsidR="00D96326" w:rsidRDefault="00D96326" w14:paraId="766FBCAF" w14:textId="77777777">
            <w:pPr>
              <w:keepLines/>
              <w:spacing w:line="256" w:lineRule="auto"/>
              <w:rPr>
                <w:rFonts w:cs="Arial"/>
                <w:sz w:val="22"/>
                <w:szCs w:val="22"/>
              </w:rPr>
            </w:pPr>
          </w:p>
        </w:tc>
      </w:tr>
      <w:tr w:rsidR="00D96326" w14:paraId="5E962BFE" w14:textId="77777777">
        <w:trPr>
          <w:cantSplit/>
          <w:trHeight w:val="504"/>
        </w:trPr>
        <w:tc>
          <w:tcPr>
            <w:tcW w:w="900" w:type="dxa"/>
            <w:vAlign w:val="bottom"/>
            <w:hideMark/>
          </w:tcPr>
          <w:p w:rsidR="00D96326" w:rsidRDefault="00D96326" w14:paraId="08E5C660" w14:textId="77777777">
            <w:pPr>
              <w:pStyle w:val="zGNormal"/>
              <w:spacing w:before="0" w:line="256" w:lineRule="auto"/>
              <w:rPr>
                <w:sz w:val="18"/>
                <w:szCs w:val="18"/>
              </w:rPr>
            </w:pPr>
            <w:r>
              <w:rPr>
                <w:sz w:val="18"/>
                <w:szCs w:val="18"/>
              </w:rPr>
              <w:t>Name</w:t>
            </w:r>
          </w:p>
          <w:p w:rsidR="00D96326" w:rsidRDefault="00D96326" w14:paraId="71F7F3A4" w14:textId="77777777">
            <w:pPr>
              <w:pStyle w:val="zGNormal"/>
              <w:spacing w:before="0" w:line="256" w:lineRule="auto"/>
              <w:rPr>
                <w:sz w:val="18"/>
                <w:szCs w:val="18"/>
              </w:rPr>
            </w:pPr>
            <w:r>
              <w:rPr>
                <w:sz w:val="18"/>
                <w:szCs w:val="18"/>
              </w:rPr>
              <w:t>Printed:</w:t>
            </w:r>
          </w:p>
        </w:tc>
        <w:tc>
          <w:tcPr>
            <w:tcW w:w="4140" w:type="dxa"/>
            <w:tcBorders>
              <w:top w:val="single" w:color="auto" w:sz="8" w:space="0"/>
              <w:left w:val="nil"/>
              <w:bottom w:val="single" w:color="auto" w:sz="4" w:space="0"/>
              <w:right w:val="nil"/>
            </w:tcBorders>
          </w:tcPr>
          <w:p w:rsidR="00D96326" w:rsidRDefault="00D96326" w14:paraId="504ABF35" w14:textId="77777777">
            <w:pPr>
              <w:keepLines/>
              <w:spacing w:line="256" w:lineRule="auto"/>
              <w:rPr>
                <w:rFonts w:cs="Arial"/>
              </w:rPr>
            </w:pPr>
          </w:p>
        </w:tc>
      </w:tr>
      <w:tr w:rsidR="00D96326" w14:paraId="448E1C64" w14:textId="77777777">
        <w:trPr>
          <w:cantSplit/>
          <w:trHeight w:val="504"/>
        </w:trPr>
        <w:tc>
          <w:tcPr>
            <w:tcW w:w="900" w:type="dxa"/>
            <w:vAlign w:val="bottom"/>
            <w:hideMark/>
          </w:tcPr>
          <w:p w:rsidR="00D96326" w:rsidRDefault="00D96326" w14:paraId="4222A403" w14:textId="77777777">
            <w:pPr>
              <w:pStyle w:val="zGNormal"/>
              <w:spacing w:line="256" w:lineRule="auto"/>
              <w:rPr>
                <w:sz w:val="18"/>
                <w:szCs w:val="18"/>
              </w:rPr>
            </w:pPr>
            <w:r>
              <w:rPr>
                <w:sz w:val="18"/>
                <w:szCs w:val="18"/>
              </w:rPr>
              <w:t>Title:</w:t>
            </w:r>
          </w:p>
        </w:tc>
        <w:tc>
          <w:tcPr>
            <w:tcW w:w="4140" w:type="dxa"/>
            <w:tcBorders>
              <w:top w:val="single" w:color="auto" w:sz="4" w:space="0"/>
              <w:left w:val="nil"/>
              <w:bottom w:val="single" w:color="auto" w:sz="4" w:space="0"/>
              <w:right w:val="nil"/>
            </w:tcBorders>
          </w:tcPr>
          <w:p w:rsidR="00D96326" w:rsidRDefault="00D96326" w14:paraId="45FAE0C7" w14:textId="77777777">
            <w:pPr>
              <w:keepLines/>
              <w:spacing w:line="256" w:lineRule="auto"/>
              <w:rPr>
                <w:rFonts w:cs="Arial"/>
              </w:rPr>
            </w:pPr>
          </w:p>
        </w:tc>
      </w:tr>
      <w:tr w:rsidR="00D96326" w14:paraId="0A240445" w14:textId="77777777">
        <w:trPr>
          <w:cantSplit/>
          <w:trHeight w:val="504"/>
        </w:trPr>
        <w:tc>
          <w:tcPr>
            <w:tcW w:w="900" w:type="dxa"/>
            <w:vAlign w:val="bottom"/>
            <w:hideMark/>
          </w:tcPr>
          <w:p w:rsidR="00D96326" w:rsidRDefault="00D96326" w14:paraId="1AE409F6" w14:textId="77777777">
            <w:pPr>
              <w:pStyle w:val="zGNormal"/>
              <w:spacing w:line="256" w:lineRule="auto"/>
              <w:rPr>
                <w:sz w:val="18"/>
                <w:szCs w:val="18"/>
              </w:rPr>
            </w:pPr>
            <w:r>
              <w:rPr>
                <w:sz w:val="18"/>
                <w:szCs w:val="18"/>
              </w:rPr>
              <w:t>Date:</w:t>
            </w:r>
          </w:p>
        </w:tc>
        <w:tc>
          <w:tcPr>
            <w:tcW w:w="4140" w:type="dxa"/>
            <w:tcBorders>
              <w:top w:val="single" w:color="auto" w:sz="4" w:space="0"/>
              <w:left w:val="nil"/>
              <w:bottom w:val="single" w:color="auto" w:sz="4" w:space="0"/>
              <w:right w:val="nil"/>
            </w:tcBorders>
            <w:vAlign w:val="bottom"/>
          </w:tcPr>
          <w:p w:rsidR="00D96326" w:rsidRDefault="00D96326" w14:paraId="395EEFD8" w14:textId="77777777">
            <w:pPr>
              <w:keepLines/>
              <w:spacing w:line="256" w:lineRule="auto"/>
              <w:rPr>
                <w:rFonts w:cs="Arial"/>
                <w:sz w:val="22"/>
                <w:szCs w:val="22"/>
              </w:rPr>
            </w:pPr>
          </w:p>
        </w:tc>
      </w:tr>
    </w:tbl>
    <w:p w:rsidR="00D96326" w:rsidP="00D96326" w:rsidRDefault="00D96326" w14:paraId="22C47388" w14:textId="77777777">
      <w:pPr>
        <w:pStyle w:val="zGNormal6"/>
      </w:pPr>
    </w:p>
    <w:p w:rsidR="00D96326" w:rsidP="00D96326" w:rsidRDefault="00D96326" w14:paraId="6590DF2D" w14:textId="77777777">
      <w:pPr>
        <w:pStyle w:val="zGNormal6"/>
      </w:pPr>
    </w:p>
    <w:p w:rsidR="00D96326" w:rsidP="00D96326" w:rsidRDefault="00D96326" w14:paraId="01CEB916" w14:textId="77777777">
      <w:pPr>
        <w:pStyle w:val="zGNormal6"/>
        <w:sectPr w:rsidR="00D96326" w:rsidSect="006B1C54">
          <w:headerReference w:type="default" r:id="rId61"/>
          <w:footerReference w:type="default" r:id="rId62"/>
          <w:pgSz w:w="12240" w:h="15840" w:code="1"/>
          <w:pgMar w:top="1440" w:right="1440" w:bottom="1440" w:left="1440" w:header="720" w:footer="720" w:gutter="0"/>
          <w:paperSrc w:first="15" w:other="15"/>
          <w:cols w:space="1440"/>
        </w:sectPr>
      </w:pPr>
    </w:p>
    <w:p w:rsidRPr="009D7FCA" w:rsidR="00D96326" w:rsidP="00D96326" w:rsidRDefault="00D96326" w14:paraId="622DDFF0" w14:textId="4DDA7563">
      <w:pPr>
        <w:pStyle w:val="zGTitleExhibit"/>
      </w:pPr>
      <w:bookmarkStart w:name="_Toc212475785" w:id="664"/>
      <w:bookmarkStart w:name="_Toc227838482" w:id="665"/>
      <w:r>
        <w:lastRenderedPageBreak/>
        <w:t>Exhibit l – Environmental Compliance Certification</w:t>
      </w:r>
      <w:bookmarkEnd w:id="664"/>
      <w:bookmarkEnd w:id="665"/>
    </w:p>
    <w:p w:rsidRPr="0012275A" w:rsidR="00D96326" w:rsidP="00D96326" w:rsidRDefault="00D96326" w14:paraId="14F4DB86" w14:textId="77777777">
      <w:pPr>
        <w:spacing w:before="0" w:after="0"/>
        <w:jc w:val="center"/>
        <w:textAlignment w:val="baseline"/>
        <w:rPr>
          <w:rFonts w:ascii="Segoe UI" w:hAnsi="Segoe UI" w:eastAsia="Times New Roman" w:cs="Segoe UI"/>
          <w:sz w:val="18"/>
          <w:szCs w:val="18"/>
        </w:rPr>
      </w:pPr>
      <w:r>
        <w:rPr>
          <w:rFonts w:eastAsia="Times New Roman" w:cs="Arial"/>
          <w:b/>
          <w:bCs/>
        </w:rPr>
        <w:t>CERTIFICATION OF ENVIRONMENTAL COMPLIANCE </w:t>
      </w:r>
      <w:r>
        <w:rPr>
          <w:rFonts w:eastAsia="Times New Roman" w:cs="Arial"/>
        </w:rPr>
        <w:t> </w:t>
      </w:r>
    </w:p>
    <w:p w:rsidRPr="0012275A" w:rsidR="00D96326" w:rsidP="00D96326" w:rsidRDefault="00D96326" w14:paraId="10965549" w14:textId="77777777">
      <w:pPr>
        <w:spacing w:before="0" w:after="0"/>
        <w:jc w:val="center"/>
        <w:textAlignment w:val="baseline"/>
        <w:rPr>
          <w:rFonts w:ascii="Segoe UI" w:hAnsi="Segoe UI" w:eastAsia="Times New Roman" w:cs="Segoe UI"/>
          <w:sz w:val="18"/>
          <w:szCs w:val="18"/>
        </w:rPr>
      </w:pPr>
      <w:r>
        <w:rPr>
          <w:rFonts w:eastAsia="Times New Roman" w:cs="Arial"/>
        </w:rPr>
        <w:t> </w:t>
      </w:r>
    </w:p>
    <w:p w:rsidRPr="0012275A" w:rsidR="00D96326" w:rsidP="00D96326" w:rsidRDefault="00D96326" w14:paraId="72528E6F" w14:textId="002DF8BA">
      <w:pPr>
        <w:spacing w:before="0" w:after="0"/>
        <w:textAlignment w:val="baseline"/>
        <w:rPr>
          <w:rFonts w:ascii="Segoe UI" w:hAnsi="Segoe UI" w:eastAsia="Times New Roman" w:cs="Segoe UI"/>
          <w:sz w:val="18"/>
          <w:szCs w:val="18"/>
        </w:rPr>
      </w:pPr>
      <w:r>
        <w:rPr>
          <w:rFonts w:eastAsia="Times New Roman" w:cs="Arial"/>
          <w:b/>
          <w:bCs/>
        </w:rPr>
        <w:t xml:space="preserve">AGREEMENT – </w:t>
      </w:r>
      <w:r>
        <w:rPr>
          <w:rFonts w:cs="Arial"/>
          <w:b/>
        </w:rPr>
        <w:t xml:space="preserve">Power Purchase Agreement for Firm Capacity, Firm Energy, and Ancillary Services from a Combustion Turbine Facility for 2026 All-Source Capacity Request for Proposals for Need Years 2032–2033 </w:t>
      </w:r>
      <w:r>
        <w:rPr>
          <w:rFonts w:eastAsia="Times New Roman" w:cs="Arial"/>
          <w:b/>
          <w:bCs/>
        </w:rPr>
        <w:t>at (</w:t>
      </w:r>
      <w:r>
        <w:rPr>
          <w:rFonts w:eastAsia="Times New Roman" w:cs="Arial"/>
          <w:b/>
          <w:bCs/>
          <w:highlight w:val="yellow"/>
        </w:rPr>
        <w:t>#</w:t>
      </w:r>
      <w:r>
        <w:rPr>
          <w:rFonts w:eastAsia="Times New Roman" w:cs="Arial"/>
          <w:b/>
          <w:highlight w:val="yellow"/>
        </w:rPr>
        <w:t>FacilityName</w:t>
      </w:r>
      <w:r>
        <w:rPr>
          <w:rFonts w:eastAsia="Times New Roman" w:cs="Arial"/>
          <w:b/>
          <w:bCs/>
          <w:highlight w:val="yellow"/>
        </w:rPr>
        <w:t>#</w:t>
      </w:r>
      <w:r>
        <w:rPr>
          <w:rFonts w:eastAsia="Times New Roman" w:cs="Arial"/>
          <w:b/>
          <w:bCs/>
        </w:rPr>
        <w:t xml:space="preserve">) </w:t>
      </w:r>
      <w:r>
        <w:rPr>
          <w:rFonts w:eastAsia="Times New Roman" w:cs="Arial"/>
        </w:rPr>
        <w:t>dated as of ______ ___, 20__ between</w:t>
      </w:r>
      <w:r>
        <w:rPr>
          <w:rFonts w:eastAsia="Times New Roman" w:cs="Arial"/>
          <w:b/>
          <w:bCs/>
        </w:rPr>
        <w:t xml:space="preserve"> Georgia Power Company</w:t>
      </w:r>
      <w:r>
        <w:rPr>
          <w:rFonts w:eastAsia="Times New Roman" w:cs="Arial"/>
        </w:rPr>
        <w:t xml:space="preserve"> (“</w:t>
      </w:r>
      <w:r>
        <w:rPr>
          <w:rFonts w:eastAsia="Times New Roman" w:cs="Arial"/>
          <w:b/>
          <w:bCs/>
        </w:rPr>
        <w:t>GPC</w:t>
      </w:r>
      <w:r>
        <w:rPr>
          <w:rFonts w:eastAsia="Times New Roman" w:cs="Arial"/>
        </w:rPr>
        <w:t xml:space="preserve">”), and </w:t>
      </w:r>
      <w:r>
        <w:rPr>
          <w:rFonts w:eastAsia="Times New Roman" w:cs="Arial"/>
          <w:b/>
          <w:bCs/>
          <w:shd w:val="clear" w:color="auto" w:fill="FFFF00"/>
        </w:rPr>
        <w:t>#SellerLegalName#</w:t>
      </w:r>
      <w:r>
        <w:rPr>
          <w:rFonts w:eastAsia="Times New Roman" w:cs="Arial"/>
        </w:rPr>
        <w:t xml:space="preserve"> (“</w:t>
      </w:r>
      <w:r>
        <w:rPr>
          <w:rFonts w:eastAsia="Times New Roman" w:cs="Arial"/>
          <w:b/>
          <w:bCs/>
        </w:rPr>
        <w:t>Seller</w:t>
      </w:r>
      <w:r>
        <w:rPr>
          <w:rFonts w:eastAsia="Times New Roman" w:cs="Arial"/>
        </w:rPr>
        <w:t>”) (“</w:t>
      </w:r>
      <w:r>
        <w:rPr>
          <w:rFonts w:eastAsia="Times New Roman" w:cs="Arial"/>
          <w:b/>
          <w:bCs/>
        </w:rPr>
        <w:t>PPA</w:t>
      </w:r>
      <w:r>
        <w:rPr>
          <w:rFonts w:eastAsia="Times New Roman" w:cs="Arial"/>
        </w:rPr>
        <w:t>”). Capitalized terms used herein will have the meaning assigned in the PPA. </w:t>
      </w:r>
    </w:p>
    <w:p w:rsidRPr="0012275A" w:rsidR="00D96326" w:rsidP="00D96326" w:rsidRDefault="00D96326" w14:paraId="642F2C03" w14:textId="681161C7">
      <w:pPr>
        <w:spacing w:before="0" w:after="0"/>
        <w:textAlignment w:val="baseline"/>
        <w:rPr>
          <w:rFonts w:ascii="Segoe UI" w:hAnsi="Segoe UI" w:eastAsia="Times New Roman" w:cs="Segoe UI"/>
          <w:sz w:val="18"/>
          <w:szCs w:val="18"/>
        </w:rPr>
      </w:pPr>
      <w:r>
        <w:rPr>
          <w:rFonts w:eastAsia="Times New Roman" w:cs="Arial"/>
        </w:rPr>
        <w:t xml:space="preserve">The undersigned individual, being the </w:t>
      </w:r>
      <w:r>
        <w:rPr>
          <w:rFonts w:eastAsia="Times New Roman" w:cs="Arial"/>
          <w:highlight w:val="yellow"/>
        </w:rPr>
        <w:t>[●]</w:t>
      </w:r>
      <w:r>
        <w:rPr>
          <w:rFonts w:eastAsia="Times New Roman" w:cs="Arial"/>
        </w:rPr>
        <w:t xml:space="preserve"> of Seller and having responsibilities for [</w:t>
      </w:r>
      <w:r>
        <w:rPr>
          <w:rFonts w:eastAsia="Times New Roman" w:cs="Arial"/>
          <w:i/>
          <w:iCs/>
        </w:rPr>
        <w:t>environmental compliance and reporting</w:t>
      </w:r>
      <w:r>
        <w:rPr>
          <w:rFonts w:eastAsia="Times New Roman" w:cs="Arial"/>
        </w:rPr>
        <w:t>] matters associated with the PPA, certifies the following: </w:t>
      </w:r>
    </w:p>
    <w:p w:rsidRPr="0012275A" w:rsidR="00D96326" w:rsidP="00E62CF6" w:rsidRDefault="002501D6" w14:paraId="00B85A51" w14:textId="1AB2EEAF">
      <w:pPr>
        <w:numPr>
          <w:ilvl w:val="0"/>
          <w:numId w:val="25"/>
        </w:numPr>
        <w:spacing w:before="0" w:after="0"/>
        <w:ind w:left="360" w:firstLine="0"/>
        <w:textAlignment w:val="baseline"/>
        <w:rPr>
          <w:rFonts w:eastAsia="Times New Roman" w:cs="Arial"/>
          <w:sz w:val="22"/>
          <w:szCs w:val="22"/>
        </w:rPr>
      </w:pPr>
      <w:r>
        <w:rPr>
          <w:rFonts w:eastAsia="Times New Roman" w:cs="Arial"/>
        </w:rPr>
        <w:t>Since the date of Seller’s prior Certification of Environmental Compliance delivered in accordance with the PPA, there have been no changes in the design</w:t>
      </w:r>
      <w:r w:rsidR="00581011">
        <w:rPr>
          <w:rFonts w:eastAsia="Times New Roman" w:cs="Arial"/>
        </w:rPr>
        <w:t xml:space="preserve"> or construction</w:t>
      </w:r>
      <w:r>
        <w:rPr>
          <w:rFonts w:eastAsia="Times New Roman" w:cs="Arial"/>
        </w:rPr>
        <w:t xml:space="preserve"> of the Facility that resulted in or, to the best of the knowledge of the undersigned after reasonable inquiry, are expected to result in, additional impacts to the environment that have not been previously disclosed in writing to GPC.  </w:t>
      </w:r>
    </w:p>
    <w:p w:rsidRPr="0012275A" w:rsidR="00D96326" w:rsidP="003138BF" w:rsidRDefault="00D96326" w14:paraId="3B6D8621" w14:textId="77777777">
      <w:pPr>
        <w:spacing w:before="0" w:after="0"/>
        <w:ind w:left="360"/>
        <w:textAlignment w:val="baseline"/>
        <w:rPr>
          <w:rFonts w:ascii="Segoe UI" w:hAnsi="Segoe UI" w:eastAsia="Times New Roman" w:cs="Segoe UI"/>
          <w:sz w:val="18"/>
          <w:szCs w:val="18"/>
        </w:rPr>
      </w:pPr>
      <w:r>
        <w:rPr>
          <w:rFonts w:eastAsia="Times New Roman" w:cs="Arial"/>
        </w:rPr>
        <w:t>________Yes </w:t>
      </w:r>
    </w:p>
    <w:p w:rsidRPr="0012275A" w:rsidR="00D96326" w:rsidP="003138BF" w:rsidRDefault="00D96326" w14:paraId="73BF7C60" w14:textId="77777777">
      <w:pPr>
        <w:spacing w:before="0" w:after="0"/>
        <w:ind w:left="360"/>
        <w:textAlignment w:val="baseline"/>
        <w:rPr>
          <w:rFonts w:ascii="Segoe UI" w:hAnsi="Segoe UI" w:eastAsia="Times New Roman" w:cs="Segoe UI"/>
          <w:sz w:val="18"/>
          <w:szCs w:val="18"/>
        </w:rPr>
      </w:pPr>
      <w:r>
        <w:rPr>
          <w:rFonts w:eastAsia="Times New Roman" w:cs="Arial"/>
        </w:rPr>
        <w:t>________No (please explain) </w:t>
      </w:r>
    </w:p>
    <w:p w:rsidRPr="0012275A" w:rsidR="00D96326" w:rsidP="003138BF" w:rsidRDefault="00D96326" w14:paraId="141352C2" w14:textId="77777777">
      <w:pPr>
        <w:spacing w:before="0" w:after="0"/>
        <w:ind w:left="360"/>
        <w:textAlignment w:val="baseline"/>
        <w:rPr>
          <w:rFonts w:ascii="Segoe UI" w:hAnsi="Segoe UI" w:eastAsia="Times New Roman" w:cs="Segoe UI"/>
          <w:sz w:val="18"/>
          <w:szCs w:val="18"/>
        </w:rPr>
      </w:pPr>
      <w:r>
        <w:rPr>
          <w:rFonts w:eastAsia="Times New Roman" w:cs="Arial"/>
        </w:rPr>
        <w:t>Explain:_______________________________________________________________________ </w:t>
      </w:r>
    </w:p>
    <w:p w:rsidRPr="0012275A" w:rsidR="00D96326" w:rsidP="003138BF" w:rsidRDefault="00D96326" w14:paraId="445A94E6" w14:textId="77777777">
      <w:pPr>
        <w:spacing w:before="0" w:after="0"/>
        <w:ind w:left="360"/>
        <w:textAlignment w:val="baseline"/>
        <w:rPr>
          <w:rFonts w:ascii="Segoe UI" w:hAnsi="Segoe UI" w:eastAsia="Times New Roman" w:cs="Segoe UI"/>
          <w:sz w:val="18"/>
          <w:szCs w:val="18"/>
        </w:rPr>
      </w:pPr>
      <w:r>
        <w:rPr>
          <w:rFonts w:eastAsia="Times New Roman" w:cs="Arial"/>
        </w:rPr>
        <w:t>(a)</w:t>
      </w:r>
      <w:r>
        <w:rPr>
          <w:rFonts w:ascii="Calibri" w:hAnsi="Calibri" w:eastAsia="Times New Roman" w:cs="Calibri"/>
        </w:rPr>
        <w:tab/>
      </w:r>
      <w:r>
        <w:rPr>
          <w:rFonts w:eastAsia="Times New Roman" w:cs="Arial"/>
        </w:rPr>
        <w:t>If “no,” a figure set or plan sheets that highlights such changes is attached. </w:t>
      </w:r>
    </w:p>
    <w:p w:rsidRPr="0012275A" w:rsidR="00D96326" w:rsidP="003138BF" w:rsidRDefault="00D96326" w14:paraId="620F0CC6" w14:textId="77777777">
      <w:pPr>
        <w:spacing w:before="0" w:after="0"/>
        <w:ind w:left="360"/>
        <w:textAlignment w:val="baseline"/>
        <w:rPr>
          <w:rFonts w:ascii="Segoe UI" w:hAnsi="Segoe UI" w:eastAsia="Times New Roman" w:cs="Segoe UI"/>
          <w:sz w:val="18"/>
          <w:szCs w:val="18"/>
        </w:rPr>
      </w:pPr>
      <w:r>
        <w:rPr>
          <w:rFonts w:eastAsia="Times New Roman" w:cs="Arial"/>
        </w:rPr>
        <w:t>(b)</w:t>
      </w:r>
      <w:r>
        <w:rPr>
          <w:rFonts w:ascii="Calibri" w:hAnsi="Calibri" w:eastAsia="Times New Roman" w:cs="Calibri"/>
        </w:rPr>
        <w:tab/>
      </w:r>
      <w:r>
        <w:rPr>
          <w:rFonts w:eastAsia="Times New Roman" w:cs="Arial"/>
        </w:rPr>
        <w:t>If “no,” copies of all documentation that all necessary Permits have been obtained and/or that the appropriate Governmental Authority coordination has occurred to legally allow for such impacts is attached. </w:t>
      </w:r>
    </w:p>
    <w:p w:rsidRPr="0012275A" w:rsidR="00D96326" w:rsidP="00E62CF6" w:rsidRDefault="00D96326" w14:paraId="766A043C" w14:textId="77777777">
      <w:pPr>
        <w:numPr>
          <w:ilvl w:val="0"/>
          <w:numId w:val="26"/>
        </w:numPr>
        <w:spacing w:before="0" w:after="0"/>
        <w:ind w:left="360" w:firstLine="0"/>
        <w:textAlignment w:val="baseline"/>
        <w:rPr>
          <w:rFonts w:eastAsia="Times New Roman" w:cs="Arial"/>
          <w:sz w:val="22"/>
          <w:szCs w:val="22"/>
        </w:rPr>
      </w:pPr>
      <w:r>
        <w:rPr>
          <w:rFonts w:eastAsia="Times New Roman" w:cs="Arial"/>
        </w:rPr>
        <w:t>A list of Permits for the Facility that were obtained (opened) or Governmental Authority prescriptions that were issued since the previous Certification is attached. </w:t>
      </w:r>
    </w:p>
    <w:p w:rsidRPr="0012275A" w:rsidR="00D96326" w:rsidP="00E62CF6" w:rsidRDefault="00D96326" w14:paraId="5C3158BF" w14:textId="77777777">
      <w:pPr>
        <w:numPr>
          <w:ilvl w:val="0"/>
          <w:numId w:val="27"/>
        </w:numPr>
        <w:spacing w:before="0" w:after="0"/>
        <w:ind w:left="360" w:firstLine="0"/>
        <w:textAlignment w:val="baseline"/>
        <w:rPr>
          <w:rFonts w:eastAsia="Times New Roman" w:cs="Arial"/>
          <w:sz w:val="22"/>
          <w:szCs w:val="22"/>
        </w:rPr>
      </w:pPr>
      <w:r>
        <w:rPr>
          <w:rFonts w:eastAsia="Times New Roman" w:cs="Arial"/>
        </w:rPr>
        <w:t>A list of Permits for the Facility that were applied for but have not yet been obtained (opened) since the previous Certification is attached. </w:t>
      </w:r>
    </w:p>
    <w:p w:rsidRPr="0012275A" w:rsidR="00D96326" w:rsidP="00E62CF6" w:rsidRDefault="00D96326" w14:paraId="6C268767" w14:textId="3A3C996D">
      <w:pPr>
        <w:numPr>
          <w:ilvl w:val="0"/>
          <w:numId w:val="28"/>
        </w:numPr>
        <w:spacing w:before="0" w:after="0"/>
        <w:ind w:left="360" w:firstLine="0"/>
        <w:textAlignment w:val="baseline"/>
        <w:rPr>
          <w:rFonts w:eastAsia="Times New Roman" w:cs="Arial"/>
          <w:sz w:val="22"/>
          <w:szCs w:val="22"/>
        </w:rPr>
      </w:pPr>
      <w:r>
        <w:rPr>
          <w:rFonts w:eastAsia="Times New Roman" w:cs="Arial"/>
        </w:rPr>
        <w:t>A list of any notices of violation (NOV)</w:t>
      </w:r>
      <w:r w:rsidR="008B6AAC">
        <w:rPr>
          <w:rFonts w:eastAsia="Times New Roman" w:cs="Arial"/>
        </w:rPr>
        <w:t xml:space="preserve"> </w:t>
      </w:r>
      <w:r>
        <w:rPr>
          <w:rFonts w:eastAsia="Times New Roman" w:cs="Arial"/>
        </w:rPr>
        <w:t xml:space="preserve">that were issued </w:t>
      </w:r>
      <w:r w:rsidR="000C6749">
        <w:rPr>
          <w:rFonts w:eastAsia="Times New Roman" w:cs="Arial"/>
        </w:rPr>
        <w:t xml:space="preserve">since the previous certification </w:t>
      </w:r>
      <w:r>
        <w:rPr>
          <w:rFonts w:eastAsia="Times New Roman" w:cs="Arial"/>
        </w:rPr>
        <w:t>with respect to Seller [or in connection with the Facility], including: (</w:t>
      </w:r>
      <w:proofErr w:type="spellStart"/>
      <w:r>
        <w:rPr>
          <w:rFonts w:eastAsia="Times New Roman" w:cs="Arial"/>
        </w:rPr>
        <w:t>i</w:t>
      </w:r>
      <w:proofErr w:type="spellEnd"/>
      <w:r>
        <w:rPr>
          <w:rFonts w:eastAsia="Times New Roman" w:cs="Arial"/>
        </w:rPr>
        <w:t>) the Governmental Authority that issued the NOV, (ii) the status of remediation of the violation; and (iii) if remediation has not been completed, the duration anticipated for resolution is attached. Copies of any NOVs are also attached. </w:t>
      </w:r>
    </w:p>
    <w:p w:rsidRPr="0012275A" w:rsidR="00D96326" w:rsidP="00E62CF6" w:rsidRDefault="00D96326" w14:paraId="1D256977" w14:textId="6FCBD4F1">
      <w:pPr>
        <w:numPr>
          <w:ilvl w:val="0"/>
          <w:numId w:val="29"/>
        </w:numPr>
        <w:spacing w:before="0" w:after="0"/>
        <w:ind w:left="360" w:firstLine="0"/>
        <w:textAlignment w:val="baseline"/>
        <w:rPr>
          <w:rFonts w:eastAsia="Times New Roman" w:cs="Arial"/>
          <w:sz w:val="22"/>
          <w:szCs w:val="22"/>
        </w:rPr>
      </w:pPr>
      <w:r>
        <w:rPr>
          <w:rFonts w:eastAsia="Times New Roman" w:cs="Arial"/>
        </w:rPr>
        <w:t>Attached is a list identifying (by name and address) any adjacent landowner, lessee or neighbor complaints against Seller or the Facility</w:t>
      </w:r>
      <w:r w:rsidR="008B6AAC">
        <w:rPr>
          <w:rFonts w:eastAsia="Times New Roman" w:cs="Arial"/>
        </w:rPr>
        <w:t xml:space="preserve"> since the previous certification</w:t>
      </w:r>
      <w:r>
        <w:rPr>
          <w:rFonts w:eastAsia="Times New Roman" w:cs="Arial"/>
        </w:rPr>
        <w:t>, as well as: (</w:t>
      </w:r>
      <w:proofErr w:type="spellStart"/>
      <w:r>
        <w:rPr>
          <w:rFonts w:eastAsia="Times New Roman" w:cs="Arial"/>
        </w:rPr>
        <w:t>i</w:t>
      </w:r>
      <w:proofErr w:type="spellEnd"/>
      <w:r>
        <w:rPr>
          <w:rFonts w:eastAsia="Times New Roman" w:cs="Arial"/>
        </w:rPr>
        <w:t>) a general description of the complaint; and (ii) plans that Seller took to resolve the complaint or, if not yet resolved, what actions Seller has taken to date, or intends to take, to resolve the complaint, along with a timeline for completing such actions. </w:t>
      </w:r>
    </w:p>
    <w:p w:rsidRPr="0012275A" w:rsidR="00D96326" w:rsidP="00E62CF6" w:rsidRDefault="00D96326" w14:paraId="3F4BB533" w14:textId="77777777">
      <w:pPr>
        <w:numPr>
          <w:ilvl w:val="0"/>
          <w:numId w:val="30"/>
        </w:numPr>
        <w:spacing w:before="0" w:after="0"/>
        <w:ind w:left="360" w:firstLine="0"/>
        <w:textAlignment w:val="baseline"/>
        <w:rPr>
          <w:rFonts w:eastAsia="Times New Roman" w:cs="Arial"/>
          <w:sz w:val="22"/>
          <w:szCs w:val="22"/>
        </w:rPr>
      </w:pPr>
      <w:r>
        <w:rPr>
          <w:rFonts w:eastAsia="Times New Roman" w:cs="Arial"/>
        </w:rPr>
        <w:t>A list of any Permits and/or other Governmental Authority prescribed actions that have been fulfilled and/or closed since the previous Certification is attached. </w:t>
      </w:r>
    </w:p>
    <w:p w:rsidRPr="0012275A" w:rsidR="00D96326" w:rsidP="00E62CF6" w:rsidRDefault="00D96326" w14:paraId="56733D7E" w14:textId="77777777">
      <w:pPr>
        <w:numPr>
          <w:ilvl w:val="0"/>
          <w:numId w:val="31"/>
        </w:numPr>
        <w:spacing w:before="0" w:after="0"/>
        <w:ind w:left="360" w:firstLine="0"/>
        <w:textAlignment w:val="baseline"/>
        <w:rPr>
          <w:rFonts w:eastAsia="Times New Roman" w:cs="Arial"/>
          <w:sz w:val="22"/>
          <w:szCs w:val="22"/>
        </w:rPr>
      </w:pPr>
      <w:r>
        <w:rPr>
          <w:rFonts w:eastAsia="Times New Roman" w:cs="Arial"/>
        </w:rPr>
        <w:t xml:space="preserve">Except as already referenced or included in an attachment to this Certification, there are no other documents, notices or correspondence from any Governmental Authority indicating that the Facility and the Site </w:t>
      </w:r>
      <w:proofErr w:type="gramStart"/>
      <w:r>
        <w:rPr>
          <w:rFonts w:eastAsia="Times New Roman" w:cs="Arial"/>
        </w:rPr>
        <w:t>is</w:t>
      </w:r>
      <w:proofErr w:type="gramEnd"/>
      <w:r>
        <w:rPr>
          <w:rFonts w:eastAsia="Times New Roman" w:cs="Arial"/>
        </w:rPr>
        <w:t xml:space="preserve"> not in compliance with or is not in good standing under, and Environmental Laws, Permit or other Governmental Authority prescribed actions. </w:t>
      </w:r>
    </w:p>
    <w:p w:rsidRPr="0012275A" w:rsidR="00D96326" w:rsidP="00D96326" w:rsidRDefault="00D96326" w14:paraId="1E0AEE0E" w14:textId="77777777">
      <w:pPr>
        <w:spacing w:before="0" w:after="0"/>
        <w:textAlignment w:val="baseline"/>
        <w:rPr>
          <w:rFonts w:ascii="Segoe UI" w:hAnsi="Segoe UI" w:eastAsia="Times New Roman" w:cs="Segoe UI"/>
          <w:sz w:val="18"/>
          <w:szCs w:val="18"/>
        </w:rPr>
      </w:pPr>
      <w:r>
        <w:rPr>
          <w:rFonts w:eastAsia="Times New Roman" w:cs="Arial"/>
          <w:b/>
          <w:bCs/>
          <w:u w:val="single"/>
        </w:rPr>
        <w:t>Confirmation</w:t>
      </w:r>
      <w:r>
        <w:rPr>
          <w:rFonts w:eastAsia="Times New Roman" w:cs="Arial"/>
        </w:rPr>
        <w:t> </w:t>
      </w:r>
    </w:p>
    <w:p w:rsidRPr="0012275A" w:rsidR="00D96326" w:rsidP="00D96326" w:rsidRDefault="00D96326" w14:paraId="245B5C6A" w14:textId="77777777">
      <w:pPr>
        <w:spacing w:before="0" w:after="0"/>
        <w:textAlignment w:val="baseline"/>
        <w:rPr>
          <w:rFonts w:ascii="Segoe UI" w:hAnsi="Segoe UI" w:eastAsia="Times New Roman" w:cs="Segoe UI"/>
          <w:sz w:val="18"/>
          <w:szCs w:val="18"/>
        </w:rPr>
      </w:pPr>
      <w:r>
        <w:rPr>
          <w:rFonts w:eastAsia="Times New Roman" w:cs="Arial"/>
          <w:b/>
          <w:bCs/>
        </w:rPr>
        <w:t>The above information (and any attachments) has been completed in full and agrees with our records as of the date of this Certification.</w:t>
      </w:r>
      <w:r>
        <w:rPr>
          <w:rFonts w:eastAsia="Times New Roman" w:cs="Arial"/>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005"/>
        <w:gridCol w:w="4080"/>
        <w:gridCol w:w="30"/>
      </w:tblGrid>
      <w:tr w:rsidRPr="0012275A" w:rsidR="00D96326" w14:paraId="57F4D437" w14:textId="77777777">
        <w:trPr>
          <w:trHeight w:val="360"/>
        </w:trPr>
        <w:tc>
          <w:tcPr>
            <w:tcW w:w="5115" w:type="dxa"/>
            <w:gridSpan w:val="3"/>
            <w:tcBorders>
              <w:top w:val="nil"/>
              <w:left w:val="nil"/>
              <w:bottom w:val="nil"/>
              <w:right w:val="nil"/>
            </w:tcBorders>
            <w:hideMark/>
          </w:tcPr>
          <w:p w:rsidRPr="0012275A" w:rsidR="00D96326" w:rsidRDefault="00D96326" w14:paraId="5FF5135E" w14:textId="77777777">
            <w:pPr>
              <w:spacing w:before="0" w:after="0"/>
              <w:textAlignment w:val="baseline"/>
              <w:rPr>
                <w:rFonts w:ascii="Times New Roman" w:hAnsi="Times New Roman" w:eastAsia="Times New Roman"/>
                <w:sz w:val="24"/>
                <w:szCs w:val="24"/>
              </w:rPr>
            </w:pPr>
            <w:r>
              <w:rPr>
                <w:rFonts w:eastAsia="Times New Roman" w:cs="Arial"/>
                <w:b/>
                <w:bCs/>
                <w:shd w:val="clear" w:color="auto" w:fill="FFFF00"/>
              </w:rPr>
              <w:t>#SellerLegalName#</w:t>
            </w:r>
            <w:r>
              <w:rPr>
                <w:rFonts w:eastAsia="Times New Roman" w:cs="Arial"/>
              </w:rPr>
              <w:t> </w:t>
            </w:r>
          </w:p>
        </w:tc>
      </w:tr>
      <w:tr w:rsidRPr="0012275A" w:rsidR="00D96326" w14:paraId="12987D99" w14:textId="77777777">
        <w:trPr>
          <w:trHeight w:val="360"/>
        </w:trPr>
        <w:tc>
          <w:tcPr>
            <w:tcW w:w="1005" w:type="dxa"/>
            <w:tcBorders>
              <w:top w:val="nil"/>
              <w:left w:val="nil"/>
              <w:bottom w:val="nil"/>
              <w:right w:val="nil"/>
            </w:tcBorders>
            <w:vAlign w:val="bottom"/>
            <w:hideMark/>
          </w:tcPr>
          <w:p w:rsidRPr="0012275A" w:rsidR="00D96326" w:rsidRDefault="00D96326" w14:paraId="667E1E5D" w14:textId="77777777">
            <w:pPr>
              <w:spacing w:before="0" w:after="0"/>
              <w:textAlignment w:val="baseline"/>
              <w:rPr>
                <w:rFonts w:ascii="Times New Roman" w:hAnsi="Times New Roman" w:eastAsia="Times New Roman"/>
                <w:sz w:val="24"/>
                <w:szCs w:val="24"/>
              </w:rPr>
            </w:pPr>
            <w:r>
              <w:rPr>
                <w:rFonts w:eastAsia="Times New Roman" w:cs="Arial"/>
                <w:sz w:val="18"/>
                <w:szCs w:val="18"/>
              </w:rPr>
              <w:t>By: </w:t>
            </w:r>
          </w:p>
        </w:tc>
        <w:tc>
          <w:tcPr>
            <w:tcW w:w="4080" w:type="dxa"/>
            <w:tcBorders>
              <w:top w:val="nil"/>
              <w:left w:val="nil"/>
              <w:bottom w:val="single" w:color="auto" w:sz="6" w:space="0"/>
              <w:right w:val="nil"/>
            </w:tcBorders>
            <w:vAlign w:val="bottom"/>
            <w:hideMark/>
          </w:tcPr>
          <w:p w:rsidRPr="0012275A" w:rsidR="00D96326" w:rsidRDefault="00D96326" w14:paraId="0F5FD491" w14:textId="77777777">
            <w:pPr>
              <w:spacing w:before="0" w:after="0"/>
              <w:jc w:val="left"/>
              <w:textAlignment w:val="baseline"/>
              <w:rPr>
                <w:rFonts w:ascii="Times New Roman" w:hAnsi="Times New Roman" w:eastAsia="Times New Roman"/>
                <w:sz w:val="24"/>
                <w:szCs w:val="24"/>
              </w:rPr>
            </w:pPr>
            <w:r>
              <w:rPr>
                <w:rFonts w:eastAsia="Times New Roman" w:cs="Arial"/>
              </w:rPr>
              <w:t> </w:t>
            </w:r>
          </w:p>
        </w:tc>
        <w:tc>
          <w:tcPr>
            <w:tcW w:w="0" w:type="auto"/>
            <w:vAlign w:val="center"/>
            <w:hideMark/>
          </w:tcPr>
          <w:p w:rsidRPr="0012275A" w:rsidR="00D96326" w:rsidRDefault="00D96326" w14:paraId="6A6A7F09" w14:textId="77777777">
            <w:pPr>
              <w:spacing w:before="0" w:after="0"/>
              <w:jc w:val="left"/>
              <w:rPr>
                <w:rFonts w:ascii="Times New Roman" w:hAnsi="Times New Roman" w:eastAsia="Times New Roman"/>
              </w:rPr>
            </w:pPr>
          </w:p>
        </w:tc>
      </w:tr>
      <w:tr w:rsidRPr="0012275A" w:rsidR="00D96326" w14:paraId="212BF89F" w14:textId="77777777">
        <w:trPr>
          <w:trHeight w:val="360"/>
        </w:trPr>
        <w:tc>
          <w:tcPr>
            <w:tcW w:w="1005" w:type="dxa"/>
            <w:tcBorders>
              <w:top w:val="nil"/>
              <w:left w:val="nil"/>
              <w:bottom w:val="nil"/>
              <w:right w:val="nil"/>
            </w:tcBorders>
            <w:vAlign w:val="bottom"/>
            <w:hideMark/>
          </w:tcPr>
          <w:p w:rsidRPr="0012275A" w:rsidR="00D96326" w:rsidRDefault="00D96326" w14:paraId="7F171DAF" w14:textId="77777777">
            <w:pPr>
              <w:spacing w:before="0" w:after="0"/>
              <w:textAlignment w:val="baseline"/>
              <w:rPr>
                <w:rFonts w:ascii="Times New Roman" w:hAnsi="Times New Roman" w:eastAsia="Times New Roman"/>
                <w:sz w:val="24"/>
                <w:szCs w:val="24"/>
              </w:rPr>
            </w:pPr>
            <w:r>
              <w:rPr>
                <w:rFonts w:eastAsia="Times New Roman" w:cs="Arial"/>
                <w:sz w:val="18"/>
                <w:szCs w:val="18"/>
              </w:rPr>
              <w:t>Name </w:t>
            </w:r>
          </w:p>
          <w:p w:rsidRPr="0012275A" w:rsidR="00D96326" w:rsidRDefault="00D96326" w14:paraId="34DAD13D" w14:textId="77777777">
            <w:pPr>
              <w:spacing w:before="0" w:after="0"/>
              <w:textAlignment w:val="baseline"/>
              <w:rPr>
                <w:rFonts w:ascii="Times New Roman" w:hAnsi="Times New Roman" w:eastAsia="Times New Roman"/>
                <w:sz w:val="24"/>
                <w:szCs w:val="24"/>
              </w:rPr>
            </w:pPr>
            <w:r>
              <w:rPr>
                <w:rFonts w:eastAsia="Times New Roman" w:cs="Arial"/>
                <w:sz w:val="18"/>
                <w:szCs w:val="18"/>
              </w:rPr>
              <w:t>Printed: </w:t>
            </w:r>
          </w:p>
        </w:tc>
        <w:tc>
          <w:tcPr>
            <w:tcW w:w="4080" w:type="dxa"/>
            <w:tcBorders>
              <w:top w:val="single" w:color="auto" w:sz="6" w:space="0"/>
              <w:left w:val="nil"/>
              <w:bottom w:val="single" w:color="auto" w:sz="6" w:space="0"/>
              <w:right w:val="nil"/>
            </w:tcBorders>
            <w:vAlign w:val="bottom"/>
            <w:hideMark/>
          </w:tcPr>
          <w:p w:rsidRPr="0012275A" w:rsidR="00D96326" w:rsidRDefault="00D96326" w14:paraId="4999E501" w14:textId="77777777">
            <w:pPr>
              <w:spacing w:before="0" w:after="0"/>
              <w:jc w:val="left"/>
              <w:textAlignment w:val="baseline"/>
              <w:rPr>
                <w:rFonts w:ascii="Times New Roman" w:hAnsi="Times New Roman" w:eastAsia="Times New Roman"/>
                <w:sz w:val="24"/>
                <w:szCs w:val="24"/>
              </w:rPr>
            </w:pPr>
            <w:r>
              <w:rPr>
                <w:rFonts w:eastAsia="Times New Roman" w:cs="Arial"/>
              </w:rPr>
              <w:t> </w:t>
            </w:r>
          </w:p>
        </w:tc>
        <w:tc>
          <w:tcPr>
            <w:tcW w:w="0" w:type="auto"/>
            <w:vAlign w:val="center"/>
            <w:hideMark/>
          </w:tcPr>
          <w:p w:rsidRPr="0012275A" w:rsidR="00D96326" w:rsidRDefault="00D96326" w14:paraId="2FF33B05" w14:textId="77777777">
            <w:pPr>
              <w:spacing w:before="0" w:after="0"/>
              <w:jc w:val="left"/>
              <w:rPr>
                <w:rFonts w:ascii="Times New Roman" w:hAnsi="Times New Roman" w:eastAsia="Times New Roman"/>
              </w:rPr>
            </w:pPr>
          </w:p>
        </w:tc>
      </w:tr>
      <w:tr w:rsidRPr="0012275A" w:rsidR="00D96326" w14:paraId="0B4EEF0B" w14:textId="77777777">
        <w:trPr>
          <w:trHeight w:val="495"/>
        </w:trPr>
        <w:tc>
          <w:tcPr>
            <w:tcW w:w="1005" w:type="dxa"/>
            <w:tcBorders>
              <w:top w:val="nil"/>
              <w:left w:val="nil"/>
              <w:bottom w:val="nil"/>
              <w:right w:val="nil"/>
            </w:tcBorders>
            <w:vAlign w:val="bottom"/>
            <w:hideMark/>
          </w:tcPr>
          <w:p w:rsidRPr="0012275A" w:rsidR="00D96326" w:rsidRDefault="00D96326" w14:paraId="2EEDC261" w14:textId="77777777">
            <w:pPr>
              <w:spacing w:before="0" w:after="0"/>
              <w:textAlignment w:val="baseline"/>
              <w:rPr>
                <w:rFonts w:ascii="Times New Roman" w:hAnsi="Times New Roman" w:eastAsia="Times New Roman"/>
                <w:sz w:val="24"/>
                <w:szCs w:val="24"/>
              </w:rPr>
            </w:pPr>
            <w:r>
              <w:rPr>
                <w:rFonts w:eastAsia="Times New Roman" w:cs="Arial"/>
                <w:sz w:val="18"/>
                <w:szCs w:val="18"/>
              </w:rPr>
              <w:t>Title: </w:t>
            </w:r>
          </w:p>
        </w:tc>
        <w:tc>
          <w:tcPr>
            <w:tcW w:w="4080" w:type="dxa"/>
            <w:tcBorders>
              <w:top w:val="single" w:color="auto" w:sz="6" w:space="0"/>
              <w:left w:val="nil"/>
              <w:bottom w:val="single" w:color="auto" w:sz="6" w:space="0"/>
              <w:right w:val="nil"/>
            </w:tcBorders>
            <w:vAlign w:val="bottom"/>
            <w:hideMark/>
          </w:tcPr>
          <w:p w:rsidRPr="0012275A" w:rsidR="00D96326" w:rsidRDefault="00D96326" w14:paraId="7246DC2D" w14:textId="77777777">
            <w:pPr>
              <w:spacing w:before="0" w:after="0"/>
              <w:jc w:val="left"/>
              <w:textAlignment w:val="baseline"/>
              <w:rPr>
                <w:rFonts w:ascii="Times New Roman" w:hAnsi="Times New Roman" w:eastAsia="Times New Roman"/>
                <w:sz w:val="24"/>
                <w:szCs w:val="24"/>
              </w:rPr>
            </w:pPr>
            <w:r>
              <w:rPr>
                <w:rFonts w:eastAsia="Times New Roman" w:cs="Arial"/>
              </w:rPr>
              <w:t> </w:t>
            </w:r>
          </w:p>
        </w:tc>
        <w:tc>
          <w:tcPr>
            <w:tcW w:w="0" w:type="auto"/>
            <w:vAlign w:val="center"/>
            <w:hideMark/>
          </w:tcPr>
          <w:p w:rsidRPr="0012275A" w:rsidR="00D96326" w:rsidRDefault="00D96326" w14:paraId="23799B7E" w14:textId="77777777">
            <w:pPr>
              <w:spacing w:before="0" w:after="0"/>
              <w:jc w:val="left"/>
              <w:rPr>
                <w:rFonts w:ascii="Times New Roman" w:hAnsi="Times New Roman" w:eastAsia="Times New Roman"/>
              </w:rPr>
            </w:pPr>
          </w:p>
        </w:tc>
      </w:tr>
      <w:tr w:rsidRPr="0012275A" w:rsidR="00D96326" w14:paraId="7C0E6BF3" w14:textId="77777777">
        <w:trPr>
          <w:trHeight w:val="495"/>
        </w:trPr>
        <w:tc>
          <w:tcPr>
            <w:tcW w:w="1005" w:type="dxa"/>
            <w:tcBorders>
              <w:top w:val="nil"/>
              <w:left w:val="nil"/>
              <w:bottom w:val="nil"/>
              <w:right w:val="nil"/>
            </w:tcBorders>
            <w:vAlign w:val="bottom"/>
            <w:hideMark/>
          </w:tcPr>
          <w:p w:rsidRPr="0012275A" w:rsidR="00D96326" w:rsidRDefault="00D96326" w14:paraId="6E352A4C" w14:textId="77777777">
            <w:pPr>
              <w:spacing w:before="0" w:after="0"/>
              <w:textAlignment w:val="baseline"/>
              <w:rPr>
                <w:rFonts w:ascii="Times New Roman" w:hAnsi="Times New Roman" w:eastAsia="Times New Roman"/>
                <w:sz w:val="24"/>
                <w:szCs w:val="24"/>
              </w:rPr>
            </w:pPr>
            <w:r>
              <w:rPr>
                <w:rFonts w:eastAsia="Times New Roman" w:cs="Arial"/>
                <w:sz w:val="18"/>
                <w:szCs w:val="18"/>
              </w:rPr>
              <w:t>Date: </w:t>
            </w:r>
          </w:p>
        </w:tc>
        <w:tc>
          <w:tcPr>
            <w:tcW w:w="4080" w:type="dxa"/>
            <w:tcBorders>
              <w:top w:val="single" w:color="auto" w:sz="6" w:space="0"/>
              <w:left w:val="nil"/>
              <w:bottom w:val="single" w:color="auto" w:sz="6" w:space="0"/>
              <w:right w:val="nil"/>
            </w:tcBorders>
            <w:vAlign w:val="bottom"/>
            <w:hideMark/>
          </w:tcPr>
          <w:p w:rsidRPr="0012275A" w:rsidR="00D96326" w:rsidRDefault="00D96326" w14:paraId="08A49362" w14:textId="77777777">
            <w:pPr>
              <w:spacing w:before="0" w:after="0"/>
              <w:jc w:val="left"/>
              <w:textAlignment w:val="baseline"/>
              <w:rPr>
                <w:rFonts w:ascii="Times New Roman" w:hAnsi="Times New Roman" w:eastAsia="Times New Roman"/>
                <w:sz w:val="24"/>
                <w:szCs w:val="24"/>
              </w:rPr>
            </w:pPr>
            <w:r>
              <w:rPr>
                <w:rFonts w:eastAsia="Times New Roman" w:cs="Arial"/>
              </w:rPr>
              <w:t> </w:t>
            </w:r>
          </w:p>
        </w:tc>
        <w:tc>
          <w:tcPr>
            <w:tcW w:w="0" w:type="auto"/>
            <w:vAlign w:val="center"/>
            <w:hideMark/>
          </w:tcPr>
          <w:p w:rsidRPr="0012275A" w:rsidR="00D96326" w:rsidRDefault="00D96326" w14:paraId="2CB6CE20" w14:textId="77777777">
            <w:pPr>
              <w:spacing w:before="0" w:after="0"/>
              <w:jc w:val="left"/>
              <w:rPr>
                <w:rFonts w:ascii="Times New Roman" w:hAnsi="Times New Roman" w:eastAsia="Times New Roman"/>
              </w:rPr>
            </w:pPr>
          </w:p>
        </w:tc>
      </w:tr>
    </w:tbl>
    <w:p w:rsidR="008B2EDE" w:rsidP="00D96326" w:rsidRDefault="00D96326" w14:paraId="55ADBC88" w14:textId="77777777">
      <w:pPr>
        <w:spacing w:before="0" w:after="0"/>
        <w:textAlignment w:val="baseline"/>
        <w:rPr>
          <w:rFonts w:eastAsia="Times New Roman" w:cs="Arial"/>
        </w:rPr>
        <w:sectPr w:rsidR="008B2EDE" w:rsidSect="006B1C54">
          <w:headerReference w:type="even" r:id="rId63"/>
          <w:headerReference w:type="default" r:id="rId64"/>
          <w:footerReference w:type="default" r:id="rId65"/>
          <w:headerReference w:type="first" r:id="rId66"/>
          <w:pgSz w:w="12240" w:h="15840" w:code="1"/>
          <w:pgMar w:top="1440" w:right="1440" w:bottom="1440" w:left="1440" w:header="720" w:footer="720" w:gutter="0"/>
          <w:paperSrc w:first="15" w:other="15"/>
          <w:cols w:space="1440"/>
        </w:sectPr>
      </w:pPr>
      <w:r>
        <w:rPr>
          <w:rFonts w:eastAsia="Times New Roman" w:cs="Arial"/>
        </w:rPr>
        <w:t> </w:t>
      </w:r>
    </w:p>
    <w:p w:rsidRPr="00CB241B" w:rsidR="00BD1E2D" w:rsidP="00BD1E2D" w:rsidRDefault="00BD1E2D" w14:paraId="419CCD25" w14:textId="1835BAE9">
      <w:pPr>
        <w:pStyle w:val="zGTitleExhibit"/>
        <w:spacing w:after="360"/>
      </w:pPr>
      <w:bookmarkStart w:name="_Toc143692424" w:id="666"/>
      <w:bookmarkStart w:name="_Toc159988047" w:id="667"/>
      <w:bookmarkStart w:name="_Toc212475786" w:id="668"/>
      <w:bookmarkStart w:name="_Toc227838483" w:id="669"/>
      <w:r>
        <w:lastRenderedPageBreak/>
        <w:t>Exhibit M – Notices</w:t>
      </w:r>
      <w:bookmarkEnd w:id="666"/>
      <w:bookmarkEnd w:id="667"/>
      <w:bookmarkEnd w:id="668"/>
      <w:bookmarkEnd w:id="669"/>
    </w:p>
    <w:p w:rsidRPr="00CB241B" w:rsidR="00BD1E2D" w:rsidP="00BD1E2D" w:rsidRDefault="00BD1E2D" w14:paraId="3776C9FA" w14:textId="41D6C663">
      <w:pPr>
        <w:widowControl w:val="0"/>
        <w:spacing w:after="240"/>
        <w:rPr>
          <w:rFonts w:cs="Arial"/>
          <w:b/>
          <w:bCs/>
        </w:rPr>
      </w:pPr>
      <w:r>
        <w:rPr>
          <w:rFonts w:cs="Arial"/>
          <w:b/>
          <w:bCs/>
        </w:rPr>
        <w:t>Address for delivery of Eligible Collateral for Performance Security in accordance with PPA Section 6.</w:t>
      </w:r>
      <w:r w:rsidR="0014683E">
        <w:rPr>
          <w:rFonts w:cs="Arial"/>
          <w:b/>
          <w:bCs/>
        </w:rPr>
        <w:t>6</w:t>
      </w:r>
      <w:r>
        <w:rPr>
          <w:rFonts w:cs="Arial"/>
          <w:b/>
          <w:bCs/>
        </w:rPr>
        <w:t xml:space="preserve"> (</w:t>
      </w:r>
      <w:r>
        <w:rPr>
          <w:rFonts w:cs="Arial"/>
          <w:b/>
          <w:bCs/>
          <w:i/>
          <w:iCs/>
        </w:rPr>
        <w:t>Delivery of Eligible Collateral for Performance Security</w:t>
      </w:r>
      <w:r>
        <w:rPr>
          <w:rFonts w:cs="Arial"/>
          <w:b/>
          <w:bCs/>
        </w:rPr>
        <w:t>):</w:t>
      </w:r>
    </w:p>
    <w:p w:rsidRPr="00F80038" w:rsidR="00F80038" w:rsidP="00F80038" w:rsidRDefault="00F80038" w14:paraId="390EDD4A" w14:textId="023C61CA">
      <w:pPr>
        <w:pStyle w:val="ArticleL2"/>
        <w:widowControl w:val="0"/>
        <w:spacing w:after="0"/>
        <w:rPr>
          <w:rFonts w:ascii="Arial" w:hAnsi="Arial" w:cs="Arial"/>
        </w:rPr>
      </w:pPr>
      <w:r>
        <w:rPr>
          <w:rFonts w:ascii="Arial" w:hAnsi="Arial" w:cs="Arial"/>
        </w:rPr>
        <w:t>For</w:t>
      </w:r>
      <w:r w:rsidRPr="006A48A4">
        <w:rPr>
          <w:rFonts w:ascii="Arial" w:hAnsi="Arial" w:cs="Arial"/>
        </w:rPr>
        <w:t xml:space="preserve"> </w:t>
      </w:r>
      <w:r>
        <w:rPr>
          <w:rFonts w:ascii="Arial" w:hAnsi="Arial" w:cs="Arial"/>
        </w:rPr>
        <w:t>any</w:t>
      </w:r>
      <w:r w:rsidRPr="006A48A4">
        <w:rPr>
          <w:rFonts w:ascii="Arial" w:hAnsi="Arial" w:cs="Arial"/>
        </w:rPr>
        <w:t xml:space="preserve"> Eligible Collateral in the form of a Letter of Credit or Seller Guaranty</w:t>
      </w:r>
      <w:r>
        <w:rPr>
          <w:rFonts w:ascii="Arial" w:hAnsi="Arial" w:cs="Arial"/>
        </w:rPr>
        <w:t>, the following address:</w:t>
      </w:r>
    </w:p>
    <w:p w:rsidR="00F80038" w:rsidP="00BD1E2D" w:rsidRDefault="00F80038" w14:paraId="2DC244CB" w14:textId="77777777">
      <w:pPr>
        <w:pStyle w:val="ArticleL2"/>
        <w:widowControl w:val="0"/>
        <w:spacing w:after="0"/>
        <w:jc w:val="left"/>
        <w:rPr>
          <w:rFonts w:ascii="Arial" w:hAnsi="Arial" w:cs="Arial"/>
        </w:rPr>
      </w:pPr>
    </w:p>
    <w:p w:rsidRPr="00CB241B" w:rsidR="00BD1E2D" w:rsidP="00BD1E2D" w:rsidRDefault="00BD1E2D" w14:paraId="632F44E0" w14:textId="6D3F3ADE">
      <w:pPr>
        <w:pStyle w:val="ArticleL2"/>
        <w:widowControl w:val="0"/>
        <w:spacing w:after="0"/>
        <w:jc w:val="left"/>
        <w:rPr>
          <w:rFonts w:ascii="Arial" w:hAnsi="Arial" w:cs="Arial"/>
        </w:rPr>
      </w:pPr>
      <w:r>
        <w:rPr>
          <w:rFonts w:ascii="Arial" w:hAnsi="Arial" w:cs="Arial"/>
        </w:rPr>
        <w:t xml:space="preserve">Georgia Power Company </w:t>
      </w:r>
    </w:p>
    <w:p w:rsidRPr="00CB241B" w:rsidR="00BD1E2D" w:rsidP="00BD1E2D" w:rsidRDefault="00BD1E2D" w14:paraId="2772230A" w14:textId="77777777">
      <w:pPr>
        <w:pStyle w:val="ArticleL2"/>
        <w:widowControl w:val="0"/>
        <w:spacing w:after="0"/>
        <w:jc w:val="left"/>
        <w:rPr>
          <w:rFonts w:ascii="Arial" w:hAnsi="Arial" w:cs="Arial"/>
        </w:rPr>
      </w:pPr>
      <w:r>
        <w:rPr>
          <w:rFonts w:ascii="Arial" w:hAnsi="Arial" w:cs="Arial"/>
        </w:rPr>
        <w:t>c/o Southern Company Services Inc.</w:t>
      </w:r>
    </w:p>
    <w:p w:rsidRPr="00CB241B" w:rsidR="00BD1E2D" w:rsidP="00BD1E2D" w:rsidRDefault="00BD1E2D" w14:paraId="60B6EC0E" w14:textId="77777777">
      <w:pPr>
        <w:pStyle w:val="ArticleL2"/>
        <w:widowControl w:val="0"/>
        <w:spacing w:after="0"/>
        <w:jc w:val="left"/>
        <w:rPr>
          <w:rFonts w:ascii="Arial" w:hAnsi="Arial" w:cs="Arial"/>
        </w:rPr>
      </w:pPr>
      <w:r>
        <w:rPr>
          <w:rFonts w:ascii="Arial" w:hAnsi="Arial" w:cs="Arial"/>
        </w:rPr>
        <w:t>Attn: Assistant Treasurer, BIN SC1407</w:t>
      </w:r>
    </w:p>
    <w:p w:rsidRPr="00CB241B" w:rsidR="00BD1E2D" w:rsidP="00BD1E2D" w:rsidRDefault="00BD1E2D" w14:paraId="648AC27B" w14:textId="77777777">
      <w:pPr>
        <w:pStyle w:val="ArticleL2"/>
        <w:widowControl w:val="0"/>
        <w:spacing w:after="0"/>
        <w:jc w:val="left"/>
        <w:rPr>
          <w:rFonts w:ascii="Arial" w:hAnsi="Arial" w:cs="Arial"/>
        </w:rPr>
      </w:pPr>
      <w:r>
        <w:rPr>
          <w:rFonts w:ascii="Arial" w:hAnsi="Arial" w:cs="Arial"/>
        </w:rPr>
        <w:t>30 Ivan Allen Jr. Blvd.</w:t>
      </w:r>
    </w:p>
    <w:p w:rsidRPr="00CB241B" w:rsidR="00BD1E2D" w:rsidP="00BD1E2D" w:rsidRDefault="00BD1E2D" w14:paraId="3A53CA04" w14:textId="77777777">
      <w:pPr>
        <w:pStyle w:val="ArticleL2"/>
        <w:widowControl w:val="0"/>
        <w:jc w:val="left"/>
        <w:rPr>
          <w:rFonts w:ascii="Arial" w:hAnsi="Arial" w:cs="Arial"/>
        </w:rPr>
      </w:pPr>
      <w:r>
        <w:rPr>
          <w:rFonts w:ascii="Arial" w:hAnsi="Arial" w:cs="Arial"/>
        </w:rPr>
        <w:t>Atlanta, Georgia 30308</w:t>
      </w:r>
    </w:p>
    <w:p w:rsidRPr="00296F92" w:rsidR="00274C59" w:rsidP="00296F92" w:rsidRDefault="00274C59" w14:paraId="0607A107" w14:textId="2769C751">
      <w:pPr>
        <w:widowControl w:val="0"/>
        <w:spacing w:after="240"/>
        <w:rPr>
          <w:rFonts w:cs="Arial"/>
        </w:rPr>
      </w:pPr>
      <w:r>
        <w:rPr>
          <w:rFonts w:cs="Arial"/>
        </w:rPr>
        <w:t xml:space="preserve">For any Eligible Collateral in the form of cash, GPC will provide the GPC Security Account information, including wiring instructions, within a reasonable time after </w:t>
      </w:r>
      <w:r w:rsidR="003A79BB">
        <w:rPr>
          <w:rFonts w:cs="Arial"/>
        </w:rPr>
        <w:t>receipt</w:t>
      </w:r>
      <w:r w:rsidR="00411B78">
        <w:rPr>
          <w:rFonts w:cs="Arial"/>
        </w:rPr>
        <w:t xml:space="preserve"> </w:t>
      </w:r>
      <w:r w:rsidR="00952F7B">
        <w:rPr>
          <w:rFonts w:cs="Arial"/>
        </w:rPr>
        <w:t>Seller</w:t>
      </w:r>
      <w:r w:rsidR="003A79BB">
        <w:rPr>
          <w:rFonts w:cs="Arial"/>
        </w:rPr>
        <w:t>’s written</w:t>
      </w:r>
      <w:r w:rsidR="00952F7B">
        <w:rPr>
          <w:rFonts w:cs="Arial"/>
        </w:rPr>
        <w:t xml:space="preserve"> </w:t>
      </w:r>
      <w:r w:rsidR="003A79BB">
        <w:rPr>
          <w:rFonts w:cs="Arial"/>
        </w:rPr>
        <w:t>request for</w:t>
      </w:r>
      <w:r w:rsidR="00952F7B">
        <w:rPr>
          <w:rFonts w:cs="Arial"/>
        </w:rPr>
        <w:t xml:space="preserve"> the information</w:t>
      </w:r>
      <w:r>
        <w:rPr>
          <w:rFonts w:cs="Arial"/>
        </w:rPr>
        <w:t xml:space="preserve">. </w:t>
      </w:r>
    </w:p>
    <w:p w:rsidRPr="00CB241B" w:rsidR="00BD1E2D" w:rsidP="00BD1E2D" w:rsidRDefault="00BD1E2D" w14:paraId="3B79D36B" w14:textId="67858AFF">
      <w:pPr>
        <w:widowControl w:val="0"/>
        <w:spacing w:after="240"/>
        <w:jc w:val="left"/>
        <w:rPr>
          <w:rFonts w:cs="Arial"/>
          <w:b/>
          <w:bCs/>
        </w:rPr>
      </w:pPr>
      <w:r>
        <w:rPr>
          <w:rFonts w:cs="Arial"/>
          <w:b/>
          <w:bCs/>
        </w:rPr>
        <w:t xml:space="preserve">Addresses for delivery of </w:t>
      </w:r>
      <w:r w:rsidR="00815328">
        <w:rPr>
          <w:rFonts w:cs="Arial"/>
          <w:b/>
          <w:bCs/>
        </w:rPr>
        <w:t>n</w:t>
      </w:r>
      <w:r>
        <w:rPr>
          <w:rFonts w:cs="Arial"/>
          <w:b/>
          <w:bCs/>
        </w:rPr>
        <w:t>otices to the Parties in accordance with PPA Section 20.4 (</w:t>
      </w:r>
      <w:r>
        <w:rPr>
          <w:rFonts w:cs="Arial"/>
          <w:b/>
          <w:bCs/>
          <w:i/>
          <w:iCs/>
        </w:rPr>
        <w:t>Notice</w:t>
      </w:r>
      <w:r>
        <w:rPr>
          <w:rFonts w:cs="Arial"/>
          <w:b/>
          <w:bCs/>
        </w:rPr>
        <w:t>):</w:t>
      </w:r>
    </w:p>
    <w:p w:rsidRPr="005F7DD9" w:rsidR="00BD1E2D" w:rsidP="00BD1E2D" w:rsidRDefault="00BD1E2D" w14:paraId="4BB09327" w14:textId="66E6B70F">
      <w:pPr>
        <w:jc w:val="left"/>
        <w:rPr>
          <w:rFonts w:cs="Arial"/>
        </w:rPr>
      </w:pPr>
      <w:r>
        <w:rPr>
          <w:rFonts w:cs="Arial"/>
          <w:b/>
          <w:bCs/>
          <w:i/>
          <w:iCs/>
        </w:rPr>
        <w:t xml:space="preserve">In accordance with </w:t>
      </w:r>
      <w:r>
        <w:rPr>
          <w:rFonts w:eastAsia="MS Gothic" w:cs="Arial"/>
          <w:b/>
          <w:i/>
        </w:rPr>
        <w:t>PPA</w:t>
      </w:r>
      <w:r>
        <w:rPr>
          <w:rFonts w:cs="Arial"/>
          <w:b/>
          <w:bCs/>
          <w:i/>
          <w:iCs/>
        </w:rPr>
        <w:t xml:space="preserve"> Section 20.4, all notices must include the </w:t>
      </w:r>
      <w:r>
        <w:rPr>
          <w:rFonts w:eastAsia="MS Gothic" w:cs="Arial"/>
          <w:b/>
          <w:i/>
        </w:rPr>
        <w:t>PPA</w:t>
      </w:r>
      <w:r>
        <w:rPr>
          <w:rFonts w:cs="Arial"/>
          <w:b/>
          <w:bCs/>
          <w:i/>
          <w:iCs/>
        </w:rPr>
        <w:t xml:space="preserve">’s title and the </w:t>
      </w:r>
      <w:r w:rsidR="002C29C6">
        <w:rPr>
          <w:rFonts w:cs="Arial"/>
          <w:b/>
          <w:bCs/>
          <w:i/>
          <w:iCs/>
        </w:rPr>
        <w:t>name of the</w:t>
      </w:r>
      <w:r>
        <w:rPr>
          <w:rFonts w:cs="Arial"/>
          <w:b/>
          <w:bCs/>
          <w:i/>
          <w:iCs/>
        </w:rPr>
        <w:t xml:space="preserve"> Facility </w:t>
      </w:r>
      <w:r w:rsidR="002C29C6">
        <w:rPr>
          <w:rFonts w:cs="Arial"/>
          <w:b/>
          <w:bCs/>
          <w:i/>
          <w:iCs/>
        </w:rPr>
        <w:t>and each Unit</w:t>
      </w:r>
      <w:r>
        <w:rPr>
          <w:rFonts w:cs="Arial"/>
          <w:b/>
          <w:bCs/>
          <w:i/>
          <w:iCs/>
        </w:rPr>
        <w:t>.</w:t>
      </w:r>
    </w:p>
    <w:p w:rsidR="00BD1E2D" w:rsidP="00BD1E2D" w:rsidRDefault="00BD1E2D" w14:paraId="500A0C7E" w14:textId="77777777">
      <w:pPr>
        <w:widowControl w:val="0"/>
        <w:spacing w:before="0" w:after="0"/>
        <w:ind w:left="720"/>
        <w:jc w:val="left"/>
        <w:rPr>
          <w:rFonts w:cs="Arial"/>
        </w:rPr>
      </w:pPr>
    </w:p>
    <w:tbl>
      <w:tblPr>
        <w:tblStyle w:val="TableGrid"/>
        <w:tblW w:w="0" w:type="auto"/>
        <w:tblLook w:val="04A0" w:firstRow="1" w:lastRow="0" w:firstColumn="1" w:lastColumn="0" w:noHBand="0" w:noVBand="1"/>
      </w:tblPr>
      <w:tblGrid>
        <w:gridCol w:w="4675"/>
        <w:gridCol w:w="4675"/>
      </w:tblGrid>
      <w:tr w:rsidR="00BD1E2D" w14:paraId="5A1A3EF3" w14:textId="77777777">
        <w:tc>
          <w:tcPr>
            <w:tcW w:w="4675" w:type="dxa"/>
          </w:tcPr>
          <w:p w:rsidR="00BD1E2D" w:rsidRDefault="00BD1E2D" w14:paraId="2C8E28FF" w14:textId="77777777">
            <w:pPr>
              <w:widowControl w:val="0"/>
              <w:spacing w:before="0"/>
              <w:jc w:val="left"/>
              <w:rPr>
                <w:rFonts w:cs="Arial"/>
                <w:b/>
                <w:bCs/>
              </w:rPr>
            </w:pPr>
            <w:r>
              <w:rPr>
                <w:rFonts w:cs="Arial"/>
                <w:b/>
                <w:bCs/>
              </w:rPr>
              <w:t>Notice to GPC:</w:t>
            </w:r>
          </w:p>
          <w:p w:rsidRPr="0012622C" w:rsidR="00BD1E2D" w:rsidRDefault="00BD1E2D" w14:paraId="64C795B4" w14:textId="77777777">
            <w:pPr>
              <w:widowControl w:val="0"/>
              <w:spacing w:before="0"/>
              <w:jc w:val="left"/>
              <w:rPr>
                <w:rFonts w:cs="Arial"/>
                <w:b/>
                <w:bCs/>
              </w:rPr>
            </w:pPr>
          </w:p>
          <w:p w:rsidR="00BD1E2D" w:rsidRDefault="00BD1E2D" w14:paraId="57C6F6C7" w14:textId="77777777">
            <w:pPr>
              <w:widowControl w:val="0"/>
              <w:spacing w:before="0"/>
              <w:jc w:val="left"/>
              <w:rPr>
                <w:rFonts w:cs="Arial"/>
              </w:rPr>
            </w:pPr>
            <w:r>
              <w:rPr>
                <w:rFonts w:cs="Arial"/>
              </w:rPr>
              <w:t>Georgia Power Company</w:t>
            </w:r>
          </w:p>
          <w:p w:rsidR="00BD1E2D" w:rsidRDefault="00BD1E2D" w14:paraId="06F608B6" w14:textId="77777777">
            <w:pPr>
              <w:widowControl w:val="0"/>
              <w:spacing w:before="0"/>
              <w:jc w:val="left"/>
              <w:rPr>
                <w:rFonts w:cs="Arial"/>
              </w:rPr>
            </w:pPr>
            <w:proofErr w:type="gramStart"/>
            <w:r>
              <w:rPr>
                <w:rFonts w:cs="Arial"/>
              </w:rPr>
              <w:t xml:space="preserve">Attention: </w:t>
            </w:r>
            <w:r>
              <w:rPr>
                <w:rFonts w:cs="Arial"/>
                <w:highlight w:val="yellow"/>
              </w:rPr>
              <w:t>#</w:t>
            </w:r>
            <w:proofErr w:type="gramEnd"/>
            <w:r>
              <w:rPr>
                <w:rFonts w:cs="Arial"/>
                <w:highlight w:val="yellow"/>
              </w:rPr>
              <w:t>GPCContact Name</w:t>
            </w:r>
          </w:p>
          <w:p w:rsidR="00BD1E2D" w:rsidRDefault="00BD1E2D" w14:paraId="27B8EE7B" w14:textId="77777777">
            <w:pPr>
              <w:widowControl w:val="0"/>
              <w:spacing w:before="0"/>
              <w:jc w:val="left"/>
              <w:rPr>
                <w:rFonts w:cs="Arial"/>
              </w:rPr>
            </w:pPr>
            <w:r>
              <w:rPr>
                <w:rFonts w:cs="Arial"/>
              </w:rPr>
              <w:t>241 Ralph McGill Boulevard N.E.</w:t>
            </w:r>
          </w:p>
          <w:p w:rsidR="00BD1E2D" w:rsidRDefault="00BD1E2D" w14:paraId="7CA1BFA5" w14:textId="77777777">
            <w:pPr>
              <w:widowControl w:val="0"/>
              <w:spacing w:before="0"/>
              <w:jc w:val="left"/>
              <w:rPr>
                <w:rFonts w:cs="Arial"/>
              </w:rPr>
            </w:pPr>
            <w:r>
              <w:rPr>
                <w:rFonts w:cs="Arial"/>
              </w:rPr>
              <w:t xml:space="preserve">BIN </w:t>
            </w:r>
            <w:r>
              <w:rPr>
                <w:rFonts w:cs="Arial"/>
                <w:highlight w:val="yellow"/>
              </w:rPr>
              <w:t>#BinNumber#</w:t>
            </w:r>
          </w:p>
          <w:p w:rsidR="00BD1E2D" w:rsidRDefault="00BD1E2D" w14:paraId="64420A69" w14:textId="77777777">
            <w:pPr>
              <w:widowControl w:val="0"/>
              <w:spacing w:before="0"/>
              <w:jc w:val="left"/>
              <w:rPr>
                <w:rFonts w:cs="Arial"/>
              </w:rPr>
            </w:pPr>
            <w:r>
              <w:rPr>
                <w:rFonts w:cs="Arial"/>
              </w:rPr>
              <w:t>Atlanta, Georgia 30308</w:t>
            </w:r>
          </w:p>
          <w:p w:rsidR="00BD1E2D" w:rsidRDefault="00BD1E2D" w14:paraId="54964685" w14:textId="77777777">
            <w:pPr>
              <w:widowControl w:val="0"/>
              <w:spacing w:before="0"/>
              <w:jc w:val="left"/>
              <w:rPr>
                <w:rFonts w:cs="Arial"/>
              </w:rPr>
            </w:pPr>
            <w:proofErr w:type="gramStart"/>
            <w:r>
              <w:rPr>
                <w:rFonts w:cs="Arial"/>
              </w:rPr>
              <w:t xml:space="preserve">Email: </w:t>
            </w:r>
            <w:r>
              <w:rPr>
                <w:rFonts w:cs="Arial"/>
                <w:highlight w:val="yellow"/>
              </w:rPr>
              <w:t>#</w:t>
            </w:r>
            <w:proofErr w:type="gramEnd"/>
            <w:r>
              <w:rPr>
                <w:rFonts w:cs="Arial"/>
                <w:highlight w:val="yellow"/>
              </w:rPr>
              <w:t>GPCNoticeEmail</w:t>
            </w:r>
          </w:p>
          <w:p w:rsidR="00BD1E2D" w:rsidRDefault="00BD1E2D" w14:paraId="241C3722" w14:textId="77777777">
            <w:pPr>
              <w:widowControl w:val="0"/>
              <w:spacing w:before="0"/>
              <w:jc w:val="left"/>
              <w:rPr>
                <w:rFonts w:cs="Arial"/>
              </w:rPr>
            </w:pPr>
          </w:p>
        </w:tc>
        <w:tc>
          <w:tcPr>
            <w:tcW w:w="4675" w:type="dxa"/>
          </w:tcPr>
          <w:p w:rsidRPr="003D5C70" w:rsidR="00BD1E2D" w:rsidRDefault="00BD1E2D" w14:paraId="697BCC85" w14:textId="77777777">
            <w:pPr>
              <w:widowControl w:val="0"/>
              <w:spacing w:before="0"/>
              <w:jc w:val="left"/>
              <w:rPr>
                <w:rFonts w:cs="Arial"/>
                <w:b/>
                <w:bCs/>
              </w:rPr>
            </w:pPr>
            <w:r>
              <w:rPr>
                <w:rFonts w:cs="Arial"/>
                <w:b/>
                <w:bCs/>
              </w:rPr>
              <w:t>With Copy To:</w:t>
            </w:r>
          </w:p>
          <w:p w:rsidR="00BD1E2D" w:rsidRDefault="00BD1E2D" w14:paraId="4D61FADC" w14:textId="77777777">
            <w:pPr>
              <w:widowControl w:val="0"/>
              <w:spacing w:before="0"/>
              <w:jc w:val="left"/>
              <w:rPr>
                <w:rFonts w:cs="Arial"/>
              </w:rPr>
            </w:pPr>
          </w:p>
          <w:p w:rsidR="00BD1E2D" w:rsidRDefault="00BD1E2D" w14:paraId="42E19D04" w14:textId="77777777">
            <w:pPr>
              <w:widowControl w:val="0"/>
              <w:spacing w:before="0"/>
              <w:jc w:val="left"/>
              <w:rPr>
                <w:rFonts w:cs="Arial"/>
              </w:rPr>
            </w:pPr>
            <w:r>
              <w:rPr>
                <w:rFonts w:cs="Arial"/>
              </w:rPr>
              <w:t>Georgia Power Company Legal Dept.</w:t>
            </w:r>
          </w:p>
          <w:p w:rsidR="00BD1E2D" w:rsidRDefault="00BD1E2D" w14:paraId="64518D26" w14:textId="77777777">
            <w:pPr>
              <w:widowControl w:val="0"/>
              <w:spacing w:before="0"/>
              <w:jc w:val="left"/>
              <w:rPr>
                <w:rFonts w:cs="Arial"/>
              </w:rPr>
            </w:pPr>
            <w:r>
              <w:rPr>
                <w:rFonts w:cs="Arial"/>
              </w:rPr>
              <w:t>Attn: Commercial &amp; Transactional Counsel</w:t>
            </w:r>
          </w:p>
          <w:p w:rsidR="00BD1E2D" w:rsidRDefault="00BD1E2D" w14:paraId="27A0DDD2" w14:textId="77777777">
            <w:pPr>
              <w:widowControl w:val="0"/>
              <w:spacing w:before="0"/>
              <w:jc w:val="left"/>
              <w:rPr>
                <w:rFonts w:cs="Arial"/>
              </w:rPr>
            </w:pPr>
            <w:r>
              <w:rPr>
                <w:rFonts w:cs="Arial"/>
              </w:rPr>
              <w:t>Bin 10180</w:t>
            </w:r>
          </w:p>
          <w:p w:rsidR="00BD1E2D" w:rsidRDefault="00BD1E2D" w14:paraId="616A9428" w14:textId="77777777">
            <w:pPr>
              <w:widowControl w:val="0"/>
              <w:spacing w:before="0"/>
              <w:jc w:val="left"/>
              <w:rPr>
                <w:rFonts w:cs="Arial"/>
              </w:rPr>
            </w:pPr>
            <w:r>
              <w:rPr>
                <w:rFonts w:cs="Arial"/>
              </w:rPr>
              <w:t>241 Ralph McGill Blvd., N.E.</w:t>
            </w:r>
          </w:p>
          <w:p w:rsidR="00BD1E2D" w:rsidRDefault="00BD1E2D" w14:paraId="50C2BEB0" w14:textId="77777777">
            <w:pPr>
              <w:widowControl w:val="0"/>
              <w:spacing w:before="0"/>
              <w:jc w:val="left"/>
              <w:rPr>
                <w:rFonts w:cs="Arial"/>
              </w:rPr>
            </w:pPr>
            <w:r>
              <w:rPr>
                <w:rFonts w:cs="Arial"/>
              </w:rPr>
              <w:t>Atlanta, GA 30308</w:t>
            </w:r>
          </w:p>
        </w:tc>
      </w:tr>
    </w:tbl>
    <w:p w:rsidR="00BD1E2D" w:rsidP="00BD1E2D" w:rsidRDefault="00BD1E2D" w14:paraId="3BEDE863" w14:textId="77777777">
      <w:pPr>
        <w:widowControl w:val="0"/>
        <w:spacing w:before="0" w:after="0"/>
        <w:ind w:left="720"/>
        <w:jc w:val="left"/>
        <w:rPr>
          <w:rFonts w:cs="Arial"/>
        </w:rPr>
      </w:pPr>
    </w:p>
    <w:p w:rsidR="00BD1E2D" w:rsidP="00BD1E2D" w:rsidRDefault="00BD1E2D" w14:paraId="30F8FE53" w14:textId="77777777">
      <w:pPr>
        <w:widowControl w:val="0"/>
        <w:spacing w:before="0" w:after="0"/>
        <w:ind w:left="720"/>
        <w:jc w:val="left"/>
        <w:rPr>
          <w:rFonts w:cs="Arial"/>
        </w:rPr>
      </w:pPr>
    </w:p>
    <w:p w:rsidR="00BD1E2D" w:rsidP="00BD1E2D" w:rsidRDefault="00BD1E2D" w14:paraId="5B418041" w14:textId="77777777">
      <w:pPr>
        <w:widowControl w:val="0"/>
        <w:spacing w:before="0" w:after="0"/>
        <w:ind w:left="720"/>
        <w:jc w:val="left"/>
        <w:rPr>
          <w:rFonts w:cs="Arial"/>
        </w:rPr>
      </w:pPr>
    </w:p>
    <w:tbl>
      <w:tblPr>
        <w:tblStyle w:val="TableGrid"/>
        <w:tblW w:w="0" w:type="auto"/>
        <w:tblLook w:val="04A0" w:firstRow="1" w:lastRow="0" w:firstColumn="1" w:lastColumn="0" w:noHBand="0" w:noVBand="1"/>
      </w:tblPr>
      <w:tblGrid>
        <w:gridCol w:w="4675"/>
        <w:gridCol w:w="4675"/>
      </w:tblGrid>
      <w:tr w:rsidR="00BD1E2D" w14:paraId="31DC4E3C" w14:textId="77777777">
        <w:tc>
          <w:tcPr>
            <w:tcW w:w="4675" w:type="dxa"/>
          </w:tcPr>
          <w:p w:rsidR="00BD1E2D" w:rsidRDefault="00BD1E2D" w14:paraId="7AE2301A" w14:textId="77777777">
            <w:pPr>
              <w:widowControl w:val="0"/>
              <w:spacing w:before="0"/>
              <w:jc w:val="left"/>
              <w:rPr>
                <w:rFonts w:cs="Arial"/>
                <w:b/>
                <w:bCs/>
              </w:rPr>
            </w:pPr>
            <w:r>
              <w:rPr>
                <w:rFonts w:cs="Arial"/>
                <w:b/>
                <w:bCs/>
              </w:rPr>
              <w:t>Notice to Seller:</w:t>
            </w:r>
          </w:p>
          <w:p w:rsidRPr="0012622C" w:rsidR="00BD1E2D" w:rsidRDefault="00BD1E2D" w14:paraId="525C4443" w14:textId="77777777">
            <w:pPr>
              <w:widowControl w:val="0"/>
              <w:spacing w:before="0"/>
              <w:jc w:val="left"/>
              <w:rPr>
                <w:rFonts w:cs="Arial"/>
                <w:b/>
                <w:bCs/>
              </w:rPr>
            </w:pPr>
          </w:p>
          <w:p w:rsidR="00BD1E2D" w:rsidRDefault="00BD1E2D" w14:paraId="38B3B10E" w14:textId="77777777">
            <w:pPr>
              <w:widowControl w:val="0"/>
              <w:spacing w:before="0"/>
              <w:jc w:val="left"/>
              <w:rPr>
                <w:rFonts w:cs="Arial"/>
              </w:rPr>
            </w:pPr>
            <w:r>
              <w:rPr>
                <w:rFonts w:cs="Arial"/>
                <w:highlight w:val="yellow"/>
              </w:rPr>
              <w:t>#SellerLegalName#</w:t>
            </w:r>
          </w:p>
          <w:p w:rsidR="00BD1E2D" w:rsidRDefault="00BD1E2D" w14:paraId="609C4372" w14:textId="77777777">
            <w:pPr>
              <w:widowControl w:val="0"/>
              <w:spacing w:before="0"/>
              <w:jc w:val="left"/>
              <w:rPr>
                <w:rFonts w:cs="Arial"/>
              </w:rPr>
            </w:pPr>
            <w:proofErr w:type="gramStart"/>
            <w:r>
              <w:rPr>
                <w:rFonts w:cs="Arial"/>
              </w:rPr>
              <w:t xml:space="preserve">Attention: </w:t>
            </w:r>
            <w:r>
              <w:rPr>
                <w:rFonts w:cs="Arial"/>
                <w:highlight w:val="yellow"/>
              </w:rPr>
              <w:t>#</w:t>
            </w:r>
            <w:proofErr w:type="gramEnd"/>
            <w:r>
              <w:rPr>
                <w:rFonts w:cs="Arial"/>
                <w:highlight w:val="yellow"/>
              </w:rPr>
              <w:t>SellerContactIndividualName#</w:t>
            </w:r>
          </w:p>
          <w:p w:rsidR="00BD1E2D" w:rsidRDefault="00BD1E2D" w14:paraId="65D452B0" w14:textId="77777777">
            <w:pPr>
              <w:widowControl w:val="0"/>
              <w:spacing w:before="0"/>
              <w:jc w:val="left"/>
              <w:rPr>
                <w:rFonts w:cs="Arial"/>
                <w:highlight w:val="yellow"/>
              </w:rPr>
            </w:pPr>
            <w:r>
              <w:rPr>
                <w:rFonts w:cs="Arial"/>
                <w:highlight w:val="yellow"/>
              </w:rPr>
              <w:t>#Title</w:t>
            </w:r>
          </w:p>
          <w:p w:rsidR="00BD1E2D" w:rsidRDefault="00BD1E2D" w14:paraId="1D7527D2" w14:textId="77777777">
            <w:pPr>
              <w:widowControl w:val="0"/>
              <w:spacing w:before="0"/>
              <w:jc w:val="left"/>
              <w:rPr>
                <w:rFonts w:cs="Arial"/>
              </w:rPr>
            </w:pPr>
            <w:r>
              <w:rPr>
                <w:rFonts w:cs="Arial"/>
                <w:highlight w:val="yellow"/>
              </w:rPr>
              <w:t>#SellerAddress</w:t>
            </w:r>
          </w:p>
          <w:p w:rsidR="00BD1E2D" w:rsidRDefault="00BD1E2D" w14:paraId="32855CC3" w14:textId="77777777">
            <w:pPr>
              <w:widowControl w:val="0"/>
              <w:spacing w:before="0"/>
              <w:jc w:val="left"/>
              <w:rPr>
                <w:rFonts w:cs="Arial"/>
              </w:rPr>
            </w:pPr>
            <w:r>
              <w:rPr>
                <w:rFonts w:cs="Arial"/>
                <w:highlight w:val="yellow"/>
              </w:rPr>
              <w:t>#City</w:t>
            </w:r>
            <w:r>
              <w:rPr>
                <w:rFonts w:cs="Arial"/>
              </w:rPr>
              <w:t xml:space="preserve">, </w:t>
            </w:r>
            <w:r>
              <w:rPr>
                <w:rFonts w:cs="Arial"/>
                <w:highlight w:val="yellow"/>
              </w:rPr>
              <w:t>#State</w:t>
            </w:r>
            <w:r>
              <w:rPr>
                <w:rFonts w:cs="Arial"/>
              </w:rPr>
              <w:t xml:space="preserve"> </w:t>
            </w:r>
            <w:r>
              <w:rPr>
                <w:rFonts w:cs="Arial"/>
                <w:highlight w:val="yellow"/>
              </w:rPr>
              <w:t>#Zip</w:t>
            </w:r>
          </w:p>
          <w:p w:rsidR="00BD1E2D" w:rsidRDefault="00BD1E2D" w14:paraId="41446487" w14:textId="77777777">
            <w:pPr>
              <w:widowControl w:val="0"/>
              <w:spacing w:before="0"/>
              <w:jc w:val="left"/>
              <w:rPr>
                <w:rFonts w:cs="Arial"/>
              </w:rPr>
            </w:pPr>
            <w:proofErr w:type="gramStart"/>
            <w:r>
              <w:rPr>
                <w:rFonts w:cs="Arial"/>
              </w:rPr>
              <w:t xml:space="preserve">Email: </w:t>
            </w:r>
            <w:r>
              <w:rPr>
                <w:rFonts w:cs="Arial"/>
                <w:highlight w:val="yellow"/>
              </w:rPr>
              <w:t>#</w:t>
            </w:r>
            <w:proofErr w:type="gramEnd"/>
            <w:r>
              <w:rPr>
                <w:rFonts w:cs="Arial"/>
                <w:highlight w:val="yellow"/>
              </w:rPr>
              <w:t>SellerContactEmail#</w:t>
            </w:r>
          </w:p>
          <w:p w:rsidR="00BD1E2D" w:rsidRDefault="00BD1E2D" w14:paraId="77D17804" w14:textId="77777777">
            <w:pPr>
              <w:widowControl w:val="0"/>
              <w:spacing w:before="0"/>
              <w:jc w:val="left"/>
              <w:rPr>
                <w:rFonts w:cs="Arial"/>
              </w:rPr>
            </w:pPr>
          </w:p>
        </w:tc>
        <w:tc>
          <w:tcPr>
            <w:tcW w:w="4675" w:type="dxa"/>
          </w:tcPr>
          <w:p w:rsidR="00BD1E2D" w:rsidRDefault="00BD1E2D" w14:paraId="39F61DA6" w14:textId="77777777">
            <w:pPr>
              <w:widowControl w:val="0"/>
              <w:spacing w:before="0"/>
              <w:jc w:val="left"/>
              <w:rPr>
                <w:rFonts w:cs="Arial"/>
              </w:rPr>
            </w:pPr>
          </w:p>
        </w:tc>
      </w:tr>
    </w:tbl>
    <w:p w:rsidR="00BD1E2D" w:rsidP="00BD1E2D" w:rsidRDefault="00BD1E2D" w14:paraId="6BB220F8" w14:textId="77777777">
      <w:pPr>
        <w:widowControl w:val="0"/>
        <w:spacing w:before="0" w:after="0"/>
        <w:jc w:val="left"/>
        <w:rPr>
          <w:rFonts w:cs="Arial"/>
        </w:rPr>
      </w:pPr>
    </w:p>
    <w:p w:rsidRPr="00D96326" w:rsidR="006263EB" w:rsidP="00D96326" w:rsidRDefault="006263EB" w14:paraId="6179206D" w14:textId="77777777"/>
    <w:p w:rsidR="00F646FB" w:rsidRDefault="00F646FB" w14:paraId="15E890B0" w14:textId="77777777">
      <w:pPr>
        <w:rPr>
          <w:sz w:val="24"/>
        </w:rPr>
      </w:pPr>
    </w:p>
    <w:p w:rsidR="00F646FB" w:rsidRDefault="00F646FB" w14:paraId="16037433" w14:textId="77777777">
      <w:pPr>
        <w:rPr>
          <w:sz w:val="24"/>
        </w:rPr>
      </w:pPr>
    </w:p>
    <w:p w:rsidR="00F646FB" w:rsidRDefault="00F646FB" w14:paraId="4E76CA4F" w14:textId="77777777">
      <w:pPr>
        <w:rPr>
          <w:sz w:val="24"/>
        </w:rPr>
      </w:pPr>
    </w:p>
    <w:sectPr w:rsidR="00F646FB">
      <w:headerReference w:type="default" r:id="rId67"/>
      <w:footerReference w:type="default" r:id="rId68"/>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C0A9A" w:rsidRDefault="00DC0A9A" w14:paraId="27699C24" w14:textId="77777777">
      <w:r>
        <w:separator/>
      </w:r>
    </w:p>
    <w:p w:rsidR="00DC0A9A" w:rsidRDefault="00DC0A9A" w14:paraId="1997CCF3" w14:textId="77777777"/>
  </w:endnote>
  <w:endnote w:type="continuationSeparator" w:id="0">
    <w:p w:rsidR="00DC0A9A" w:rsidRDefault="00DC0A9A" w14:paraId="24DB0A1F" w14:textId="77777777">
      <w:r>
        <w:continuationSeparator/>
      </w:r>
    </w:p>
    <w:p w:rsidR="00DC0A9A" w:rsidRDefault="00DC0A9A" w14:paraId="0220192A" w14:textId="77777777"/>
  </w:endnote>
  <w:endnote w:type="continuationNotice" w:id="1">
    <w:p w:rsidR="00DC0A9A" w:rsidRDefault="00DC0A9A" w14:paraId="44BCE3E1" w14:textId="77777777"/>
    <w:p w:rsidR="00DC0A9A" w:rsidRDefault="00DC0A9A" w14:paraId="1D7F129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96326" w:rsidP="00441786" w:rsidRDefault="00D96326" w14:paraId="77B38A0A" w14:textId="77777777">
    <w:pPr>
      <w:pStyle w:val="Footer"/>
      <w:framePr w:wrap="around" w:hAnchor="margin" w:vAnchor="text" w:xAlign="right" w:y="1"/>
      <w:rPr>
        <w:rStyle w:val="PageNumber"/>
      </w:rPr>
    </w:pPr>
    <w:r>
      <w:rPr>
        <w:rStyle w:val="PageNumber"/>
      </w:rPr>
      <w:fldChar w:fldCharType="begin"/>
    </w:r>
    <w:r>
      <w:rPr>
        <w:rStyle w:val="PageNumber"/>
      </w:rPr>
      <w:instrText xml:space="preserve"> PAGE </w:instrText>
    </w:r>
    <w:r>
      <w:rPr>
        <w:rStyle w:val="PageNumber"/>
      </w:rPr>
      <w:fldChar w:fldCharType="end"/>
    </w:r>
  </w:p>
  <w:p w:rsidR="00D96326" w:rsidP="00441786" w:rsidRDefault="00D96326" w14:paraId="3DC3A249" w14:textId="77777777">
    <w:pPr>
      <w:tabs>
        <w:tab w:val="right" w:pos="9360"/>
      </w:tabs>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14B0C" w:rsidR="00D96326" w:rsidP="00A04773" w:rsidRDefault="00AE23BA" w14:paraId="7698DA7D" w14:textId="77777777">
    <w:pPr>
      <w:pStyle w:val="zGFooter"/>
      <w:tabs>
        <w:tab w:val="clear" w:pos="5040"/>
        <w:tab w:val="clear" w:pos="8630"/>
        <w:tab w:val="left" w:pos="4140"/>
        <w:tab w:val="center" w:pos="4590"/>
        <w:tab w:val="right" w:pos="9630"/>
      </w:tabs>
      <w:rPr>
        <w:noProof/>
      </w:rPr>
    </w:pPr>
    <w:r>
      <w:t xml:space="preserve">32-33 All-Source RFP </w:t>
    </w:r>
    <w:sdt>
      <w:sdtPr>
        <w:id w:val="-1039822664"/>
        <w:docPartObj>
          <w:docPartGallery w:val="Page Numbers (Bottom of Page)"/>
          <w:docPartUnique/>
        </w:docPartObj>
      </w:sdtPr>
      <w:sdtEndPr>
        <w:rPr>
          <w:noProof/>
        </w:rPr>
      </w:sdtEndPr>
      <w:sdtContent>
        <w:r>
          <w:t>Pro Forma CT PPA</w:t>
        </w:r>
        <w:r>
          <w:tab/>
        </w:r>
        <w:r>
          <w:tab/>
          <w:t xml:space="preserve">Page </w:t>
        </w:r>
        <w:r>
          <w:fldChar w:fldCharType="begin"/>
        </w:r>
        <w:r>
          <w:instrText xml:space="preserve"> PAGE </w:instrText>
        </w:r>
        <w:r>
          <w:fldChar w:fldCharType="separate"/>
        </w:r>
        <w:r>
          <w:t>1</w:t>
        </w:r>
        <w:r>
          <w:fldChar w:fldCharType="end"/>
        </w:r>
        <w:r>
          <w:t xml:space="preserve"> of </w:t>
        </w:r>
        <w:r>
          <w:rPr>
            <w:noProof/>
          </w:rPr>
          <w:t>139</w:t>
        </w:r>
        <w:r>
          <w:rPr>
            <w:noProof/>
          </w:rPr>
          <w:tab/>
          <w:t xml:space="preserve">  </w:t>
        </w:r>
      </w:sdtContent>
    </w:sdt>
    <w:r>
      <w:rPr>
        <w:highlight w:val="yellow"/>
      </w:rPr>
      <w:t>(#FacilityName#)</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14B0C" w:rsidR="00D96326" w:rsidP="00A04773" w:rsidRDefault="00AE23BA" w14:paraId="23B9F71D" w14:textId="77777777">
    <w:pPr>
      <w:pStyle w:val="zGFooter"/>
      <w:tabs>
        <w:tab w:val="clear" w:pos="5040"/>
        <w:tab w:val="clear" w:pos="8630"/>
        <w:tab w:val="left" w:pos="4140"/>
        <w:tab w:val="center" w:pos="4590"/>
        <w:tab w:val="right" w:pos="9630"/>
      </w:tabs>
      <w:rPr>
        <w:noProof/>
      </w:rPr>
    </w:pPr>
    <w:r>
      <w:t xml:space="preserve">32-33 All-Source RFP </w:t>
    </w:r>
    <w:sdt>
      <w:sdtPr>
        <w:id w:val="1620260172"/>
        <w:docPartObj>
          <w:docPartGallery w:val="Page Numbers (Bottom of Page)"/>
          <w:docPartUnique/>
        </w:docPartObj>
      </w:sdtPr>
      <w:sdtEndPr>
        <w:rPr>
          <w:noProof/>
        </w:rPr>
      </w:sdtEndPr>
      <w:sdtContent>
        <w:r>
          <w:t>Pro Forma CT PPA</w:t>
        </w:r>
        <w:r>
          <w:tab/>
        </w:r>
        <w:r>
          <w:tab/>
          <w:t xml:space="preserve">Page </w:t>
        </w:r>
        <w:r>
          <w:fldChar w:fldCharType="begin"/>
        </w:r>
        <w:r>
          <w:instrText xml:space="preserve"> PAGE </w:instrText>
        </w:r>
        <w:r>
          <w:fldChar w:fldCharType="separate"/>
        </w:r>
        <w:r>
          <w:t>1</w:t>
        </w:r>
        <w:r>
          <w:fldChar w:fldCharType="end"/>
        </w:r>
        <w:r>
          <w:t xml:space="preserve"> of </w:t>
        </w:r>
        <w:r>
          <w:rPr>
            <w:noProof/>
          </w:rPr>
          <w:t>139</w:t>
        </w:r>
        <w:r>
          <w:rPr>
            <w:noProof/>
          </w:rPr>
          <w:tab/>
          <w:t xml:space="preserve">  </w:t>
        </w:r>
      </w:sdtContent>
    </w:sdt>
    <w:r>
      <w:rPr>
        <w:highlight w:val="yellow"/>
      </w:rPr>
      <w:t>(#FacilityName#)</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14B0C" w:rsidR="00D96326" w:rsidP="00A04773" w:rsidRDefault="00AE23BA" w14:paraId="4529E0EC" w14:textId="77777777">
    <w:pPr>
      <w:pStyle w:val="zGFooter"/>
      <w:tabs>
        <w:tab w:val="clear" w:pos="5040"/>
        <w:tab w:val="clear" w:pos="8630"/>
        <w:tab w:val="left" w:pos="4140"/>
        <w:tab w:val="center" w:pos="4590"/>
        <w:tab w:val="right" w:pos="9630"/>
      </w:tabs>
      <w:rPr>
        <w:noProof/>
      </w:rPr>
    </w:pPr>
    <w:r>
      <w:t xml:space="preserve">32-33 All-Source RFP </w:t>
    </w:r>
    <w:sdt>
      <w:sdtPr>
        <w:id w:val="-447940442"/>
        <w:docPartObj>
          <w:docPartGallery w:val="Page Numbers (Bottom of Page)"/>
          <w:docPartUnique/>
        </w:docPartObj>
      </w:sdtPr>
      <w:sdtEndPr>
        <w:rPr>
          <w:noProof/>
        </w:rPr>
      </w:sdtEndPr>
      <w:sdtContent>
        <w:r>
          <w:t>Pro Forma CT PPA</w:t>
        </w:r>
        <w:r>
          <w:tab/>
        </w:r>
        <w:r>
          <w:tab/>
          <w:t xml:space="preserve">Page </w:t>
        </w:r>
        <w:r>
          <w:fldChar w:fldCharType="begin"/>
        </w:r>
        <w:r>
          <w:instrText xml:space="preserve"> PAGE </w:instrText>
        </w:r>
        <w:r>
          <w:fldChar w:fldCharType="separate"/>
        </w:r>
        <w:r>
          <w:t>1</w:t>
        </w:r>
        <w:r>
          <w:fldChar w:fldCharType="end"/>
        </w:r>
        <w:r>
          <w:t xml:space="preserve"> of </w:t>
        </w:r>
        <w:r>
          <w:rPr>
            <w:noProof/>
          </w:rPr>
          <w:t>139</w:t>
        </w:r>
        <w:r>
          <w:rPr>
            <w:noProof/>
          </w:rPr>
          <w:tab/>
          <w:t xml:space="preserve">  </w:t>
        </w:r>
      </w:sdtContent>
    </w:sdt>
    <w:r>
      <w:rPr>
        <w:highlight w:val="yellow"/>
      </w:rPr>
      <w:t>(#FacilityName#)</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14B0C" w:rsidR="00D96326" w:rsidP="00A04773" w:rsidRDefault="00AE23BA" w14:paraId="022990FF" w14:textId="77777777">
    <w:pPr>
      <w:pStyle w:val="zGFooter"/>
      <w:tabs>
        <w:tab w:val="clear" w:pos="5040"/>
        <w:tab w:val="clear" w:pos="8630"/>
        <w:tab w:val="left" w:pos="4140"/>
        <w:tab w:val="center" w:pos="4590"/>
        <w:tab w:val="right" w:pos="9630"/>
      </w:tabs>
      <w:rPr>
        <w:noProof/>
      </w:rPr>
    </w:pPr>
    <w:r>
      <w:t xml:space="preserve">32-33 All-Source RFP </w:t>
    </w:r>
    <w:sdt>
      <w:sdtPr>
        <w:id w:val="525908235"/>
        <w:docPartObj>
          <w:docPartGallery w:val="Page Numbers (Bottom of Page)"/>
          <w:docPartUnique/>
        </w:docPartObj>
      </w:sdtPr>
      <w:sdtEndPr>
        <w:rPr>
          <w:noProof/>
        </w:rPr>
      </w:sdtEndPr>
      <w:sdtContent>
        <w:r>
          <w:t>Pro Forma CT PPA</w:t>
        </w:r>
        <w:r>
          <w:tab/>
        </w:r>
        <w:r>
          <w:tab/>
          <w:t xml:space="preserve">Page </w:t>
        </w:r>
        <w:r>
          <w:fldChar w:fldCharType="begin"/>
        </w:r>
        <w:r>
          <w:instrText xml:space="preserve"> PAGE </w:instrText>
        </w:r>
        <w:r>
          <w:fldChar w:fldCharType="separate"/>
        </w:r>
        <w:r>
          <w:t>1</w:t>
        </w:r>
        <w:r>
          <w:fldChar w:fldCharType="end"/>
        </w:r>
        <w:r>
          <w:t xml:space="preserve"> of </w:t>
        </w:r>
        <w:r>
          <w:rPr>
            <w:noProof/>
          </w:rPr>
          <w:t>139</w:t>
        </w:r>
        <w:r>
          <w:rPr>
            <w:noProof/>
          </w:rPr>
          <w:tab/>
          <w:t xml:space="preserve">  </w:t>
        </w:r>
      </w:sdtContent>
    </w:sdt>
    <w:r>
      <w:rPr>
        <w:highlight w:val="yellow"/>
      </w:rPr>
      <w:t>(#FacilityName#)</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14B0C" w:rsidR="00D96326" w:rsidP="00A04773" w:rsidRDefault="00AE23BA" w14:paraId="5421C505" w14:textId="77777777">
    <w:pPr>
      <w:pStyle w:val="zGFooter"/>
      <w:tabs>
        <w:tab w:val="clear" w:pos="5040"/>
        <w:tab w:val="clear" w:pos="8630"/>
        <w:tab w:val="left" w:pos="4140"/>
        <w:tab w:val="center" w:pos="4590"/>
        <w:tab w:val="right" w:pos="9630"/>
      </w:tabs>
      <w:rPr>
        <w:noProof/>
      </w:rPr>
    </w:pPr>
    <w:r>
      <w:t xml:space="preserve">32-33 All-Source RFP </w:t>
    </w:r>
    <w:sdt>
      <w:sdtPr>
        <w:id w:val="1562368115"/>
        <w:docPartObj>
          <w:docPartGallery w:val="Page Numbers (Bottom of Page)"/>
          <w:docPartUnique/>
        </w:docPartObj>
      </w:sdtPr>
      <w:sdtEndPr>
        <w:rPr>
          <w:noProof/>
        </w:rPr>
      </w:sdtEndPr>
      <w:sdtContent>
        <w:r>
          <w:t>Pro Forma CT PPA</w:t>
        </w:r>
        <w:r>
          <w:tab/>
        </w:r>
        <w:r>
          <w:tab/>
          <w:t xml:space="preserve">Page </w:t>
        </w:r>
        <w:r>
          <w:fldChar w:fldCharType="begin"/>
        </w:r>
        <w:r>
          <w:instrText xml:space="preserve"> PAGE </w:instrText>
        </w:r>
        <w:r>
          <w:fldChar w:fldCharType="separate"/>
        </w:r>
        <w:r>
          <w:t>1</w:t>
        </w:r>
        <w:r>
          <w:fldChar w:fldCharType="end"/>
        </w:r>
        <w:r>
          <w:t xml:space="preserve"> of </w:t>
        </w:r>
        <w:r>
          <w:rPr>
            <w:noProof/>
          </w:rPr>
          <w:t>139</w:t>
        </w:r>
        <w:r>
          <w:rPr>
            <w:noProof/>
          </w:rPr>
          <w:tab/>
          <w:t xml:space="preserve">  </w:t>
        </w:r>
      </w:sdtContent>
    </w:sdt>
    <w:r>
      <w:rPr>
        <w:highlight w:val="yellow"/>
      </w:rPr>
      <w:t>(#FacilityName#)</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14B0C" w:rsidR="00D96326" w:rsidP="00A04773" w:rsidRDefault="00AE23BA" w14:paraId="5557EEE6" w14:textId="77777777">
    <w:pPr>
      <w:pStyle w:val="zGFooter"/>
      <w:tabs>
        <w:tab w:val="clear" w:pos="5040"/>
        <w:tab w:val="clear" w:pos="8630"/>
        <w:tab w:val="left" w:pos="4140"/>
        <w:tab w:val="center" w:pos="4590"/>
        <w:tab w:val="right" w:pos="9630"/>
      </w:tabs>
      <w:rPr>
        <w:noProof/>
      </w:rPr>
    </w:pPr>
    <w:r>
      <w:t xml:space="preserve">32-33 All-Source RFP </w:t>
    </w:r>
    <w:sdt>
      <w:sdtPr>
        <w:id w:val="1391003798"/>
        <w:docPartObj>
          <w:docPartGallery w:val="Page Numbers (Bottom of Page)"/>
          <w:docPartUnique/>
        </w:docPartObj>
      </w:sdtPr>
      <w:sdtEndPr>
        <w:rPr>
          <w:noProof/>
        </w:rPr>
      </w:sdtEndPr>
      <w:sdtContent>
        <w:r>
          <w:t>Pro Forma CT PPA</w:t>
        </w:r>
        <w:r>
          <w:tab/>
        </w:r>
        <w:r>
          <w:tab/>
          <w:t xml:space="preserve">Page </w:t>
        </w:r>
        <w:r>
          <w:fldChar w:fldCharType="begin"/>
        </w:r>
        <w:r>
          <w:instrText xml:space="preserve"> PAGE </w:instrText>
        </w:r>
        <w:r>
          <w:fldChar w:fldCharType="separate"/>
        </w:r>
        <w:r>
          <w:t>1</w:t>
        </w:r>
        <w:r>
          <w:fldChar w:fldCharType="end"/>
        </w:r>
        <w:r>
          <w:t xml:space="preserve"> of </w:t>
        </w:r>
        <w:r>
          <w:rPr>
            <w:noProof/>
          </w:rPr>
          <w:t>139</w:t>
        </w:r>
        <w:r>
          <w:rPr>
            <w:noProof/>
          </w:rPr>
          <w:tab/>
          <w:t xml:space="preserve">  </w:t>
        </w:r>
      </w:sdtContent>
    </w:sdt>
    <w:r>
      <w:rPr>
        <w:highlight w:val="yellow"/>
      </w:rPr>
      <w:t>(#FacilityName#)</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9E7DC8" w:rsidP="001E18C9" w:rsidRDefault="3FEB0095" w14:paraId="364E6B72" w14:textId="26951F93">
    <w:pPr>
      <w:pStyle w:val="zGFooter"/>
      <w:tabs>
        <w:tab w:val="clear" w:pos="5040"/>
        <w:tab w:val="clear" w:pos="8630"/>
        <w:tab w:val="left" w:pos="4140"/>
        <w:tab w:val="center" w:pos="4590"/>
        <w:tab w:val="right" w:pos="9630"/>
      </w:tabs>
      <w:rPr>
        <w:noProof/>
      </w:rPr>
    </w:pPr>
    <w:r>
      <w:t>32</w:t>
    </w:r>
    <w:r>
      <w:rPr>
        <w:b/>
      </w:rPr>
      <w:t>–</w:t>
    </w:r>
    <w:r>
      <w:t xml:space="preserve">33 All-Source RFP </w:t>
    </w:r>
    <w:sdt>
      <w:sdtPr>
        <w:id w:val="-1467042144"/>
        <w:docPartObj>
          <w:docPartGallery w:val="Page Numbers (Bottom of Page)"/>
          <w:docPartUnique/>
        </w:docPartObj>
      </w:sdtPr>
      <w:sdtEndPr>
        <w:rPr>
          <w:noProof/>
        </w:rPr>
      </w:sdtEndPr>
      <w:sdtContent>
        <w:r>
          <w:t>Pro Forma CT PPA</w:t>
        </w:r>
        <w:r>
          <w:tab/>
        </w:r>
        <w:r>
          <w:tab/>
          <w:t xml:space="preserve">Page </w:t>
        </w:r>
        <w:r>
          <w:fldChar w:fldCharType="begin"/>
        </w:r>
        <w:r>
          <w:instrText xml:space="preserve"> PAGE </w:instrText>
        </w:r>
        <w:r>
          <w:fldChar w:fldCharType="separate"/>
        </w:r>
        <w:r>
          <w:t>26</w:t>
        </w:r>
        <w:r>
          <w:fldChar w:fldCharType="end"/>
        </w:r>
        <w:r>
          <w:t xml:space="preserve"> of </w:t>
        </w:r>
        <w:r>
          <w:rPr>
            <w:noProof/>
          </w:rPr>
          <w:t>130</w:t>
        </w:r>
      </w:sdtContent>
    </w:sdt>
    <w:r>
      <w:t xml:space="preserve"> </w:t>
    </w:r>
    <w:r>
      <w:tab/>
    </w:r>
    <w:r>
      <w:rPr>
        <w:highlight w:val="yellow"/>
      </w:rPr>
      <w:t>(#FacilityName#)</w:t>
    </w:r>
  </w:p>
  <w:p w:rsidRPr="009E7DC8" w:rsidR="00D96326" w:rsidP="009E7DC8" w:rsidRDefault="00D96326" w14:paraId="597EE6CE" w14:textId="60EF3817">
    <w:pPr>
      <w:pStyle w:val="Footer"/>
      <w:rPr>
        <w:rStyle w:val="PageNumber"/>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F5661D" w:rsidP="001E18C9" w:rsidRDefault="2BB3090F" w14:paraId="54F1CBFB" w14:textId="0E9183EF">
    <w:pPr>
      <w:pStyle w:val="zGFooter"/>
      <w:tabs>
        <w:tab w:val="clear" w:pos="5040"/>
        <w:tab w:val="clear" w:pos="8630"/>
        <w:tab w:val="left" w:pos="4140"/>
        <w:tab w:val="center" w:pos="4590"/>
        <w:tab w:val="right" w:pos="9630"/>
      </w:tabs>
      <w:rPr>
        <w:noProof/>
      </w:rPr>
    </w:pPr>
    <w:r>
      <w:t xml:space="preserve">32-33 All-Source RFP </w:t>
    </w:r>
    <w:sdt>
      <w:sdtPr>
        <w:id w:val="582113443"/>
        <w:docPartObj>
          <w:docPartGallery w:val="Page Numbers (Bottom of Page)"/>
          <w:docPartUnique/>
        </w:docPartObj>
      </w:sdtPr>
      <w:sdtEndPr>
        <w:rPr>
          <w:noProof/>
        </w:rPr>
      </w:sdtEndPr>
      <w:sdtContent>
        <w:r>
          <w:t xml:space="preserve">Pro Forma CT PPA </w:t>
        </w:r>
        <w:r>
          <w:tab/>
        </w:r>
        <w:r>
          <w:tab/>
          <w:t xml:space="preserve">Page </w:t>
        </w:r>
        <w:r>
          <w:fldChar w:fldCharType="begin"/>
        </w:r>
        <w:r>
          <w:instrText xml:space="preserve"> PAGE </w:instrText>
        </w:r>
        <w:r>
          <w:fldChar w:fldCharType="separate"/>
        </w:r>
        <w:r>
          <w:t>26</w:t>
        </w:r>
        <w:r>
          <w:fldChar w:fldCharType="end"/>
        </w:r>
        <w:r>
          <w:t xml:space="preserve"> of </w:t>
        </w:r>
        <w:r>
          <w:rPr>
            <w:noProof/>
          </w:rPr>
          <w:t>130</w:t>
        </w:r>
      </w:sdtContent>
    </w:sdt>
    <w:r>
      <w:t xml:space="preserve"> </w:t>
    </w:r>
    <w:r>
      <w:tab/>
    </w:r>
    <w:r>
      <w:rPr>
        <w:highlight w:val="yellow"/>
      </w:rPr>
      <w:t>(#FacilityName#)</w:t>
    </w:r>
  </w:p>
  <w:p w:rsidRPr="009E7DC8" w:rsidR="00F5661D" w:rsidP="009E7DC8" w:rsidRDefault="00F5661D" w14:paraId="5B2B3E90" w14:textId="77777777">
    <w:pPr>
      <w:pStyle w:val="Footer"/>
      <w:rPr>
        <w:rStyle w:val="PageNumber"/>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F5661D" w:rsidP="001E18C9" w:rsidRDefault="2BB3090F" w14:paraId="02433122" w14:textId="77777777">
    <w:pPr>
      <w:pStyle w:val="zGFooter"/>
      <w:tabs>
        <w:tab w:val="clear" w:pos="5040"/>
        <w:tab w:val="clear" w:pos="8630"/>
        <w:tab w:val="left" w:pos="4140"/>
        <w:tab w:val="center" w:pos="4590"/>
        <w:tab w:val="right" w:pos="9630"/>
      </w:tabs>
      <w:rPr>
        <w:noProof/>
      </w:rPr>
    </w:pPr>
    <w:r>
      <w:t xml:space="preserve">32-33 All-Source RFP </w:t>
    </w:r>
    <w:sdt>
      <w:sdtPr>
        <w:id w:val="-847245805"/>
        <w:docPartObj>
          <w:docPartGallery w:val="Page Numbers (Bottom of Page)"/>
          <w:docPartUnique/>
        </w:docPartObj>
      </w:sdtPr>
      <w:sdtEndPr>
        <w:rPr>
          <w:noProof/>
        </w:rPr>
      </w:sdtEndPr>
      <w:sdtContent>
        <w:r>
          <w:t xml:space="preserve">Pro Forma CT PPA </w:t>
        </w:r>
        <w:r>
          <w:tab/>
        </w:r>
        <w:r>
          <w:tab/>
          <w:t xml:space="preserve">Page </w:t>
        </w:r>
        <w:r>
          <w:fldChar w:fldCharType="begin"/>
        </w:r>
        <w:r>
          <w:instrText xml:space="preserve"> PAGE </w:instrText>
        </w:r>
        <w:r>
          <w:fldChar w:fldCharType="separate"/>
        </w:r>
        <w:r>
          <w:t>26</w:t>
        </w:r>
        <w:r>
          <w:fldChar w:fldCharType="end"/>
        </w:r>
        <w:r>
          <w:t xml:space="preserve"> of </w:t>
        </w:r>
        <w:r>
          <w:rPr>
            <w:noProof/>
          </w:rPr>
          <w:t>130</w:t>
        </w:r>
      </w:sdtContent>
    </w:sdt>
    <w:r>
      <w:t xml:space="preserve"> </w:t>
    </w:r>
    <w:r>
      <w:tab/>
    </w:r>
    <w:r>
      <w:rPr>
        <w:highlight w:val="yellow"/>
      </w:rPr>
      <w:t>(#FacilityName#)</w:t>
    </w:r>
  </w:p>
  <w:p w:rsidRPr="009E7DC8" w:rsidR="00F5661D" w:rsidP="009E7DC8" w:rsidRDefault="00F5661D" w14:paraId="20C85F52" w14:textId="77777777">
    <w:pPr>
      <w:pStyle w:val="Footer"/>
      <w:rPr>
        <w:rStyle w:val="PageNumber"/>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F5661D" w:rsidP="001E18C9" w:rsidRDefault="2BB3090F" w14:paraId="47FB4028" w14:textId="77777777">
    <w:pPr>
      <w:pStyle w:val="zGFooter"/>
      <w:tabs>
        <w:tab w:val="clear" w:pos="5040"/>
        <w:tab w:val="clear" w:pos="8630"/>
        <w:tab w:val="left" w:pos="4140"/>
        <w:tab w:val="center" w:pos="4590"/>
        <w:tab w:val="right" w:pos="9630"/>
      </w:tabs>
      <w:rPr>
        <w:noProof/>
      </w:rPr>
    </w:pPr>
    <w:r>
      <w:t xml:space="preserve">32-33 All-Source RFP </w:t>
    </w:r>
    <w:sdt>
      <w:sdtPr>
        <w:id w:val="431096880"/>
        <w:docPartObj>
          <w:docPartGallery w:val="Page Numbers (Bottom of Page)"/>
          <w:docPartUnique/>
        </w:docPartObj>
      </w:sdtPr>
      <w:sdtEndPr>
        <w:rPr>
          <w:noProof/>
        </w:rPr>
      </w:sdtEndPr>
      <w:sdtContent>
        <w:r>
          <w:t xml:space="preserve">Pro Forma CT PPA </w:t>
        </w:r>
        <w:r>
          <w:tab/>
        </w:r>
        <w:r>
          <w:tab/>
          <w:t xml:space="preserve">Page </w:t>
        </w:r>
        <w:r>
          <w:fldChar w:fldCharType="begin"/>
        </w:r>
        <w:r>
          <w:instrText xml:space="preserve"> PAGE </w:instrText>
        </w:r>
        <w:r>
          <w:fldChar w:fldCharType="separate"/>
        </w:r>
        <w:r>
          <w:t>26</w:t>
        </w:r>
        <w:r>
          <w:fldChar w:fldCharType="end"/>
        </w:r>
        <w:r>
          <w:t xml:space="preserve"> of </w:t>
        </w:r>
        <w:r>
          <w:rPr>
            <w:noProof/>
          </w:rPr>
          <w:t>130</w:t>
        </w:r>
      </w:sdtContent>
    </w:sdt>
    <w:r>
      <w:t xml:space="preserve"> </w:t>
    </w:r>
    <w:r>
      <w:tab/>
    </w:r>
    <w:r>
      <w:rPr>
        <w:highlight w:val="yellow"/>
      </w:rPr>
      <w:t>(#FacilityName#)</w:t>
    </w:r>
  </w:p>
  <w:p w:rsidRPr="009E7DC8" w:rsidR="00F5661D" w:rsidP="009E7DC8" w:rsidRDefault="00F5661D" w14:paraId="73DE2188" w14:textId="77777777">
    <w:pPr>
      <w:pStyle w:val="Footer"/>
      <w:rPr>
        <w:rStyle w:val="PageNumbe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14B0C" w:rsidR="00D96326" w:rsidP="00A04773" w:rsidRDefault="00AE23BA" w14:paraId="453CF71D" w14:textId="141D9C47">
    <w:pPr>
      <w:pStyle w:val="zGFooter"/>
      <w:tabs>
        <w:tab w:val="clear" w:pos="5040"/>
        <w:tab w:val="clear" w:pos="8630"/>
        <w:tab w:val="left" w:pos="4140"/>
        <w:tab w:val="center" w:pos="4590"/>
        <w:tab w:val="right" w:pos="9630"/>
      </w:tabs>
      <w:rPr>
        <w:noProof/>
      </w:rPr>
    </w:pPr>
    <w:r>
      <w:t xml:space="preserve">32-33 All-Source RFP </w:t>
    </w:r>
    <w:sdt>
      <w:sdtPr>
        <w:id w:val="-228003686"/>
        <w:docPartObj>
          <w:docPartGallery w:val="Page Numbers (Bottom of Page)"/>
          <w:docPartUnique/>
        </w:docPartObj>
      </w:sdtPr>
      <w:sdtEndPr>
        <w:rPr>
          <w:noProof/>
        </w:rPr>
      </w:sdtEndPr>
      <w:sdtContent>
        <w:r>
          <w:t>Pro Forma CT PPA</w:t>
        </w:r>
        <w:r>
          <w:tab/>
        </w:r>
        <w:r>
          <w:tab/>
          <w:t xml:space="preserve">Page </w:t>
        </w:r>
        <w:r>
          <w:fldChar w:fldCharType="begin"/>
        </w:r>
        <w:r>
          <w:instrText xml:space="preserve"> PAGE </w:instrText>
        </w:r>
        <w:r>
          <w:fldChar w:fldCharType="separate"/>
        </w:r>
        <w:r>
          <w:t>1</w:t>
        </w:r>
        <w:r>
          <w:fldChar w:fldCharType="end"/>
        </w:r>
        <w:r>
          <w:t xml:space="preserve"> of </w:t>
        </w:r>
        <w:r>
          <w:rPr>
            <w:noProof/>
          </w:rPr>
          <w:t>139</w:t>
        </w:r>
        <w:r>
          <w:rPr>
            <w:noProof/>
          </w:rPr>
          <w:tab/>
          <w:t xml:space="preserve">  </w:t>
        </w:r>
      </w:sdtContent>
    </w:sdt>
    <w:r>
      <w:rPr>
        <w:highlight w:val="yellow"/>
      </w:rPr>
      <w:t>(#FacilityName#)</w: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F5661D" w:rsidP="001E18C9" w:rsidRDefault="2BB3090F" w14:paraId="7ED09ED1" w14:textId="77777777">
    <w:pPr>
      <w:pStyle w:val="zGFooter"/>
      <w:tabs>
        <w:tab w:val="clear" w:pos="5040"/>
        <w:tab w:val="clear" w:pos="8630"/>
        <w:tab w:val="left" w:pos="4140"/>
        <w:tab w:val="center" w:pos="4590"/>
        <w:tab w:val="right" w:pos="9630"/>
      </w:tabs>
      <w:rPr>
        <w:noProof/>
      </w:rPr>
    </w:pPr>
    <w:r>
      <w:t xml:space="preserve">32-33 All-Source RFP </w:t>
    </w:r>
    <w:sdt>
      <w:sdtPr>
        <w:id w:val="1221790105"/>
        <w:docPartObj>
          <w:docPartGallery w:val="Page Numbers (Bottom of Page)"/>
          <w:docPartUnique/>
        </w:docPartObj>
      </w:sdtPr>
      <w:sdtEndPr>
        <w:rPr>
          <w:noProof/>
        </w:rPr>
      </w:sdtEndPr>
      <w:sdtContent>
        <w:r>
          <w:t xml:space="preserve">Pro Forma CT PPA </w:t>
        </w:r>
        <w:r>
          <w:tab/>
        </w:r>
        <w:r>
          <w:tab/>
          <w:t xml:space="preserve">Page </w:t>
        </w:r>
        <w:r>
          <w:fldChar w:fldCharType="begin"/>
        </w:r>
        <w:r>
          <w:instrText xml:space="preserve"> PAGE </w:instrText>
        </w:r>
        <w:r>
          <w:fldChar w:fldCharType="separate"/>
        </w:r>
        <w:r>
          <w:t>26</w:t>
        </w:r>
        <w:r>
          <w:fldChar w:fldCharType="end"/>
        </w:r>
        <w:r>
          <w:t xml:space="preserve"> of </w:t>
        </w:r>
        <w:r>
          <w:rPr>
            <w:noProof/>
          </w:rPr>
          <w:t>130</w:t>
        </w:r>
      </w:sdtContent>
    </w:sdt>
    <w:r>
      <w:t xml:space="preserve"> </w:t>
    </w:r>
    <w:r>
      <w:tab/>
    </w:r>
    <w:r>
      <w:rPr>
        <w:highlight w:val="yellow"/>
      </w:rPr>
      <w:t>(#FacilityName#)</w:t>
    </w:r>
  </w:p>
  <w:p w:rsidRPr="009E7DC8" w:rsidR="00F5661D" w:rsidP="009E7DC8" w:rsidRDefault="00F5661D" w14:paraId="40BC04E1" w14:textId="77777777">
    <w:pPr>
      <w:pStyle w:val="Footer"/>
      <w:rPr>
        <w:rStyle w:val="PageNumber"/>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F5661D" w:rsidP="001E18C9" w:rsidRDefault="2BB3090F" w14:paraId="3A6E3CAC" w14:textId="77777777">
    <w:pPr>
      <w:pStyle w:val="zGFooter"/>
      <w:tabs>
        <w:tab w:val="clear" w:pos="5040"/>
        <w:tab w:val="clear" w:pos="8630"/>
        <w:tab w:val="left" w:pos="4140"/>
        <w:tab w:val="center" w:pos="4590"/>
        <w:tab w:val="right" w:pos="9630"/>
      </w:tabs>
      <w:rPr>
        <w:noProof/>
      </w:rPr>
    </w:pPr>
    <w:r>
      <w:t xml:space="preserve">32-33 All-Source RFP </w:t>
    </w:r>
    <w:sdt>
      <w:sdtPr>
        <w:id w:val="1681158632"/>
        <w:docPartObj>
          <w:docPartGallery w:val="Page Numbers (Bottom of Page)"/>
          <w:docPartUnique/>
        </w:docPartObj>
      </w:sdtPr>
      <w:sdtEndPr>
        <w:rPr>
          <w:noProof/>
        </w:rPr>
      </w:sdtEndPr>
      <w:sdtContent>
        <w:r>
          <w:t xml:space="preserve">Pro Forma CT PPA </w:t>
        </w:r>
        <w:r>
          <w:tab/>
        </w:r>
        <w:r>
          <w:tab/>
          <w:t xml:space="preserve">Page </w:t>
        </w:r>
        <w:r>
          <w:fldChar w:fldCharType="begin"/>
        </w:r>
        <w:r>
          <w:instrText xml:space="preserve"> PAGE </w:instrText>
        </w:r>
        <w:r>
          <w:fldChar w:fldCharType="separate"/>
        </w:r>
        <w:r>
          <w:t>26</w:t>
        </w:r>
        <w:r>
          <w:fldChar w:fldCharType="end"/>
        </w:r>
        <w:r>
          <w:t xml:space="preserve"> of </w:t>
        </w:r>
        <w:r>
          <w:rPr>
            <w:noProof/>
          </w:rPr>
          <w:t>130</w:t>
        </w:r>
      </w:sdtContent>
    </w:sdt>
    <w:r>
      <w:t xml:space="preserve"> </w:t>
    </w:r>
    <w:r>
      <w:tab/>
    </w:r>
    <w:r>
      <w:rPr>
        <w:highlight w:val="yellow"/>
      </w:rPr>
      <w:t>(#FacilityName#)</w:t>
    </w:r>
  </w:p>
  <w:p w:rsidRPr="009E7DC8" w:rsidR="00F5661D" w:rsidP="009E7DC8" w:rsidRDefault="00F5661D" w14:paraId="10048652" w14:textId="77777777">
    <w:pPr>
      <w:pStyle w:val="Footer"/>
      <w:rPr>
        <w:rStyle w:val="PageNumber"/>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F5661D" w:rsidP="001E18C9" w:rsidRDefault="2BB3090F" w14:paraId="14850DD5" w14:textId="77777777">
    <w:pPr>
      <w:pStyle w:val="zGFooter"/>
      <w:tabs>
        <w:tab w:val="clear" w:pos="5040"/>
        <w:tab w:val="clear" w:pos="8630"/>
        <w:tab w:val="left" w:pos="4140"/>
        <w:tab w:val="center" w:pos="4590"/>
        <w:tab w:val="right" w:pos="9630"/>
      </w:tabs>
      <w:rPr>
        <w:noProof/>
      </w:rPr>
    </w:pPr>
    <w:r>
      <w:t xml:space="preserve">32-33 All-Source RFP </w:t>
    </w:r>
    <w:sdt>
      <w:sdtPr>
        <w:id w:val="-1629467584"/>
        <w:docPartObj>
          <w:docPartGallery w:val="Page Numbers (Bottom of Page)"/>
          <w:docPartUnique/>
        </w:docPartObj>
      </w:sdtPr>
      <w:sdtEndPr>
        <w:rPr>
          <w:noProof/>
        </w:rPr>
      </w:sdtEndPr>
      <w:sdtContent>
        <w:r>
          <w:t xml:space="preserve">Pro Forma CT PPA </w:t>
        </w:r>
        <w:r>
          <w:tab/>
        </w:r>
        <w:r>
          <w:tab/>
          <w:t xml:space="preserve">Page </w:t>
        </w:r>
        <w:r>
          <w:fldChar w:fldCharType="begin"/>
        </w:r>
        <w:r>
          <w:instrText xml:space="preserve"> PAGE </w:instrText>
        </w:r>
        <w:r>
          <w:fldChar w:fldCharType="separate"/>
        </w:r>
        <w:r>
          <w:t>26</w:t>
        </w:r>
        <w:r>
          <w:fldChar w:fldCharType="end"/>
        </w:r>
        <w:r>
          <w:t xml:space="preserve"> of </w:t>
        </w:r>
        <w:r>
          <w:rPr>
            <w:noProof/>
          </w:rPr>
          <w:t>130</w:t>
        </w:r>
      </w:sdtContent>
    </w:sdt>
    <w:r>
      <w:t xml:space="preserve"> </w:t>
    </w:r>
    <w:r>
      <w:tab/>
    </w:r>
    <w:r>
      <w:rPr>
        <w:highlight w:val="yellow"/>
      </w:rPr>
      <w:t>(#FacilityName#)</w:t>
    </w:r>
  </w:p>
  <w:p w:rsidRPr="009E7DC8" w:rsidR="00F5661D" w:rsidP="009E7DC8" w:rsidRDefault="00F5661D" w14:paraId="43C11D2D" w14:textId="77777777">
    <w:pPr>
      <w:pStyle w:val="Footer"/>
      <w:rPr>
        <w:rStyle w:val="PageNumber"/>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F5661D" w:rsidP="001E18C9" w:rsidRDefault="2BB3090F" w14:paraId="07F36938" w14:textId="77777777">
    <w:pPr>
      <w:pStyle w:val="zGFooter"/>
      <w:tabs>
        <w:tab w:val="clear" w:pos="5040"/>
        <w:tab w:val="clear" w:pos="8630"/>
        <w:tab w:val="left" w:pos="4140"/>
        <w:tab w:val="center" w:pos="4590"/>
        <w:tab w:val="right" w:pos="9630"/>
      </w:tabs>
      <w:rPr>
        <w:noProof/>
      </w:rPr>
    </w:pPr>
    <w:r>
      <w:t xml:space="preserve">32-33 All-Source RFP </w:t>
    </w:r>
    <w:sdt>
      <w:sdtPr>
        <w:id w:val="1076934365"/>
        <w:docPartObj>
          <w:docPartGallery w:val="Page Numbers (Bottom of Page)"/>
          <w:docPartUnique/>
        </w:docPartObj>
      </w:sdtPr>
      <w:sdtEndPr>
        <w:rPr>
          <w:noProof/>
        </w:rPr>
      </w:sdtEndPr>
      <w:sdtContent>
        <w:r>
          <w:t xml:space="preserve">Pro Forma CT PPA </w:t>
        </w:r>
        <w:r>
          <w:tab/>
        </w:r>
        <w:r>
          <w:tab/>
          <w:t xml:space="preserve">Page </w:t>
        </w:r>
        <w:r>
          <w:fldChar w:fldCharType="begin"/>
        </w:r>
        <w:r>
          <w:instrText xml:space="preserve"> PAGE </w:instrText>
        </w:r>
        <w:r>
          <w:fldChar w:fldCharType="separate"/>
        </w:r>
        <w:r>
          <w:t>26</w:t>
        </w:r>
        <w:r>
          <w:fldChar w:fldCharType="end"/>
        </w:r>
        <w:r>
          <w:t xml:space="preserve"> of </w:t>
        </w:r>
        <w:r>
          <w:rPr>
            <w:noProof/>
          </w:rPr>
          <w:t>130</w:t>
        </w:r>
      </w:sdtContent>
    </w:sdt>
    <w:r>
      <w:t xml:space="preserve"> </w:t>
    </w:r>
    <w:r>
      <w:tab/>
    </w:r>
    <w:r>
      <w:rPr>
        <w:highlight w:val="yellow"/>
      </w:rPr>
      <w:t>(#FacilityName#)</w:t>
    </w:r>
  </w:p>
  <w:p w:rsidRPr="009E7DC8" w:rsidR="00F5661D" w:rsidP="009E7DC8" w:rsidRDefault="00F5661D" w14:paraId="56F5FBDC" w14:textId="77777777">
    <w:pPr>
      <w:pStyle w:val="Footer"/>
      <w:rPr>
        <w:rStyle w:val="PageNumber"/>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F5661D" w:rsidP="001E18C9" w:rsidRDefault="2BB3090F" w14:paraId="2C20FE17" w14:textId="77777777">
    <w:pPr>
      <w:pStyle w:val="zGFooter"/>
      <w:tabs>
        <w:tab w:val="clear" w:pos="5040"/>
        <w:tab w:val="clear" w:pos="8630"/>
        <w:tab w:val="left" w:pos="4140"/>
        <w:tab w:val="center" w:pos="4590"/>
        <w:tab w:val="right" w:pos="9630"/>
      </w:tabs>
      <w:rPr>
        <w:noProof/>
      </w:rPr>
    </w:pPr>
    <w:r>
      <w:t xml:space="preserve">32-33 All-Source RFP </w:t>
    </w:r>
    <w:sdt>
      <w:sdtPr>
        <w:id w:val="293715179"/>
        <w:docPartObj>
          <w:docPartGallery w:val="Page Numbers (Bottom of Page)"/>
          <w:docPartUnique/>
        </w:docPartObj>
      </w:sdtPr>
      <w:sdtEndPr>
        <w:rPr>
          <w:noProof/>
        </w:rPr>
      </w:sdtEndPr>
      <w:sdtContent>
        <w:r>
          <w:t xml:space="preserve">Pro Forma CT PPA </w:t>
        </w:r>
        <w:r>
          <w:tab/>
        </w:r>
        <w:r>
          <w:tab/>
          <w:t xml:space="preserve">Page </w:t>
        </w:r>
        <w:r>
          <w:fldChar w:fldCharType="begin"/>
        </w:r>
        <w:r>
          <w:instrText xml:space="preserve"> PAGE </w:instrText>
        </w:r>
        <w:r>
          <w:fldChar w:fldCharType="separate"/>
        </w:r>
        <w:r>
          <w:t>26</w:t>
        </w:r>
        <w:r>
          <w:fldChar w:fldCharType="end"/>
        </w:r>
        <w:r>
          <w:t xml:space="preserve"> of </w:t>
        </w:r>
        <w:r>
          <w:rPr>
            <w:noProof/>
          </w:rPr>
          <w:t>130</w:t>
        </w:r>
      </w:sdtContent>
    </w:sdt>
    <w:r>
      <w:t xml:space="preserve"> </w:t>
    </w:r>
    <w:r>
      <w:tab/>
    </w:r>
    <w:r>
      <w:rPr>
        <w:highlight w:val="yellow"/>
      </w:rPr>
      <w:t>(#FacilityName#)</w:t>
    </w:r>
  </w:p>
  <w:p w:rsidRPr="009E7DC8" w:rsidR="00F5661D" w:rsidP="009E7DC8" w:rsidRDefault="00F5661D" w14:paraId="74372689" w14:textId="77777777">
    <w:pPr>
      <w:pStyle w:val="Footer"/>
      <w:rPr>
        <w:rStyle w:val="PageNumber"/>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F5661D" w:rsidP="001E18C9" w:rsidRDefault="63B3505F" w14:paraId="31C1F440" w14:textId="309F2C9F">
    <w:pPr>
      <w:pStyle w:val="zGFooter"/>
      <w:tabs>
        <w:tab w:val="clear" w:pos="5040"/>
        <w:tab w:val="clear" w:pos="8630"/>
        <w:tab w:val="left" w:pos="4140"/>
        <w:tab w:val="center" w:pos="4590"/>
        <w:tab w:val="right" w:pos="9630"/>
      </w:tabs>
      <w:rPr>
        <w:noProof/>
      </w:rPr>
    </w:pPr>
    <w:r>
      <w:t xml:space="preserve">All-Source RFP </w:t>
    </w:r>
    <w:sdt>
      <w:sdtPr>
        <w:id w:val="-1864738909"/>
        <w:docPartObj>
          <w:docPartGallery w:val="Page Numbers (Bottom of Page)"/>
          <w:docPartUnique/>
        </w:docPartObj>
      </w:sdtPr>
      <w:sdtEndPr>
        <w:rPr>
          <w:noProof/>
        </w:rPr>
      </w:sdtEndPr>
      <w:sdtContent>
        <w:r>
          <w:t>Pro Forma CT PPA</w:t>
        </w:r>
        <w:r>
          <w:tab/>
        </w:r>
        <w:r>
          <w:tab/>
          <w:t xml:space="preserve">Page </w:t>
        </w:r>
        <w:r>
          <w:fldChar w:fldCharType="begin"/>
        </w:r>
        <w:r>
          <w:instrText xml:space="preserve"> PAGE </w:instrText>
        </w:r>
        <w:r>
          <w:fldChar w:fldCharType="separate"/>
        </w:r>
        <w:r>
          <w:t>26</w:t>
        </w:r>
        <w:r>
          <w:fldChar w:fldCharType="end"/>
        </w:r>
        <w:r>
          <w:t xml:space="preserve"> of </w:t>
        </w:r>
        <w:r>
          <w:rPr>
            <w:noProof/>
          </w:rPr>
          <w:t>130</w:t>
        </w:r>
      </w:sdtContent>
    </w:sdt>
    <w:r>
      <w:t xml:space="preserve"> </w:t>
    </w:r>
    <w:r>
      <w:tab/>
    </w:r>
    <w:r>
      <w:rPr>
        <w:highlight w:val="yellow"/>
      </w:rPr>
      <w:t>(#FacilityName#)</w:t>
    </w:r>
  </w:p>
  <w:p w:rsidRPr="009E7DC8" w:rsidR="00F5661D" w:rsidP="009E7DC8" w:rsidRDefault="00F5661D" w14:paraId="78C3FD8F" w14:textId="77777777">
    <w:pPr>
      <w:pStyle w:val="Footer"/>
      <w:rPr>
        <w:rStyle w:val="PageNumber"/>
      </w:rP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646FB" w:rsidRDefault="00F646FB" w14:paraId="1FF0DD35" w14:textId="77777777">
    <w:pPr>
      <w:rPr>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14B0C" w:rsidR="00D96326" w:rsidP="00A04773" w:rsidRDefault="00AE23BA" w14:paraId="11A75359" w14:textId="77777777">
    <w:pPr>
      <w:pStyle w:val="zGFooter"/>
      <w:tabs>
        <w:tab w:val="clear" w:pos="5040"/>
        <w:tab w:val="clear" w:pos="8630"/>
        <w:tab w:val="left" w:pos="4140"/>
        <w:tab w:val="center" w:pos="4590"/>
        <w:tab w:val="right" w:pos="9630"/>
      </w:tabs>
      <w:rPr>
        <w:noProof/>
      </w:rPr>
    </w:pPr>
    <w:r>
      <w:t xml:space="preserve">32-33 All-Source RFP </w:t>
    </w:r>
    <w:sdt>
      <w:sdtPr>
        <w:id w:val="-1234615383"/>
        <w:docPartObj>
          <w:docPartGallery w:val="Page Numbers (Bottom of Page)"/>
          <w:docPartUnique/>
        </w:docPartObj>
      </w:sdtPr>
      <w:sdtEndPr>
        <w:rPr>
          <w:noProof/>
        </w:rPr>
      </w:sdtEndPr>
      <w:sdtContent>
        <w:r>
          <w:t>Pro Forma CT PPA</w:t>
        </w:r>
        <w:r>
          <w:tab/>
        </w:r>
        <w:r>
          <w:tab/>
          <w:t xml:space="preserve">Page </w:t>
        </w:r>
        <w:r>
          <w:fldChar w:fldCharType="begin"/>
        </w:r>
        <w:r>
          <w:instrText xml:space="preserve"> PAGE </w:instrText>
        </w:r>
        <w:r>
          <w:fldChar w:fldCharType="separate"/>
        </w:r>
        <w:r>
          <w:t>1</w:t>
        </w:r>
        <w:r>
          <w:fldChar w:fldCharType="end"/>
        </w:r>
        <w:r>
          <w:t xml:space="preserve"> of </w:t>
        </w:r>
        <w:r>
          <w:rPr>
            <w:noProof/>
          </w:rPr>
          <w:t>139</w:t>
        </w:r>
        <w:r>
          <w:rPr>
            <w:noProof/>
          </w:rPr>
          <w:tab/>
          <w:t xml:space="preserve">  </w:t>
        </w:r>
      </w:sdtContent>
    </w:sdt>
    <w:r>
      <w:rPr>
        <w:highlight w:val="yellow"/>
      </w:rPr>
      <w:t>(#FacilityName#)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96326" w:rsidRDefault="00D96326" w14:paraId="6F37F342"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14B0C" w:rsidR="00D96326" w:rsidP="00A04773" w:rsidRDefault="00AE23BA" w14:paraId="51DF0E22" w14:textId="77777777">
    <w:pPr>
      <w:pStyle w:val="zGFooter"/>
      <w:tabs>
        <w:tab w:val="clear" w:pos="5040"/>
        <w:tab w:val="clear" w:pos="8630"/>
        <w:tab w:val="left" w:pos="4140"/>
        <w:tab w:val="center" w:pos="4590"/>
        <w:tab w:val="right" w:pos="9630"/>
      </w:tabs>
      <w:rPr>
        <w:noProof/>
      </w:rPr>
    </w:pPr>
    <w:r>
      <w:t xml:space="preserve">32-33 All-Source RFP </w:t>
    </w:r>
    <w:sdt>
      <w:sdtPr>
        <w:id w:val="-363132780"/>
        <w:docPartObj>
          <w:docPartGallery w:val="Page Numbers (Bottom of Page)"/>
          <w:docPartUnique/>
        </w:docPartObj>
      </w:sdtPr>
      <w:sdtEndPr>
        <w:rPr>
          <w:noProof/>
        </w:rPr>
      </w:sdtEndPr>
      <w:sdtContent>
        <w:r>
          <w:t>Pro Forma CT PPA</w:t>
        </w:r>
        <w:r>
          <w:tab/>
        </w:r>
        <w:r>
          <w:tab/>
          <w:t xml:space="preserve">Page </w:t>
        </w:r>
        <w:r>
          <w:fldChar w:fldCharType="begin"/>
        </w:r>
        <w:r>
          <w:instrText xml:space="preserve"> PAGE </w:instrText>
        </w:r>
        <w:r>
          <w:fldChar w:fldCharType="separate"/>
        </w:r>
        <w:r>
          <w:t>1</w:t>
        </w:r>
        <w:r>
          <w:fldChar w:fldCharType="end"/>
        </w:r>
        <w:r>
          <w:t xml:space="preserve"> of </w:t>
        </w:r>
        <w:r>
          <w:rPr>
            <w:noProof/>
          </w:rPr>
          <w:t>139</w:t>
        </w:r>
        <w:r>
          <w:rPr>
            <w:noProof/>
          </w:rPr>
          <w:tab/>
          <w:t xml:space="preserve">  </w:t>
        </w:r>
      </w:sdtContent>
    </w:sdt>
    <w:r>
      <w:rPr>
        <w:highlight w:val="yellow"/>
      </w:rPr>
      <w:t>(#FacilityName#)</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14B0C" w:rsidR="00D96326" w:rsidP="00A04773" w:rsidRDefault="00AE23BA" w14:paraId="4D2DDD31" w14:textId="77777777">
    <w:pPr>
      <w:pStyle w:val="zGFooter"/>
      <w:tabs>
        <w:tab w:val="clear" w:pos="5040"/>
        <w:tab w:val="clear" w:pos="8630"/>
        <w:tab w:val="left" w:pos="4140"/>
        <w:tab w:val="center" w:pos="4590"/>
        <w:tab w:val="right" w:pos="9630"/>
      </w:tabs>
      <w:rPr>
        <w:noProof/>
      </w:rPr>
    </w:pPr>
    <w:r>
      <w:t xml:space="preserve">32-33 All-Source RFP </w:t>
    </w:r>
    <w:sdt>
      <w:sdtPr>
        <w:id w:val="-418017498"/>
        <w:docPartObj>
          <w:docPartGallery w:val="Page Numbers (Bottom of Page)"/>
          <w:docPartUnique/>
        </w:docPartObj>
      </w:sdtPr>
      <w:sdtEndPr>
        <w:rPr>
          <w:noProof/>
        </w:rPr>
      </w:sdtEndPr>
      <w:sdtContent>
        <w:r>
          <w:t>Pro Forma CT PPA</w:t>
        </w:r>
        <w:r>
          <w:tab/>
        </w:r>
        <w:r>
          <w:tab/>
          <w:t xml:space="preserve">Page </w:t>
        </w:r>
        <w:r>
          <w:fldChar w:fldCharType="begin"/>
        </w:r>
        <w:r>
          <w:instrText xml:space="preserve"> PAGE </w:instrText>
        </w:r>
        <w:r>
          <w:fldChar w:fldCharType="separate"/>
        </w:r>
        <w:r>
          <w:t>1</w:t>
        </w:r>
        <w:r>
          <w:fldChar w:fldCharType="end"/>
        </w:r>
        <w:r>
          <w:t xml:space="preserve"> of </w:t>
        </w:r>
        <w:r>
          <w:rPr>
            <w:noProof/>
          </w:rPr>
          <w:t>139</w:t>
        </w:r>
        <w:r>
          <w:rPr>
            <w:noProof/>
          </w:rPr>
          <w:tab/>
          <w:t xml:space="preserve">  </w:t>
        </w:r>
      </w:sdtContent>
    </w:sdt>
    <w:r>
      <w:rPr>
        <w:highlight w:val="yellow"/>
      </w:rPr>
      <w:t>(#FacilityName#)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14B0C" w:rsidR="00D96326" w:rsidP="00A04773" w:rsidRDefault="00AE23BA" w14:paraId="1E06E5D3" w14:textId="77777777">
    <w:pPr>
      <w:pStyle w:val="zGFooter"/>
      <w:tabs>
        <w:tab w:val="clear" w:pos="5040"/>
        <w:tab w:val="clear" w:pos="8630"/>
        <w:tab w:val="left" w:pos="4140"/>
        <w:tab w:val="center" w:pos="4590"/>
        <w:tab w:val="right" w:pos="9630"/>
      </w:tabs>
      <w:rPr>
        <w:noProof/>
      </w:rPr>
    </w:pPr>
    <w:r>
      <w:t xml:space="preserve">32-33 All-Source RFP </w:t>
    </w:r>
    <w:sdt>
      <w:sdtPr>
        <w:id w:val="324480856"/>
        <w:docPartObj>
          <w:docPartGallery w:val="Page Numbers (Bottom of Page)"/>
          <w:docPartUnique/>
        </w:docPartObj>
      </w:sdtPr>
      <w:sdtEndPr>
        <w:rPr>
          <w:noProof/>
        </w:rPr>
      </w:sdtEndPr>
      <w:sdtContent>
        <w:r>
          <w:t>Pro Forma CT PPA</w:t>
        </w:r>
        <w:r>
          <w:tab/>
        </w:r>
        <w:r>
          <w:tab/>
          <w:t xml:space="preserve">Page </w:t>
        </w:r>
        <w:r>
          <w:fldChar w:fldCharType="begin"/>
        </w:r>
        <w:r>
          <w:instrText xml:space="preserve"> PAGE </w:instrText>
        </w:r>
        <w:r>
          <w:fldChar w:fldCharType="separate"/>
        </w:r>
        <w:r>
          <w:t>1</w:t>
        </w:r>
        <w:r>
          <w:fldChar w:fldCharType="end"/>
        </w:r>
        <w:r>
          <w:t xml:space="preserve"> of </w:t>
        </w:r>
        <w:r>
          <w:rPr>
            <w:noProof/>
          </w:rPr>
          <w:t>139</w:t>
        </w:r>
        <w:r>
          <w:rPr>
            <w:noProof/>
          </w:rPr>
          <w:tab/>
          <w:t xml:space="preserve">  </w:t>
        </w:r>
      </w:sdtContent>
    </w:sdt>
    <w:r>
      <w:rPr>
        <w:highlight w:val="yellow"/>
      </w:rPr>
      <w:t>(#FacilityName#)</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14B0C" w:rsidR="00D96326" w:rsidP="00A04773" w:rsidRDefault="00AE23BA" w14:paraId="61C362B9" w14:textId="77777777">
    <w:pPr>
      <w:pStyle w:val="zGFooter"/>
      <w:tabs>
        <w:tab w:val="clear" w:pos="5040"/>
        <w:tab w:val="clear" w:pos="8630"/>
        <w:tab w:val="left" w:pos="4140"/>
        <w:tab w:val="center" w:pos="4590"/>
        <w:tab w:val="right" w:pos="9630"/>
      </w:tabs>
      <w:rPr>
        <w:noProof/>
      </w:rPr>
    </w:pPr>
    <w:r>
      <w:t xml:space="preserve">32-33 All-Source RFP </w:t>
    </w:r>
    <w:sdt>
      <w:sdtPr>
        <w:id w:val="1063141624"/>
        <w:docPartObj>
          <w:docPartGallery w:val="Page Numbers (Bottom of Page)"/>
          <w:docPartUnique/>
        </w:docPartObj>
      </w:sdtPr>
      <w:sdtEndPr>
        <w:rPr>
          <w:noProof/>
        </w:rPr>
      </w:sdtEndPr>
      <w:sdtContent>
        <w:r>
          <w:t>Pro Forma CT PPA</w:t>
        </w:r>
        <w:r>
          <w:tab/>
        </w:r>
        <w:r>
          <w:tab/>
          <w:t xml:space="preserve">Page </w:t>
        </w:r>
        <w:r>
          <w:fldChar w:fldCharType="begin"/>
        </w:r>
        <w:r>
          <w:instrText xml:space="preserve"> PAGE </w:instrText>
        </w:r>
        <w:r>
          <w:fldChar w:fldCharType="separate"/>
        </w:r>
        <w:r>
          <w:t>1</w:t>
        </w:r>
        <w:r>
          <w:fldChar w:fldCharType="end"/>
        </w:r>
        <w:r>
          <w:t xml:space="preserve"> of </w:t>
        </w:r>
        <w:r>
          <w:rPr>
            <w:noProof/>
          </w:rPr>
          <w:t>139</w:t>
        </w:r>
        <w:r>
          <w:rPr>
            <w:noProof/>
          </w:rPr>
          <w:tab/>
          <w:t xml:space="preserve">  </w:t>
        </w:r>
      </w:sdtContent>
    </w:sdt>
    <w:r>
      <w:rPr>
        <w:highlight w:val="yellow"/>
      </w:rPr>
      <w:t>(#FacilityName#)</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14B0C" w:rsidR="00D96326" w:rsidP="00A04773" w:rsidRDefault="00AE23BA" w14:paraId="2DE94B3E" w14:textId="77777777">
    <w:pPr>
      <w:pStyle w:val="zGFooter"/>
      <w:tabs>
        <w:tab w:val="clear" w:pos="5040"/>
        <w:tab w:val="clear" w:pos="8630"/>
        <w:tab w:val="left" w:pos="4140"/>
        <w:tab w:val="center" w:pos="4590"/>
        <w:tab w:val="right" w:pos="9630"/>
      </w:tabs>
      <w:rPr>
        <w:noProof/>
      </w:rPr>
    </w:pPr>
    <w:r>
      <w:t xml:space="preserve">32-33 All-Source RFP </w:t>
    </w:r>
    <w:sdt>
      <w:sdtPr>
        <w:id w:val="-739250815"/>
        <w:docPartObj>
          <w:docPartGallery w:val="Page Numbers (Bottom of Page)"/>
          <w:docPartUnique/>
        </w:docPartObj>
      </w:sdtPr>
      <w:sdtEndPr>
        <w:rPr>
          <w:noProof/>
        </w:rPr>
      </w:sdtEndPr>
      <w:sdtContent>
        <w:r>
          <w:t>Pro Forma CT PPA</w:t>
        </w:r>
        <w:r>
          <w:tab/>
        </w:r>
        <w:r>
          <w:tab/>
          <w:t xml:space="preserve">Page </w:t>
        </w:r>
        <w:r>
          <w:fldChar w:fldCharType="begin"/>
        </w:r>
        <w:r>
          <w:instrText xml:space="preserve"> PAGE </w:instrText>
        </w:r>
        <w:r>
          <w:fldChar w:fldCharType="separate"/>
        </w:r>
        <w:r>
          <w:t>1</w:t>
        </w:r>
        <w:r>
          <w:fldChar w:fldCharType="end"/>
        </w:r>
        <w:r>
          <w:t xml:space="preserve"> of </w:t>
        </w:r>
        <w:r>
          <w:rPr>
            <w:noProof/>
          </w:rPr>
          <w:t>139</w:t>
        </w:r>
        <w:r>
          <w:rPr>
            <w:noProof/>
          </w:rPr>
          <w:tab/>
          <w:t xml:space="preserve">  </w:t>
        </w:r>
      </w:sdtContent>
    </w:sdt>
    <w:r>
      <w:rPr>
        <w:highlight w:val="yellow"/>
      </w:rPr>
      <w:t>(#FacilityName#)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8A3653" w:rsidR="00DC0A9A" w:rsidP="008A3653" w:rsidRDefault="00DC0A9A" w14:paraId="6E45A0FF" w14:textId="77777777">
      <w:pPr>
        <w:pStyle w:val="Footer"/>
      </w:pPr>
    </w:p>
    <w:p w:rsidR="00DC0A9A" w:rsidRDefault="00DC0A9A" w14:paraId="003E4B28" w14:textId="77777777"/>
  </w:footnote>
  <w:footnote w:type="continuationSeparator" w:id="0">
    <w:p w:rsidR="00DC0A9A" w:rsidP="00441786" w:rsidRDefault="00DC0A9A" w14:paraId="5766CF9C" w14:textId="77777777">
      <w:r>
        <w:continuationSeparator/>
      </w:r>
    </w:p>
    <w:p w:rsidR="00DC0A9A" w:rsidRDefault="00DC0A9A" w14:paraId="1E377E72" w14:textId="77777777"/>
  </w:footnote>
  <w:footnote w:type="continuationNotice" w:id="1">
    <w:p w:rsidR="00DC0A9A" w:rsidRDefault="00DC0A9A" w14:paraId="1919BB06" w14:textId="77777777"/>
    <w:p w:rsidR="00DC0A9A" w:rsidRDefault="00DC0A9A" w14:paraId="0B2884FD" w14:textId="77777777"/>
  </w:footnote>
  <w:footnote w:id="2">
    <w:p w:rsidRPr="007E58B3" w:rsidR="001F00B3" w:rsidP="001F00B3" w:rsidRDefault="001F00B3" w14:paraId="51D0572F" w14:textId="65268B5E">
      <w:pPr>
        <w:pStyle w:val="FootnoteText"/>
        <w:rPr>
          <w:rFonts w:cs="Arial"/>
          <w:sz w:val="20"/>
        </w:rPr>
      </w:pPr>
      <w:r>
        <w:rPr>
          <w:rStyle w:val="FootnoteReference"/>
          <w:rFonts w:cs="Arial"/>
          <w:sz w:val="20"/>
        </w:rPr>
        <w:footnoteRef/>
      </w:r>
      <w:r>
        <w:rPr>
          <w:rFonts w:cs="Arial"/>
          <w:sz w:val="20"/>
        </w:rPr>
        <w:t xml:space="preserve"> Without limiting any other PPA requirement, as a condition to achieving each Key Milestone on or before the Key Milestone Date, Seller must provide evidence satisfactory to GPC demonstrating that each Key Milestone</w:t>
      </w:r>
      <w:r w:rsidR="008D5C81">
        <w:rPr>
          <w:rFonts w:cs="Arial"/>
          <w:sz w:val="20"/>
        </w:rPr>
        <w:t xml:space="preserve"> was achieved</w:t>
      </w:r>
      <w:r>
        <w:rPr>
          <w:rFonts w:cs="Arial"/>
          <w:sz w:val="20"/>
        </w:rPr>
        <w:t xml:space="preserve"> by the Key Milestone Date, including the items described in this table. </w:t>
      </w:r>
    </w:p>
  </w:footnote>
  <w:footnote w:id="3">
    <w:p w:rsidRPr="00B24831" w:rsidR="00A52CC1" w:rsidP="00A52CC1" w:rsidRDefault="00A52CC1" w14:paraId="03911395" w14:textId="77777777">
      <w:pPr>
        <w:pStyle w:val="CommentText"/>
        <w:spacing w:line="0" w:lineRule="atLeast"/>
        <w:rPr>
          <w:rFonts w:cs="Arial"/>
          <w:sz w:val="20"/>
        </w:rPr>
      </w:pPr>
      <w:r>
        <w:rPr>
          <w:rStyle w:val="FootnoteReference"/>
          <w:rFonts w:cs="Arial"/>
          <w:sz w:val="20"/>
        </w:rPr>
        <w:footnoteRef/>
      </w:r>
      <w:r>
        <w:rPr>
          <w:rFonts w:cs="Arial"/>
          <w:sz w:val="20"/>
        </w:rPr>
        <w:t xml:space="preserve"> If Seller’s business structure does not designate an officer with this or a similar title, Seller must provide written documentation affirming the authority of the individual who attests to this certification.</w:t>
      </w:r>
    </w:p>
    <w:p w:rsidRPr="00B24831" w:rsidR="00A52CC1" w:rsidP="00A52CC1" w:rsidRDefault="00A52CC1" w14:paraId="6FA8E4B6" w14:textId="77777777">
      <w:pPr>
        <w:pStyle w:val="FootnoteText"/>
        <w:rPr>
          <w:rFonts w:cs="Arial"/>
          <w:sz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96326" w:rsidRDefault="00D96326" w14:paraId="525C3552" w14:textId="77777777">
    <w:pPr>
      <w:tabs>
        <w:tab w:val="right" w:pos="9360"/>
      </w:tabs>
      <w:jc w:val="righ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A1402" w:rsidR="00CA3D1C" w:rsidP="00CA3D1C" w:rsidRDefault="00CA3D1C" w14:paraId="7AC5DF2E" w14:textId="77777777">
    <w:pPr>
      <w:pStyle w:val="Header"/>
      <w:spacing w:before="0" w:after="0"/>
      <w:rPr>
        <w:rFonts w:cs="Arial"/>
        <w:bCs/>
        <w:iCs/>
      </w:rPr>
    </w:pPr>
  </w:p>
  <w:p w:rsidRPr="00AA1402" w:rsidR="00CA3D1C" w:rsidP="000A2525" w:rsidRDefault="4ED06594" w14:paraId="140FE1B2" w14:textId="77777777">
    <w:pPr>
      <w:pStyle w:val="Header"/>
      <w:spacing w:before="0" w:after="0" w:line="259" w:lineRule="auto"/>
      <w:rPr>
        <w:rFonts w:cs="Arial"/>
        <w:caps/>
      </w:rPr>
    </w:pPr>
    <w:r>
      <w:rPr>
        <w:rFonts w:cs="Arial"/>
      </w:rPr>
      <w:t>32-33 All-Source RFP</w:t>
    </w:r>
  </w:p>
  <w:p w:rsidRPr="00AA1402" w:rsidR="00CA3D1C" w:rsidP="4ED06594" w:rsidRDefault="00CA3D1C" w14:paraId="4052386A" w14:textId="77777777">
    <w:pPr>
      <w:pStyle w:val="Header"/>
      <w:spacing w:before="0" w:after="0" w:line="259" w:lineRule="auto"/>
      <w:rPr>
        <w:rFonts w:cs="Arial"/>
        <w:bCs/>
        <w:iCs/>
        <w:caps/>
      </w:rPr>
    </w:pPr>
    <w:r>
      <w:rPr>
        <w:rFonts w:cs="Arial"/>
        <w:bCs/>
        <w:iCs/>
      </w:rPr>
      <w:t>Pro Forma PPA (Combustion Turbine)</w:t>
    </w:r>
  </w:p>
  <w:p w:rsidR="00D96326" w:rsidP="007B0D3E" w:rsidRDefault="008C33AE" w14:paraId="2D4B10AD" w14:textId="17396F65">
    <w:pPr>
      <w:keepLines/>
      <w:tabs>
        <w:tab w:val="center" w:pos="4320"/>
        <w:tab w:val="left" w:pos="8360"/>
      </w:tabs>
      <w:spacing w:before="0" w:after="0"/>
      <w:jc w:val="right"/>
      <w:rPr>
        <w:b/>
        <w:i/>
        <w:color w:val="FF0000"/>
      </w:rPr>
    </w:pPr>
    <w:r>
      <w:rPr>
        <w:b/>
        <w:i/>
        <w:color w:val="FF0000"/>
      </w:rPr>
      <w:t>Filing Draft</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A1402" w:rsidR="00CA3D1C" w:rsidP="00CA3D1C" w:rsidRDefault="00CA3D1C" w14:paraId="07F48D5F" w14:textId="77777777">
    <w:pPr>
      <w:pStyle w:val="Header"/>
      <w:spacing w:before="0" w:after="0"/>
      <w:rPr>
        <w:rFonts w:cs="Arial"/>
        <w:bCs/>
        <w:iCs/>
      </w:rPr>
    </w:pPr>
  </w:p>
  <w:p w:rsidRPr="00AA1402" w:rsidR="00CA3D1C" w:rsidP="000A2525" w:rsidRDefault="4ED06594" w14:paraId="4BE0367A" w14:textId="77777777">
    <w:pPr>
      <w:pStyle w:val="Header"/>
      <w:spacing w:before="0" w:after="0" w:line="259" w:lineRule="auto"/>
      <w:rPr>
        <w:rFonts w:cs="Arial"/>
        <w:caps/>
      </w:rPr>
    </w:pPr>
    <w:r>
      <w:rPr>
        <w:rFonts w:cs="Arial"/>
      </w:rPr>
      <w:t>32-33 All-Source RFP</w:t>
    </w:r>
  </w:p>
  <w:p w:rsidRPr="00AA1402" w:rsidR="00CA3D1C" w:rsidP="4ED06594" w:rsidRDefault="00CA3D1C" w14:paraId="7396B7CD" w14:textId="77777777">
    <w:pPr>
      <w:pStyle w:val="Header"/>
      <w:spacing w:before="0" w:after="0" w:line="259" w:lineRule="auto"/>
      <w:rPr>
        <w:rFonts w:cs="Arial"/>
        <w:bCs/>
        <w:iCs/>
        <w:caps/>
      </w:rPr>
    </w:pPr>
    <w:r>
      <w:rPr>
        <w:rFonts w:cs="Arial"/>
        <w:bCs/>
        <w:iCs/>
      </w:rPr>
      <w:t>Pro Forma PPA (Combustion Turbine)</w:t>
    </w:r>
  </w:p>
  <w:p w:rsidR="00D96326" w:rsidP="007B0D3E" w:rsidRDefault="008C33AE" w14:paraId="781634F2" w14:textId="0C4B5B0F">
    <w:pPr>
      <w:keepLines/>
      <w:tabs>
        <w:tab w:val="center" w:pos="4320"/>
        <w:tab w:val="left" w:pos="8360"/>
      </w:tabs>
      <w:spacing w:before="0" w:after="0"/>
      <w:jc w:val="right"/>
      <w:rPr>
        <w:b/>
        <w:i/>
        <w:color w:val="FF0000"/>
      </w:rPr>
    </w:pPr>
    <w:r>
      <w:rPr>
        <w:b/>
        <w:i/>
        <w:color w:val="FF0000"/>
      </w:rPr>
      <w:t>Filing Draft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A1402" w:rsidR="00CA3D1C" w:rsidP="00CA3D1C" w:rsidRDefault="00CA3D1C" w14:paraId="2492F90A" w14:textId="77777777">
    <w:pPr>
      <w:pStyle w:val="Header"/>
      <w:spacing w:before="0" w:after="0"/>
      <w:rPr>
        <w:rFonts w:cs="Arial"/>
        <w:bCs/>
        <w:iCs/>
      </w:rPr>
    </w:pPr>
  </w:p>
  <w:p w:rsidRPr="00AA1402" w:rsidR="00CA3D1C" w:rsidP="000A2525" w:rsidRDefault="4ED06594" w14:paraId="3568B0BA" w14:textId="77777777">
    <w:pPr>
      <w:pStyle w:val="Header"/>
      <w:spacing w:before="0" w:after="0" w:line="259" w:lineRule="auto"/>
      <w:rPr>
        <w:rFonts w:cs="Arial"/>
        <w:caps/>
      </w:rPr>
    </w:pPr>
    <w:r>
      <w:rPr>
        <w:rFonts w:cs="Arial"/>
      </w:rPr>
      <w:t>32-33 All-Source RFP</w:t>
    </w:r>
  </w:p>
  <w:p w:rsidRPr="00AA1402" w:rsidR="00CA3D1C" w:rsidP="4ED06594" w:rsidRDefault="00CA3D1C" w14:paraId="0C509CFA" w14:textId="77777777">
    <w:pPr>
      <w:pStyle w:val="Header"/>
      <w:spacing w:before="0" w:after="0" w:line="259" w:lineRule="auto"/>
      <w:rPr>
        <w:rFonts w:cs="Arial"/>
        <w:bCs/>
        <w:iCs/>
        <w:caps/>
      </w:rPr>
    </w:pPr>
    <w:r>
      <w:rPr>
        <w:rFonts w:cs="Arial"/>
        <w:bCs/>
        <w:iCs/>
      </w:rPr>
      <w:t>Pro Forma PPA (Combustion Turbine)</w:t>
    </w:r>
  </w:p>
  <w:p w:rsidR="00D96326" w:rsidP="007B0D3E" w:rsidRDefault="008C33AE" w14:paraId="0BA2C84A" w14:textId="5E0941F1">
    <w:pPr>
      <w:keepLines/>
      <w:tabs>
        <w:tab w:val="center" w:pos="4320"/>
        <w:tab w:val="left" w:pos="8360"/>
      </w:tabs>
      <w:spacing w:before="0" w:after="0"/>
      <w:jc w:val="right"/>
      <w:rPr>
        <w:b/>
        <w:i/>
        <w:color w:val="FF0000"/>
      </w:rPr>
    </w:pPr>
    <w:r>
      <w:rPr>
        <w:b/>
        <w:i/>
        <w:color w:val="FF0000"/>
      </w:rPr>
      <w:t>Filing Draft</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A1402" w:rsidR="00CA3D1C" w:rsidP="00CA3D1C" w:rsidRDefault="00CA3D1C" w14:paraId="2436717D" w14:textId="77777777">
    <w:pPr>
      <w:pStyle w:val="Header"/>
      <w:spacing w:before="0" w:after="0"/>
      <w:rPr>
        <w:rFonts w:cs="Arial"/>
        <w:bCs/>
        <w:iCs/>
      </w:rPr>
    </w:pPr>
  </w:p>
  <w:p w:rsidRPr="00AA1402" w:rsidR="00CA3D1C" w:rsidP="000A2525" w:rsidRDefault="4ED06594" w14:paraId="57AC9031" w14:textId="77777777">
    <w:pPr>
      <w:pStyle w:val="Header"/>
      <w:spacing w:before="0" w:after="0" w:line="259" w:lineRule="auto"/>
      <w:rPr>
        <w:rFonts w:cs="Arial"/>
        <w:caps/>
      </w:rPr>
    </w:pPr>
    <w:r>
      <w:rPr>
        <w:rFonts w:cs="Arial"/>
      </w:rPr>
      <w:t>32-33 All-Source RFP</w:t>
    </w:r>
  </w:p>
  <w:p w:rsidRPr="00AA1402" w:rsidR="00CA3D1C" w:rsidP="4ED06594" w:rsidRDefault="00CA3D1C" w14:paraId="12248218" w14:textId="77777777">
    <w:pPr>
      <w:pStyle w:val="Header"/>
      <w:spacing w:before="0" w:after="0" w:line="259" w:lineRule="auto"/>
      <w:rPr>
        <w:rFonts w:cs="Arial"/>
        <w:bCs/>
        <w:iCs/>
        <w:caps/>
      </w:rPr>
    </w:pPr>
    <w:r>
      <w:rPr>
        <w:rFonts w:cs="Arial"/>
        <w:bCs/>
        <w:iCs/>
      </w:rPr>
      <w:t>Pro Forma PPA (Combustion Turbine)</w:t>
    </w:r>
  </w:p>
  <w:p w:rsidR="00D96326" w:rsidP="007B0D3E" w:rsidRDefault="008C33AE" w14:paraId="1D9F817A" w14:textId="0A83E349">
    <w:pPr>
      <w:keepLines/>
      <w:tabs>
        <w:tab w:val="center" w:pos="4320"/>
        <w:tab w:val="left" w:pos="8360"/>
      </w:tabs>
      <w:spacing w:before="0" w:after="0"/>
      <w:jc w:val="right"/>
      <w:rPr>
        <w:b/>
        <w:i/>
        <w:color w:val="FF0000"/>
      </w:rPr>
    </w:pPr>
    <w:r>
      <w:rPr>
        <w:b/>
        <w:i/>
        <w:color w:val="FF0000"/>
      </w:rPr>
      <w:t>Filing Draft</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A1402" w:rsidR="00CA3D1C" w:rsidP="00CA3D1C" w:rsidRDefault="00CA3D1C" w14:paraId="734E7978" w14:textId="77777777">
    <w:pPr>
      <w:pStyle w:val="Header"/>
      <w:spacing w:before="0" w:after="0"/>
      <w:rPr>
        <w:rFonts w:cs="Arial"/>
        <w:bCs/>
        <w:iCs/>
      </w:rPr>
    </w:pPr>
  </w:p>
  <w:p w:rsidRPr="00AA1402" w:rsidR="00CA3D1C" w:rsidP="000A2525" w:rsidRDefault="4ED06594" w14:paraId="2496EF39" w14:textId="77777777">
    <w:pPr>
      <w:pStyle w:val="Header"/>
      <w:spacing w:before="0" w:after="0" w:line="259" w:lineRule="auto"/>
      <w:rPr>
        <w:rFonts w:cs="Arial"/>
        <w:caps/>
      </w:rPr>
    </w:pPr>
    <w:r>
      <w:rPr>
        <w:rFonts w:cs="Arial"/>
      </w:rPr>
      <w:t>32-33 All-Source RFP</w:t>
    </w:r>
  </w:p>
  <w:p w:rsidRPr="00AA1402" w:rsidR="00CA3D1C" w:rsidP="4ED06594" w:rsidRDefault="00CA3D1C" w14:paraId="4D6436A5" w14:textId="77777777">
    <w:pPr>
      <w:pStyle w:val="Header"/>
      <w:spacing w:before="0" w:after="0" w:line="259" w:lineRule="auto"/>
      <w:rPr>
        <w:rFonts w:cs="Arial"/>
        <w:bCs/>
        <w:iCs/>
        <w:caps/>
      </w:rPr>
    </w:pPr>
    <w:r>
      <w:rPr>
        <w:rFonts w:cs="Arial"/>
        <w:bCs/>
        <w:iCs/>
      </w:rPr>
      <w:t>Pro Forma PPA (Combustion Turbine)</w:t>
    </w:r>
  </w:p>
  <w:p w:rsidR="00D96326" w:rsidP="007B0D3E" w:rsidRDefault="008C33AE" w14:paraId="18914916" w14:textId="60172E4F">
    <w:pPr>
      <w:keepLines/>
      <w:tabs>
        <w:tab w:val="center" w:pos="4320"/>
        <w:tab w:val="left" w:pos="8360"/>
      </w:tabs>
      <w:spacing w:before="0" w:after="0"/>
      <w:jc w:val="right"/>
      <w:rPr>
        <w:b/>
        <w:i/>
        <w:color w:val="FF0000"/>
      </w:rPr>
    </w:pPr>
    <w:r>
      <w:rPr>
        <w:b/>
        <w:i/>
        <w:color w:val="FF0000"/>
      </w:rPr>
      <w:t>Filing Draft</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A1402" w:rsidR="00CA3D1C" w:rsidP="00CA3D1C" w:rsidRDefault="00CA3D1C" w14:paraId="48410DE6" w14:textId="77777777">
    <w:pPr>
      <w:pStyle w:val="Header"/>
      <w:spacing w:before="0" w:after="0"/>
      <w:rPr>
        <w:rFonts w:cs="Arial"/>
        <w:bCs/>
        <w:iCs/>
      </w:rPr>
    </w:pPr>
  </w:p>
  <w:p w:rsidRPr="00AA1402" w:rsidR="00CA3D1C" w:rsidP="000A2525" w:rsidRDefault="4ED06594" w14:paraId="02BEFE56" w14:textId="77777777">
    <w:pPr>
      <w:pStyle w:val="Header"/>
      <w:spacing w:before="0" w:after="0" w:line="259" w:lineRule="auto"/>
      <w:rPr>
        <w:rFonts w:cs="Arial"/>
        <w:caps/>
      </w:rPr>
    </w:pPr>
    <w:r>
      <w:rPr>
        <w:rFonts w:cs="Arial"/>
      </w:rPr>
      <w:t>32-33 All-Source RFP</w:t>
    </w:r>
  </w:p>
  <w:p w:rsidRPr="00AA1402" w:rsidR="00CA3D1C" w:rsidP="4ED06594" w:rsidRDefault="00CA3D1C" w14:paraId="742FCB2F" w14:textId="77777777">
    <w:pPr>
      <w:pStyle w:val="Header"/>
      <w:spacing w:before="0" w:after="0" w:line="259" w:lineRule="auto"/>
      <w:rPr>
        <w:rFonts w:cs="Arial"/>
        <w:bCs/>
        <w:iCs/>
        <w:caps/>
      </w:rPr>
    </w:pPr>
    <w:r>
      <w:rPr>
        <w:rFonts w:cs="Arial"/>
        <w:bCs/>
        <w:iCs/>
      </w:rPr>
      <w:t>Pro Forma PPA (Combustion Turbine)</w:t>
    </w:r>
  </w:p>
  <w:p w:rsidR="00D96326" w:rsidP="007B0D3E" w:rsidRDefault="008C33AE" w14:paraId="6892AEC7" w14:textId="5726CE51">
    <w:pPr>
      <w:keepLines/>
      <w:tabs>
        <w:tab w:val="center" w:pos="4320"/>
        <w:tab w:val="left" w:pos="8360"/>
      </w:tabs>
      <w:spacing w:before="0" w:after="0"/>
      <w:jc w:val="right"/>
      <w:rPr>
        <w:b/>
        <w:i/>
        <w:color w:val="FF0000"/>
      </w:rPr>
    </w:pPr>
    <w:r>
      <w:rPr>
        <w:b/>
        <w:i/>
        <w:color w:val="FF0000"/>
      </w:rPr>
      <w:t>Filing Draft</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A1402" w:rsidR="00CA3D1C" w:rsidP="00CA3D1C" w:rsidRDefault="00CA3D1C" w14:paraId="0DE812E6" w14:textId="77777777">
    <w:pPr>
      <w:pStyle w:val="Header"/>
      <w:spacing w:before="0" w:after="0"/>
      <w:rPr>
        <w:rFonts w:cs="Arial"/>
        <w:bCs/>
        <w:iCs/>
      </w:rPr>
    </w:pPr>
  </w:p>
  <w:p w:rsidRPr="00AA1402" w:rsidR="00CA3D1C" w:rsidP="000A2525" w:rsidRDefault="4ED06594" w14:paraId="1B29C1B2" w14:textId="77777777">
    <w:pPr>
      <w:pStyle w:val="Header"/>
      <w:spacing w:before="0" w:after="0" w:line="259" w:lineRule="auto"/>
      <w:rPr>
        <w:rFonts w:cs="Arial"/>
        <w:caps/>
      </w:rPr>
    </w:pPr>
    <w:r>
      <w:rPr>
        <w:rFonts w:cs="Arial"/>
      </w:rPr>
      <w:t>32-33 All-Source RFP</w:t>
    </w:r>
  </w:p>
  <w:p w:rsidRPr="00AA1402" w:rsidR="00CA3D1C" w:rsidP="4ED06594" w:rsidRDefault="00CA3D1C" w14:paraId="2BF88FB9" w14:textId="77777777">
    <w:pPr>
      <w:pStyle w:val="Header"/>
      <w:spacing w:before="0" w:after="0" w:line="259" w:lineRule="auto"/>
      <w:rPr>
        <w:rFonts w:cs="Arial"/>
        <w:bCs/>
        <w:iCs/>
        <w:caps/>
      </w:rPr>
    </w:pPr>
    <w:r>
      <w:rPr>
        <w:rFonts w:cs="Arial"/>
        <w:bCs/>
        <w:iCs/>
      </w:rPr>
      <w:t>Pro Forma PPA (Combustion Turbine)</w:t>
    </w:r>
  </w:p>
  <w:p w:rsidR="00D96326" w:rsidP="007B0D3E" w:rsidRDefault="008C33AE" w14:paraId="79AE7FAD" w14:textId="54940796">
    <w:pPr>
      <w:keepLines/>
      <w:tabs>
        <w:tab w:val="center" w:pos="4320"/>
        <w:tab w:val="left" w:pos="8360"/>
      </w:tabs>
      <w:spacing w:before="0" w:after="0"/>
      <w:jc w:val="right"/>
      <w:rPr>
        <w:b/>
        <w:i/>
        <w:color w:val="FF0000"/>
      </w:rPr>
    </w:pPr>
    <w:r>
      <w:rPr>
        <w:b/>
        <w:i/>
        <w:color w:val="FF0000"/>
      </w:rPr>
      <w:t>Filing Draft</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A1402" w:rsidR="00CA3D1C" w:rsidP="00CA3D1C" w:rsidRDefault="00CA3D1C" w14:paraId="5A657FAA" w14:textId="77777777">
    <w:pPr>
      <w:pStyle w:val="Header"/>
      <w:spacing w:before="0" w:after="0"/>
      <w:rPr>
        <w:rFonts w:cs="Arial"/>
        <w:bCs/>
        <w:iCs/>
      </w:rPr>
    </w:pPr>
  </w:p>
  <w:p w:rsidRPr="00AA1402" w:rsidR="00CA3D1C" w:rsidP="000A2525" w:rsidRDefault="4ED06594" w14:paraId="02DF7879" w14:textId="77777777">
    <w:pPr>
      <w:pStyle w:val="Header"/>
      <w:spacing w:before="0" w:after="0" w:line="259" w:lineRule="auto"/>
      <w:rPr>
        <w:rFonts w:cs="Arial"/>
        <w:caps/>
      </w:rPr>
    </w:pPr>
    <w:r>
      <w:rPr>
        <w:rFonts w:cs="Arial"/>
      </w:rPr>
      <w:t>32-33 All-Source RFP</w:t>
    </w:r>
  </w:p>
  <w:p w:rsidRPr="00AA1402" w:rsidR="00CA3D1C" w:rsidP="4ED06594" w:rsidRDefault="00CA3D1C" w14:paraId="521D7A05" w14:textId="77777777">
    <w:pPr>
      <w:pStyle w:val="Header"/>
      <w:spacing w:before="0" w:after="0" w:line="259" w:lineRule="auto"/>
      <w:rPr>
        <w:rFonts w:cs="Arial"/>
        <w:bCs/>
        <w:iCs/>
        <w:caps/>
      </w:rPr>
    </w:pPr>
    <w:r>
      <w:rPr>
        <w:rFonts w:cs="Arial"/>
        <w:bCs/>
        <w:iCs/>
      </w:rPr>
      <w:t>Pro Forma PPA (Combustion Turbine)</w:t>
    </w:r>
  </w:p>
  <w:p w:rsidR="003F68E0" w:rsidP="007B0D3E" w:rsidRDefault="008C33AE" w14:paraId="321DF667" w14:textId="6184BED3">
    <w:pPr>
      <w:keepLines/>
      <w:tabs>
        <w:tab w:val="center" w:pos="4320"/>
        <w:tab w:val="left" w:pos="8360"/>
      </w:tabs>
      <w:spacing w:before="0" w:after="0"/>
      <w:jc w:val="right"/>
      <w:rPr>
        <w:b/>
        <w:i/>
        <w:color w:val="FF0000"/>
      </w:rPr>
    </w:pPr>
    <w:r>
      <w:rPr>
        <w:b/>
        <w:i/>
        <w:color w:val="FF0000"/>
      </w:rPr>
      <w:t>Filing Draft</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A1402" w:rsidR="00CA3D1C" w:rsidP="00CA3D1C" w:rsidRDefault="00CA3D1C" w14:paraId="38C3791F" w14:textId="77777777">
    <w:pPr>
      <w:pStyle w:val="Header"/>
      <w:spacing w:before="0" w:after="0"/>
      <w:rPr>
        <w:rFonts w:cs="Arial"/>
        <w:bCs/>
        <w:iCs/>
      </w:rPr>
    </w:pPr>
  </w:p>
  <w:p w:rsidRPr="00AA1402" w:rsidR="00CA3D1C" w:rsidP="000A2525" w:rsidRDefault="4ED06594" w14:paraId="3E0A6963" w14:textId="77777777">
    <w:pPr>
      <w:pStyle w:val="Header"/>
      <w:spacing w:before="0" w:after="0" w:line="259" w:lineRule="auto"/>
      <w:rPr>
        <w:rFonts w:cs="Arial"/>
        <w:caps/>
      </w:rPr>
    </w:pPr>
    <w:r>
      <w:rPr>
        <w:rFonts w:cs="Arial"/>
      </w:rPr>
      <w:t>32-33 All-Source RFP</w:t>
    </w:r>
  </w:p>
  <w:p w:rsidRPr="00AA1402" w:rsidR="00CA3D1C" w:rsidP="4ED06594" w:rsidRDefault="00CA3D1C" w14:paraId="3079CD9D" w14:textId="77777777">
    <w:pPr>
      <w:pStyle w:val="Header"/>
      <w:spacing w:before="0" w:after="0" w:line="259" w:lineRule="auto"/>
      <w:rPr>
        <w:rFonts w:cs="Arial"/>
        <w:bCs/>
        <w:iCs/>
        <w:caps/>
      </w:rPr>
    </w:pPr>
    <w:r>
      <w:rPr>
        <w:rFonts w:cs="Arial"/>
        <w:bCs/>
        <w:iCs/>
      </w:rPr>
      <w:t>Pro Forma PPA (Combustion Turbine)</w:t>
    </w:r>
  </w:p>
  <w:p w:rsidR="00D96326" w:rsidP="007B0D3E" w:rsidRDefault="008C33AE" w14:paraId="4BD1C0EC" w14:textId="1BC3E3B3">
    <w:pPr>
      <w:keepLines/>
      <w:tabs>
        <w:tab w:val="center" w:pos="4320"/>
        <w:tab w:val="left" w:pos="8360"/>
      </w:tabs>
      <w:spacing w:before="0" w:after="0"/>
      <w:jc w:val="right"/>
      <w:rPr>
        <w:b/>
        <w:i/>
        <w:color w:val="FF0000"/>
      </w:rPr>
    </w:pPr>
    <w:r>
      <w:rPr>
        <w:b/>
        <w:i/>
        <w:color w:val="FF0000"/>
      </w:rPr>
      <w:t>Filing Draft</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C1967" w:rsidRDefault="00CC1967" w14:paraId="4B08F1A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A1402" w:rsidR="00CA3D1C" w:rsidP="00CA3D1C" w:rsidRDefault="00CA3D1C" w14:paraId="1152CBE7" w14:textId="5F881756">
    <w:pPr>
      <w:pStyle w:val="Header"/>
      <w:spacing w:before="0" w:after="0"/>
      <w:rPr>
        <w:rFonts w:cs="Arial"/>
        <w:bCs/>
        <w:iCs/>
      </w:rPr>
    </w:pPr>
    <w:bookmarkStart w:name="_Hlk147396789" w:id="0"/>
    <w:bookmarkStart w:name="_Hlk143275271" w:id="1"/>
    <w:bookmarkStart w:name="_Hlk143275272" w:id="2"/>
    <w:bookmarkStart w:name="_Hlk143275273" w:id="3"/>
    <w:bookmarkStart w:name="_Hlk143275274" w:id="4"/>
    <w:bookmarkStart w:name="_Hlk143275275" w:id="5"/>
    <w:bookmarkStart w:name="_Hlk143275276" w:id="6"/>
    <w:bookmarkStart w:name="_Hlk143275277" w:id="7"/>
    <w:bookmarkStart w:name="_Hlk143275278" w:id="8"/>
    <w:bookmarkStart w:name="_Hlk143275279" w:id="9"/>
    <w:bookmarkStart w:name="_Hlk143275280" w:id="10"/>
    <w:bookmarkStart w:name="_Hlk143275281" w:id="11"/>
    <w:bookmarkStart w:name="_Hlk143275282" w:id="12"/>
    <w:bookmarkStart w:name="_Hlk143275283" w:id="13"/>
    <w:bookmarkStart w:name="_Hlk143275284" w:id="14"/>
    <w:bookmarkStart w:name="_Hlk143275285" w:id="15"/>
    <w:bookmarkStart w:name="_Hlk143275286" w:id="16"/>
    <w:bookmarkStart w:name="_Hlk141664438" w:id="17"/>
  </w:p>
  <w:p w:rsidRPr="00AA1402" w:rsidR="00CA3D1C" w:rsidP="000A2525" w:rsidRDefault="4ED06594" w14:paraId="1CFF350E" w14:textId="5DEEE5D6">
    <w:pPr>
      <w:pStyle w:val="Header"/>
      <w:spacing w:before="0" w:after="0" w:line="259" w:lineRule="auto"/>
      <w:rPr>
        <w:rFonts w:cs="Arial"/>
        <w:caps/>
      </w:rPr>
    </w:pPr>
    <w:r>
      <w:rPr>
        <w:rFonts w:cs="Arial"/>
      </w:rPr>
      <w:t>32-33 All-Source RFP</w:t>
    </w:r>
  </w:p>
  <w:p w:rsidRPr="00AA1402" w:rsidR="00CA3D1C" w:rsidP="4ED06594" w:rsidRDefault="00CA3D1C" w14:paraId="30651710" w14:textId="7ECED663">
    <w:pPr>
      <w:pStyle w:val="Header"/>
      <w:spacing w:before="0" w:after="0" w:line="259" w:lineRule="auto"/>
      <w:rPr>
        <w:rFonts w:cs="Arial"/>
        <w:bCs/>
        <w:iCs/>
        <w:caps/>
      </w:rPr>
    </w:pPr>
    <w:r>
      <w:rPr>
        <w:rFonts w:cs="Arial"/>
        <w:bCs/>
        <w:iCs/>
      </w:rPr>
      <w:t>Pro Forma PPA (Combustion Turbine)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rsidR="002C5218" w:rsidP="3E7D8789" w:rsidRDefault="00BD2407" w14:paraId="08CAC984" w14:textId="521B0279">
    <w:pPr>
      <w:keepLines/>
      <w:tabs>
        <w:tab w:val="center" w:pos="4320"/>
        <w:tab w:val="left" w:pos="8360"/>
      </w:tabs>
      <w:spacing w:before="0" w:after="0"/>
      <w:jc w:val="right"/>
      <w:rPr>
        <w:b/>
        <w:bCs/>
        <w:i/>
        <w:iCs/>
        <w:color w:val="FF0000"/>
      </w:rPr>
    </w:pPr>
    <w:r>
      <w:rPr>
        <w:b/>
        <w:bCs/>
        <w:i/>
        <w:iCs/>
        <w:color w:val="FF0000"/>
      </w:rPr>
      <w:t>Filing Draft</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A1402" w:rsidR="00CA3D1C" w:rsidP="00CA3D1C" w:rsidRDefault="00CA3D1C" w14:paraId="7ACD44AF" w14:textId="77777777">
    <w:pPr>
      <w:pStyle w:val="Header"/>
      <w:spacing w:before="0" w:after="0"/>
      <w:rPr>
        <w:rFonts w:cs="Arial"/>
        <w:bCs/>
        <w:iCs/>
      </w:rPr>
    </w:pPr>
  </w:p>
  <w:p w:rsidRPr="00AA1402" w:rsidR="00CA3D1C" w:rsidP="000A2525" w:rsidRDefault="4ED06594" w14:paraId="2FD0F665" w14:textId="77777777">
    <w:pPr>
      <w:pStyle w:val="Header"/>
      <w:spacing w:before="0" w:after="0" w:line="259" w:lineRule="auto"/>
      <w:rPr>
        <w:rFonts w:cs="Arial"/>
        <w:caps/>
      </w:rPr>
    </w:pPr>
    <w:r>
      <w:rPr>
        <w:rFonts w:cs="Arial"/>
      </w:rPr>
      <w:t>32-33 All-Source RFP</w:t>
    </w:r>
  </w:p>
  <w:p w:rsidRPr="00AA1402" w:rsidR="00CA3D1C" w:rsidP="4ED06594" w:rsidRDefault="00CA3D1C" w14:paraId="7E894E3D" w14:textId="77777777">
    <w:pPr>
      <w:pStyle w:val="Header"/>
      <w:spacing w:before="0" w:after="0" w:line="259" w:lineRule="auto"/>
      <w:rPr>
        <w:rFonts w:cs="Arial"/>
        <w:bCs/>
        <w:iCs/>
        <w:caps/>
      </w:rPr>
    </w:pPr>
    <w:r>
      <w:rPr>
        <w:rFonts w:cs="Arial"/>
        <w:bCs/>
        <w:iCs/>
      </w:rPr>
      <w:t>Pro Forma PPA (Combustion Turbine)</w:t>
    </w:r>
  </w:p>
  <w:p w:rsidR="00D96326" w:rsidP="007B0D3E" w:rsidRDefault="008C33AE" w14:paraId="748B7A49" w14:textId="06080062">
    <w:pPr>
      <w:keepLines/>
      <w:tabs>
        <w:tab w:val="center" w:pos="4320"/>
        <w:tab w:val="left" w:pos="8360"/>
      </w:tabs>
      <w:spacing w:before="0" w:after="0"/>
      <w:jc w:val="right"/>
      <w:rPr>
        <w:b/>
        <w:i/>
        <w:color w:val="FF0000"/>
      </w:rPr>
    </w:pPr>
    <w:r>
      <w:rPr>
        <w:b/>
        <w:i/>
        <w:color w:val="FF0000"/>
      </w:rPr>
      <w:t>Filing Draft</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A1402" w:rsidR="00CA3D1C" w:rsidP="00CA3D1C" w:rsidRDefault="00CA3D1C" w14:paraId="5E5837CA" w14:textId="77777777">
    <w:pPr>
      <w:pStyle w:val="Header"/>
      <w:spacing w:before="0" w:after="0"/>
      <w:rPr>
        <w:rFonts w:cs="Arial"/>
        <w:bCs/>
        <w:iCs/>
      </w:rPr>
    </w:pPr>
  </w:p>
  <w:p w:rsidRPr="00AA1402" w:rsidR="00CA3D1C" w:rsidP="000A2525" w:rsidRDefault="4ED06594" w14:paraId="79612310" w14:textId="77777777">
    <w:pPr>
      <w:pStyle w:val="Header"/>
      <w:spacing w:before="0" w:after="0" w:line="259" w:lineRule="auto"/>
      <w:rPr>
        <w:rFonts w:cs="Arial"/>
        <w:caps/>
      </w:rPr>
    </w:pPr>
    <w:r>
      <w:rPr>
        <w:rFonts w:cs="Arial"/>
      </w:rPr>
      <w:t>32-33 All-Source RFP</w:t>
    </w:r>
  </w:p>
  <w:p w:rsidRPr="00AA1402" w:rsidR="00CA3D1C" w:rsidP="4ED06594" w:rsidRDefault="00CA3D1C" w14:paraId="1E8B0A96" w14:textId="77777777">
    <w:pPr>
      <w:pStyle w:val="Header"/>
      <w:spacing w:before="0" w:after="0" w:line="259" w:lineRule="auto"/>
      <w:rPr>
        <w:rFonts w:cs="Arial"/>
        <w:bCs/>
        <w:iCs/>
        <w:caps/>
      </w:rPr>
    </w:pPr>
    <w:r>
      <w:rPr>
        <w:rFonts w:cs="Arial"/>
        <w:bCs/>
        <w:iCs/>
      </w:rPr>
      <w:t>Pro Forma PPA (Combustion Turbine)</w:t>
    </w:r>
  </w:p>
  <w:p w:rsidR="00D96326" w:rsidP="007B0D3E" w:rsidRDefault="003B6531" w14:paraId="5721D403" w14:textId="77777777">
    <w:pPr>
      <w:keepLines/>
      <w:tabs>
        <w:tab w:val="center" w:pos="4320"/>
        <w:tab w:val="left" w:pos="8360"/>
      </w:tabs>
      <w:spacing w:before="0" w:after="0"/>
      <w:jc w:val="right"/>
      <w:rPr>
        <w:b/>
        <w:i/>
        <w:color w:val="FF0000"/>
      </w:rPr>
    </w:pPr>
    <w:r>
      <w:rPr>
        <w:b/>
        <w:i/>
        <w:color w:val="FF0000"/>
      </w:rPr>
      <w:t>Comment Period Draft</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A1402" w:rsidR="00CA3D1C" w:rsidP="00CA3D1C" w:rsidRDefault="00CA3D1C" w14:paraId="01BCA0BD" w14:textId="77777777">
    <w:pPr>
      <w:pStyle w:val="Header"/>
      <w:spacing w:before="0" w:after="0"/>
      <w:rPr>
        <w:rFonts w:cs="Arial"/>
        <w:bCs/>
        <w:iCs/>
      </w:rPr>
    </w:pPr>
  </w:p>
  <w:p w:rsidRPr="00AA1402" w:rsidR="00CA3D1C" w:rsidP="000A2525" w:rsidRDefault="4ED06594" w14:paraId="3C6F13DB" w14:textId="77777777">
    <w:pPr>
      <w:pStyle w:val="Header"/>
      <w:spacing w:before="0" w:after="0" w:line="259" w:lineRule="auto"/>
      <w:rPr>
        <w:rFonts w:cs="Arial"/>
        <w:caps/>
      </w:rPr>
    </w:pPr>
    <w:r>
      <w:rPr>
        <w:rFonts w:cs="Arial"/>
      </w:rPr>
      <w:t>32-33 All-Source RFP</w:t>
    </w:r>
  </w:p>
  <w:p w:rsidRPr="00AA1402" w:rsidR="00CA3D1C" w:rsidP="4ED06594" w:rsidRDefault="00CA3D1C" w14:paraId="0C597DF3" w14:textId="77777777">
    <w:pPr>
      <w:pStyle w:val="Header"/>
      <w:spacing w:before="0" w:after="0" w:line="259" w:lineRule="auto"/>
      <w:rPr>
        <w:rFonts w:cs="Arial"/>
        <w:bCs/>
        <w:iCs/>
        <w:caps/>
      </w:rPr>
    </w:pPr>
    <w:r>
      <w:rPr>
        <w:rFonts w:cs="Arial"/>
        <w:bCs/>
        <w:iCs/>
      </w:rPr>
      <w:t>Pro Forma PPA (Combustion Turbine)</w:t>
    </w:r>
  </w:p>
  <w:p w:rsidR="00D96326" w:rsidP="007B0D3E" w:rsidRDefault="008C33AE" w14:paraId="60417F09" w14:textId="712CDBB1">
    <w:pPr>
      <w:keepLines/>
      <w:tabs>
        <w:tab w:val="center" w:pos="4320"/>
        <w:tab w:val="left" w:pos="8360"/>
      </w:tabs>
      <w:spacing w:before="0" w:after="0"/>
      <w:jc w:val="right"/>
      <w:rPr>
        <w:b/>
        <w:i/>
        <w:color w:val="FF0000"/>
      </w:rPr>
    </w:pPr>
    <w:r>
      <w:rPr>
        <w:b/>
        <w:i/>
        <w:color w:val="FF0000"/>
      </w:rPr>
      <w:t>Filing Draft</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A1402" w:rsidR="00CA3D1C" w:rsidP="00CA3D1C" w:rsidRDefault="00CA3D1C" w14:paraId="0E173729" w14:textId="77777777">
    <w:pPr>
      <w:pStyle w:val="Header"/>
      <w:spacing w:before="0" w:after="0"/>
      <w:rPr>
        <w:rFonts w:cs="Arial"/>
        <w:bCs/>
        <w:iCs/>
      </w:rPr>
    </w:pPr>
  </w:p>
  <w:p w:rsidRPr="00AA1402" w:rsidR="00CA3D1C" w:rsidP="000A2525" w:rsidRDefault="4ED06594" w14:paraId="2BABE6A1" w14:textId="77777777">
    <w:pPr>
      <w:pStyle w:val="Header"/>
      <w:spacing w:before="0" w:after="0" w:line="259" w:lineRule="auto"/>
      <w:rPr>
        <w:rFonts w:cs="Arial"/>
        <w:caps/>
      </w:rPr>
    </w:pPr>
    <w:r>
      <w:rPr>
        <w:rFonts w:cs="Arial"/>
      </w:rPr>
      <w:t>32-33 All-Source RFP</w:t>
    </w:r>
  </w:p>
  <w:p w:rsidRPr="00AA1402" w:rsidR="00CA3D1C" w:rsidP="4ED06594" w:rsidRDefault="00CA3D1C" w14:paraId="7CBB73F2" w14:textId="77777777">
    <w:pPr>
      <w:pStyle w:val="Header"/>
      <w:spacing w:before="0" w:after="0" w:line="259" w:lineRule="auto"/>
      <w:rPr>
        <w:rFonts w:cs="Arial"/>
        <w:bCs/>
        <w:iCs/>
        <w:caps/>
      </w:rPr>
    </w:pPr>
    <w:r>
      <w:rPr>
        <w:rFonts w:cs="Arial"/>
        <w:bCs/>
        <w:iCs/>
      </w:rPr>
      <w:t>Pro Forma PPA (Combustion Turbine)</w:t>
    </w:r>
  </w:p>
  <w:p w:rsidR="00D96326" w:rsidP="007B0D3E" w:rsidRDefault="008C33AE" w14:paraId="3E5BF35D" w14:textId="6E3C8F28">
    <w:pPr>
      <w:keepLines/>
      <w:tabs>
        <w:tab w:val="center" w:pos="4320"/>
        <w:tab w:val="left" w:pos="8360"/>
      </w:tabs>
      <w:spacing w:before="0" w:after="0"/>
      <w:jc w:val="right"/>
      <w:rPr>
        <w:b/>
        <w:i/>
        <w:color w:val="FF0000"/>
      </w:rPr>
    </w:pPr>
    <w:r>
      <w:rPr>
        <w:b/>
        <w:i/>
        <w:color w:val="FF0000"/>
      </w:rPr>
      <w:t>Filing Draft</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96326" w:rsidRDefault="00D96326" w14:paraId="05CC0C65" w14:textId="77777777">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A1402" w:rsidR="00CA3D1C" w:rsidP="00CA3D1C" w:rsidRDefault="00CA3D1C" w14:paraId="77637BD2" w14:textId="77777777">
    <w:pPr>
      <w:pStyle w:val="Header"/>
      <w:spacing w:before="0" w:after="0"/>
      <w:rPr>
        <w:rFonts w:cs="Arial"/>
        <w:bCs/>
        <w:iCs/>
      </w:rPr>
    </w:pPr>
  </w:p>
  <w:p w:rsidRPr="00AA1402" w:rsidR="00CA3D1C" w:rsidP="000A2525" w:rsidRDefault="4ED06594" w14:paraId="3E921343" w14:textId="77777777">
    <w:pPr>
      <w:pStyle w:val="Header"/>
      <w:spacing w:before="0" w:after="0" w:line="259" w:lineRule="auto"/>
      <w:rPr>
        <w:rFonts w:cs="Arial"/>
        <w:caps/>
      </w:rPr>
    </w:pPr>
    <w:r>
      <w:rPr>
        <w:rFonts w:cs="Arial"/>
      </w:rPr>
      <w:t>32-33 All-Source RFP</w:t>
    </w:r>
  </w:p>
  <w:p w:rsidRPr="00AA1402" w:rsidR="00CA3D1C" w:rsidP="4ED06594" w:rsidRDefault="00CA3D1C" w14:paraId="04F9C171" w14:textId="77777777">
    <w:pPr>
      <w:pStyle w:val="Header"/>
      <w:spacing w:before="0" w:after="0" w:line="259" w:lineRule="auto"/>
      <w:rPr>
        <w:rFonts w:cs="Arial"/>
        <w:bCs/>
        <w:iCs/>
        <w:caps/>
      </w:rPr>
    </w:pPr>
    <w:r>
      <w:rPr>
        <w:rFonts w:cs="Arial"/>
        <w:bCs/>
        <w:iCs/>
      </w:rPr>
      <w:t>Pro Forma PPA (Combustion Turbine)</w:t>
    </w:r>
  </w:p>
  <w:p w:rsidR="00D96326" w:rsidP="007B0D3E" w:rsidRDefault="008C33AE" w14:paraId="7C7EC631" w14:textId="6CF07762">
    <w:pPr>
      <w:keepLines/>
      <w:tabs>
        <w:tab w:val="center" w:pos="4320"/>
        <w:tab w:val="left" w:pos="8360"/>
      </w:tabs>
      <w:spacing w:before="0" w:after="0"/>
      <w:jc w:val="right"/>
      <w:rPr>
        <w:b/>
        <w:i/>
        <w:color w:val="FF0000"/>
      </w:rPr>
    </w:pPr>
    <w:r>
      <w:rPr>
        <w:b/>
        <w:i/>
        <w:color w:val="FF0000"/>
      </w:rPr>
      <w:t>Filing Draft</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A1402" w:rsidR="00CA3D1C" w:rsidP="00CA3D1C" w:rsidRDefault="00CA3D1C" w14:paraId="10012B38" w14:textId="77777777">
    <w:pPr>
      <w:pStyle w:val="Header"/>
      <w:spacing w:before="0" w:after="0"/>
      <w:rPr>
        <w:rFonts w:cs="Arial"/>
        <w:bCs/>
        <w:iCs/>
      </w:rPr>
    </w:pPr>
  </w:p>
  <w:p w:rsidRPr="00AA1402" w:rsidR="00CA3D1C" w:rsidP="000A2525" w:rsidRDefault="4ED06594" w14:paraId="17E3B626" w14:textId="77777777">
    <w:pPr>
      <w:pStyle w:val="Header"/>
      <w:spacing w:before="0" w:after="0" w:line="259" w:lineRule="auto"/>
      <w:rPr>
        <w:rFonts w:cs="Arial"/>
        <w:caps/>
      </w:rPr>
    </w:pPr>
    <w:r>
      <w:rPr>
        <w:rFonts w:cs="Arial"/>
      </w:rPr>
      <w:t>32-33 All-Source RFP</w:t>
    </w:r>
  </w:p>
  <w:p w:rsidRPr="00AA1402" w:rsidR="00CA3D1C" w:rsidP="4ED06594" w:rsidRDefault="00CA3D1C" w14:paraId="15CF8921" w14:textId="77777777">
    <w:pPr>
      <w:pStyle w:val="Header"/>
      <w:spacing w:before="0" w:after="0" w:line="259" w:lineRule="auto"/>
      <w:rPr>
        <w:rFonts w:cs="Arial"/>
        <w:bCs/>
        <w:iCs/>
        <w:caps/>
      </w:rPr>
    </w:pPr>
    <w:r>
      <w:rPr>
        <w:rFonts w:cs="Arial"/>
        <w:bCs/>
        <w:iCs/>
      </w:rPr>
      <w:t>Pro Forma PPA (Combustion Turbine)</w:t>
    </w:r>
  </w:p>
  <w:p w:rsidR="00D96326" w:rsidP="007B0D3E" w:rsidRDefault="003B6531" w14:paraId="55CC68BD" w14:textId="77777777">
    <w:pPr>
      <w:keepLines/>
      <w:tabs>
        <w:tab w:val="center" w:pos="4320"/>
        <w:tab w:val="left" w:pos="8360"/>
      </w:tabs>
      <w:spacing w:before="0" w:after="0"/>
      <w:jc w:val="right"/>
      <w:rPr>
        <w:b/>
        <w:i/>
        <w:color w:val="FF0000"/>
      </w:rPr>
    </w:pPr>
    <w:r>
      <w:rPr>
        <w:b/>
        <w:i/>
        <w:color w:val="FF0000"/>
      </w:rPr>
      <w:t>Comment Period Draft</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A1402" w:rsidR="00CA3D1C" w:rsidP="00CA3D1C" w:rsidRDefault="00CA3D1C" w14:paraId="70C9ED8A" w14:textId="77777777">
    <w:pPr>
      <w:pStyle w:val="Header"/>
      <w:spacing w:before="0" w:after="0"/>
      <w:rPr>
        <w:rFonts w:cs="Arial"/>
        <w:bCs/>
        <w:iCs/>
      </w:rPr>
    </w:pPr>
  </w:p>
  <w:p w:rsidRPr="00AA1402" w:rsidR="00CA3D1C" w:rsidP="000A2525" w:rsidRDefault="4ED06594" w14:paraId="0DAAC47E" w14:textId="77777777">
    <w:pPr>
      <w:pStyle w:val="Header"/>
      <w:spacing w:before="0" w:after="0" w:line="259" w:lineRule="auto"/>
      <w:rPr>
        <w:rFonts w:cs="Arial"/>
        <w:caps/>
      </w:rPr>
    </w:pPr>
    <w:r>
      <w:rPr>
        <w:rFonts w:cs="Arial"/>
      </w:rPr>
      <w:t>32-33 All-Source RFP</w:t>
    </w:r>
  </w:p>
  <w:p w:rsidRPr="00AA1402" w:rsidR="00CA3D1C" w:rsidP="4ED06594" w:rsidRDefault="00CA3D1C" w14:paraId="6B40C4E7" w14:textId="77777777">
    <w:pPr>
      <w:pStyle w:val="Header"/>
      <w:spacing w:before="0" w:after="0" w:line="259" w:lineRule="auto"/>
      <w:rPr>
        <w:rFonts w:cs="Arial"/>
        <w:bCs/>
        <w:iCs/>
        <w:caps/>
      </w:rPr>
    </w:pPr>
    <w:r>
      <w:rPr>
        <w:rFonts w:cs="Arial"/>
        <w:bCs/>
        <w:iCs/>
      </w:rPr>
      <w:t>Pro Forma PPA (Combustion Turbine)</w:t>
    </w:r>
  </w:p>
  <w:p w:rsidR="00D96326" w:rsidP="007B0D3E" w:rsidRDefault="008C33AE" w14:paraId="2ECEB56D" w14:textId="21BA3B9C">
    <w:pPr>
      <w:keepLines/>
      <w:tabs>
        <w:tab w:val="center" w:pos="4320"/>
        <w:tab w:val="left" w:pos="8360"/>
      </w:tabs>
      <w:spacing w:before="0" w:after="0"/>
      <w:jc w:val="right"/>
      <w:rPr>
        <w:b/>
        <w:i/>
        <w:color w:val="FF0000"/>
      </w:rPr>
    </w:pPr>
    <w:r>
      <w:rPr>
        <w:b/>
        <w:i/>
        <w:color w:val="FF0000"/>
      </w:rPr>
      <w:t>Filing Draft</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02472" w:rsidRDefault="00702472" w14:paraId="1A839216" w14:textId="77777777">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A1402" w:rsidR="00CA3D1C" w:rsidP="00CA3D1C" w:rsidRDefault="00CA3D1C" w14:paraId="05848398" w14:textId="77777777">
    <w:pPr>
      <w:pStyle w:val="Header"/>
      <w:spacing w:before="0" w:after="0"/>
      <w:rPr>
        <w:rFonts w:cs="Arial"/>
        <w:bCs/>
        <w:iCs/>
      </w:rPr>
    </w:pPr>
  </w:p>
  <w:p w:rsidRPr="00AA1402" w:rsidR="00CA3D1C" w:rsidP="000A2525" w:rsidRDefault="4ED06594" w14:paraId="47B9222E" w14:textId="77777777">
    <w:pPr>
      <w:pStyle w:val="Header"/>
      <w:spacing w:before="0" w:after="0" w:line="259" w:lineRule="auto"/>
      <w:rPr>
        <w:rFonts w:cs="Arial"/>
        <w:caps/>
      </w:rPr>
    </w:pPr>
    <w:r>
      <w:rPr>
        <w:rFonts w:cs="Arial"/>
      </w:rPr>
      <w:t>32-33 All-Source RFP</w:t>
    </w:r>
  </w:p>
  <w:p w:rsidRPr="00AA1402" w:rsidR="00CA3D1C" w:rsidP="4ED06594" w:rsidRDefault="00CA3D1C" w14:paraId="24610EE3" w14:textId="77777777">
    <w:pPr>
      <w:pStyle w:val="Header"/>
      <w:spacing w:before="0" w:after="0" w:line="259" w:lineRule="auto"/>
      <w:rPr>
        <w:rFonts w:cs="Arial"/>
        <w:bCs/>
        <w:iCs/>
        <w:caps/>
      </w:rPr>
    </w:pPr>
    <w:r>
      <w:rPr>
        <w:rFonts w:cs="Arial"/>
        <w:bCs/>
        <w:iCs/>
      </w:rPr>
      <w:t>Pro Forma PPA (Combustion Turbine)</w:t>
    </w:r>
  </w:p>
  <w:p w:rsidR="00D96326" w:rsidP="007B0D3E" w:rsidRDefault="008C33AE" w14:paraId="3A84DB94" w14:textId="04FA1851">
    <w:pPr>
      <w:keepLines/>
      <w:tabs>
        <w:tab w:val="center" w:pos="4320"/>
        <w:tab w:val="left" w:pos="8360"/>
      </w:tabs>
      <w:spacing w:before="0" w:after="0"/>
      <w:jc w:val="right"/>
      <w:rPr>
        <w:b/>
        <w:i/>
        <w:color w:val="FF0000"/>
      </w:rPr>
    </w:pPr>
    <w:r>
      <w:rPr>
        <w:b/>
        <w:i/>
        <w:color w:val="FF0000"/>
      </w:rPr>
      <w:t>Filing Draft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A1402" w:rsidR="00CA3D1C" w:rsidP="00CA3D1C" w:rsidRDefault="00CA3D1C" w14:paraId="2DCB298A" w14:textId="77777777">
    <w:pPr>
      <w:pStyle w:val="Header"/>
      <w:spacing w:before="0" w:after="0"/>
      <w:rPr>
        <w:rFonts w:cs="Arial"/>
        <w:bCs/>
        <w:iCs/>
      </w:rPr>
    </w:pPr>
  </w:p>
  <w:p w:rsidRPr="00AA1402" w:rsidR="00CA3D1C" w:rsidP="000A2525" w:rsidRDefault="4ED06594" w14:paraId="66055751" w14:textId="77777777">
    <w:pPr>
      <w:pStyle w:val="Header"/>
      <w:spacing w:before="0" w:after="0" w:line="259" w:lineRule="auto"/>
      <w:rPr>
        <w:rFonts w:cs="Arial"/>
        <w:caps/>
      </w:rPr>
    </w:pPr>
    <w:r>
      <w:rPr>
        <w:rFonts w:cs="Arial"/>
      </w:rPr>
      <w:t>32-33 All-Source RFP</w:t>
    </w:r>
  </w:p>
  <w:p w:rsidRPr="00AA1402" w:rsidR="00CA3D1C" w:rsidP="4ED06594" w:rsidRDefault="00CA3D1C" w14:paraId="75F3A380" w14:textId="77777777">
    <w:pPr>
      <w:pStyle w:val="Header"/>
      <w:spacing w:before="0" w:after="0" w:line="259" w:lineRule="auto"/>
      <w:rPr>
        <w:rFonts w:cs="Arial"/>
        <w:bCs/>
        <w:iCs/>
        <w:caps/>
      </w:rPr>
    </w:pPr>
    <w:r>
      <w:rPr>
        <w:rFonts w:cs="Arial"/>
        <w:bCs/>
        <w:iCs/>
      </w:rPr>
      <w:t>Pro Forma PPA (Combustion Turbine)</w:t>
    </w:r>
  </w:p>
  <w:p w:rsidR="00D96326" w:rsidP="007B0D3E" w:rsidRDefault="003B6531" w14:paraId="1ED466FA" w14:textId="77777777">
    <w:pPr>
      <w:keepLines/>
      <w:tabs>
        <w:tab w:val="center" w:pos="4320"/>
        <w:tab w:val="left" w:pos="8360"/>
      </w:tabs>
      <w:spacing w:before="0" w:after="0"/>
      <w:jc w:val="right"/>
      <w:rPr>
        <w:b/>
        <w:i/>
        <w:color w:val="FF0000"/>
      </w:rPr>
    </w:pPr>
    <w:r>
      <w:rPr>
        <w:b/>
        <w:i/>
        <w:color w:val="FF0000"/>
      </w:rPr>
      <w:t>Comment Period Draft</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A1402" w:rsidR="00CA3D1C" w:rsidP="00CA3D1C" w:rsidRDefault="00CA3D1C" w14:paraId="12285685" w14:textId="77777777">
    <w:pPr>
      <w:pStyle w:val="Header"/>
      <w:spacing w:before="0" w:after="0"/>
      <w:rPr>
        <w:rFonts w:cs="Arial"/>
        <w:bCs/>
        <w:iCs/>
      </w:rPr>
    </w:pPr>
  </w:p>
  <w:p w:rsidRPr="00AA1402" w:rsidR="00CA3D1C" w:rsidP="000A2525" w:rsidRDefault="4ED06594" w14:paraId="308BD5E7" w14:textId="77777777">
    <w:pPr>
      <w:pStyle w:val="Header"/>
      <w:spacing w:before="0" w:after="0" w:line="259" w:lineRule="auto"/>
      <w:rPr>
        <w:rFonts w:cs="Arial"/>
        <w:caps/>
      </w:rPr>
    </w:pPr>
    <w:r>
      <w:rPr>
        <w:rFonts w:cs="Arial"/>
      </w:rPr>
      <w:t>32-33 All-Source RFP</w:t>
    </w:r>
  </w:p>
  <w:p w:rsidRPr="00AA1402" w:rsidR="00CA3D1C" w:rsidP="4ED06594" w:rsidRDefault="00CA3D1C" w14:paraId="7F99D17C" w14:textId="77777777">
    <w:pPr>
      <w:pStyle w:val="Header"/>
      <w:spacing w:before="0" w:after="0" w:line="259" w:lineRule="auto"/>
      <w:rPr>
        <w:rFonts w:cs="Arial"/>
        <w:bCs/>
        <w:iCs/>
        <w:caps/>
      </w:rPr>
    </w:pPr>
    <w:r>
      <w:rPr>
        <w:rFonts w:cs="Arial"/>
        <w:bCs/>
        <w:iCs/>
      </w:rPr>
      <w:t>Pro Forma PPA (Combustion Turbine)</w:t>
    </w:r>
  </w:p>
  <w:p w:rsidR="00D96326" w:rsidP="007B0D3E" w:rsidRDefault="003B6531" w14:paraId="4B0688B1" w14:textId="77777777">
    <w:pPr>
      <w:keepLines/>
      <w:tabs>
        <w:tab w:val="center" w:pos="4320"/>
        <w:tab w:val="left" w:pos="8360"/>
      </w:tabs>
      <w:spacing w:before="0" w:after="0"/>
      <w:jc w:val="right"/>
      <w:rPr>
        <w:b/>
        <w:i/>
        <w:color w:val="FF0000"/>
      </w:rPr>
    </w:pPr>
    <w:r>
      <w:rPr>
        <w:b/>
        <w:i/>
        <w:color w:val="FF0000"/>
      </w:rPr>
      <w:t>Comment Period Draft</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A1402" w:rsidR="005A6673" w:rsidP="005A6673" w:rsidRDefault="005A6673" w14:paraId="32500D6E" w14:textId="77777777">
    <w:pPr>
      <w:pStyle w:val="Header"/>
      <w:spacing w:before="0" w:after="0" w:line="259" w:lineRule="auto"/>
      <w:rPr>
        <w:rFonts w:cs="Arial"/>
        <w:caps/>
      </w:rPr>
    </w:pPr>
    <w:r>
      <w:rPr>
        <w:rFonts w:cs="Arial"/>
      </w:rPr>
      <w:t>32-33 All-Source RFP</w:t>
    </w:r>
  </w:p>
  <w:p w:rsidRPr="00AA1402" w:rsidR="005A6673" w:rsidP="005A6673" w:rsidRDefault="005A6673" w14:paraId="442014A5" w14:textId="77777777">
    <w:pPr>
      <w:pStyle w:val="Header"/>
      <w:spacing w:before="0" w:after="0" w:line="259" w:lineRule="auto"/>
      <w:rPr>
        <w:rFonts w:cs="Arial"/>
        <w:bCs/>
        <w:iCs/>
        <w:caps/>
      </w:rPr>
    </w:pPr>
    <w:r>
      <w:rPr>
        <w:rFonts w:cs="Arial"/>
        <w:bCs/>
        <w:iCs/>
      </w:rPr>
      <w:t>Pro Forma PPA (Combustion Turbine)</w:t>
    </w:r>
  </w:p>
  <w:p w:rsidR="00F646FB" w:rsidP="005A6673" w:rsidRDefault="008C33AE" w14:paraId="4CDC69E1" w14:textId="5B5DADED">
    <w:pPr>
      <w:spacing w:before="0" w:after="0"/>
      <w:jc w:val="right"/>
      <w:rPr>
        <w:sz w:val="24"/>
      </w:rPr>
    </w:pPr>
    <w:r>
      <w:rPr>
        <w:b/>
        <w:i/>
        <w:color w:val="FF0000"/>
      </w:rPr>
      <w:t>Filing Draft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96326" w:rsidRDefault="00D96326" w14:paraId="72E51A03"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A1402" w:rsidR="00CA3D1C" w:rsidP="00CA3D1C" w:rsidRDefault="00CA3D1C" w14:paraId="4922E836" w14:textId="77777777">
    <w:pPr>
      <w:pStyle w:val="Header"/>
      <w:spacing w:before="0" w:after="0"/>
      <w:rPr>
        <w:rFonts w:cs="Arial"/>
        <w:bCs/>
        <w:iCs/>
      </w:rPr>
    </w:pPr>
  </w:p>
  <w:p w:rsidRPr="00AA1402" w:rsidR="00CA3D1C" w:rsidP="000A2525" w:rsidRDefault="4ED06594" w14:paraId="5B334A17" w14:textId="77777777">
    <w:pPr>
      <w:pStyle w:val="Header"/>
      <w:spacing w:before="0" w:after="0" w:line="259" w:lineRule="auto"/>
      <w:rPr>
        <w:rFonts w:cs="Arial"/>
        <w:caps/>
      </w:rPr>
    </w:pPr>
    <w:r>
      <w:rPr>
        <w:rFonts w:cs="Arial"/>
      </w:rPr>
      <w:t>32-33 All-Source RFP</w:t>
    </w:r>
  </w:p>
  <w:p w:rsidRPr="00AA1402" w:rsidR="00CA3D1C" w:rsidP="4ED06594" w:rsidRDefault="00CA3D1C" w14:paraId="59AE3277" w14:textId="77777777">
    <w:pPr>
      <w:pStyle w:val="Header"/>
      <w:spacing w:before="0" w:after="0" w:line="259" w:lineRule="auto"/>
      <w:rPr>
        <w:rFonts w:cs="Arial"/>
        <w:bCs/>
        <w:iCs/>
        <w:caps/>
      </w:rPr>
    </w:pPr>
    <w:r>
      <w:rPr>
        <w:rFonts w:cs="Arial"/>
        <w:bCs/>
        <w:iCs/>
      </w:rPr>
      <w:t>Pro Forma PPA (Combustion Turbine)</w:t>
    </w:r>
  </w:p>
  <w:p w:rsidR="00D96326" w:rsidP="007B0D3E" w:rsidRDefault="006408C1" w14:paraId="0AD2DE78" w14:textId="0F364FB1">
    <w:pPr>
      <w:keepLines/>
      <w:tabs>
        <w:tab w:val="center" w:pos="4320"/>
        <w:tab w:val="left" w:pos="8360"/>
      </w:tabs>
      <w:spacing w:before="0" w:after="0"/>
      <w:jc w:val="right"/>
      <w:rPr>
        <w:b/>
        <w:i/>
        <w:color w:val="FF0000"/>
      </w:rPr>
    </w:pPr>
    <w:r>
      <w:rPr>
        <w:b/>
        <w:i/>
        <w:color w:val="FF0000"/>
      </w:rPr>
      <w:t>Filing Draft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A1402" w:rsidR="00CA3D1C" w:rsidP="00CA3D1C" w:rsidRDefault="00CA3D1C" w14:paraId="00B1B492" w14:textId="77777777">
    <w:pPr>
      <w:pStyle w:val="Header"/>
      <w:spacing w:before="0" w:after="0"/>
      <w:rPr>
        <w:rFonts w:cs="Arial"/>
        <w:bCs/>
        <w:iCs/>
      </w:rPr>
    </w:pPr>
  </w:p>
  <w:p w:rsidRPr="00AA1402" w:rsidR="00CA3D1C" w:rsidP="000A2525" w:rsidRDefault="4ED06594" w14:paraId="3C6907F3" w14:textId="77777777">
    <w:pPr>
      <w:pStyle w:val="Header"/>
      <w:spacing w:before="0" w:after="0" w:line="259" w:lineRule="auto"/>
      <w:rPr>
        <w:rFonts w:cs="Arial"/>
        <w:caps/>
      </w:rPr>
    </w:pPr>
    <w:r>
      <w:rPr>
        <w:rFonts w:cs="Arial"/>
      </w:rPr>
      <w:t>32-33 All-Source RFP</w:t>
    </w:r>
  </w:p>
  <w:p w:rsidRPr="00AA1402" w:rsidR="00CA3D1C" w:rsidP="4ED06594" w:rsidRDefault="00CA3D1C" w14:paraId="2462D6FD" w14:textId="77777777">
    <w:pPr>
      <w:pStyle w:val="Header"/>
      <w:spacing w:before="0" w:after="0" w:line="259" w:lineRule="auto"/>
      <w:rPr>
        <w:rFonts w:cs="Arial"/>
        <w:bCs/>
        <w:iCs/>
        <w:caps/>
      </w:rPr>
    </w:pPr>
    <w:r>
      <w:rPr>
        <w:rFonts w:cs="Arial"/>
        <w:bCs/>
        <w:iCs/>
      </w:rPr>
      <w:t>Pro Forma PPA (Combustion Turbine)</w:t>
    </w:r>
  </w:p>
  <w:p w:rsidR="00D96326" w:rsidP="007B0D3E" w:rsidRDefault="006408C1" w14:paraId="7EDE6174" w14:textId="4726385D">
    <w:pPr>
      <w:keepLines/>
      <w:tabs>
        <w:tab w:val="center" w:pos="4320"/>
        <w:tab w:val="left" w:pos="8360"/>
      </w:tabs>
      <w:spacing w:before="0" w:after="0"/>
      <w:jc w:val="right"/>
      <w:rPr>
        <w:b/>
        <w:i/>
        <w:color w:val="FF0000"/>
      </w:rPr>
    </w:pPr>
    <w:r>
      <w:rPr>
        <w:b/>
        <w:i/>
        <w:color w:val="FF0000"/>
      </w:rPr>
      <w:t>Filing Draft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A1402" w:rsidR="00CA3D1C" w:rsidP="00CA3D1C" w:rsidRDefault="00CA3D1C" w14:paraId="106B08CC" w14:textId="77777777">
    <w:pPr>
      <w:pStyle w:val="Header"/>
      <w:spacing w:before="0" w:after="0"/>
      <w:rPr>
        <w:rFonts w:cs="Arial"/>
        <w:bCs/>
        <w:iCs/>
      </w:rPr>
    </w:pPr>
  </w:p>
  <w:p w:rsidRPr="00AA1402" w:rsidR="00CA3D1C" w:rsidP="000A2525" w:rsidRDefault="4ED06594" w14:paraId="753D3334" w14:textId="77777777">
    <w:pPr>
      <w:pStyle w:val="Header"/>
      <w:spacing w:before="0" w:after="0" w:line="259" w:lineRule="auto"/>
      <w:rPr>
        <w:rFonts w:cs="Arial"/>
        <w:caps/>
      </w:rPr>
    </w:pPr>
    <w:r>
      <w:rPr>
        <w:rFonts w:cs="Arial"/>
      </w:rPr>
      <w:t>32-33 All-Source RFP</w:t>
    </w:r>
  </w:p>
  <w:p w:rsidRPr="00AA1402" w:rsidR="00CA3D1C" w:rsidP="4ED06594" w:rsidRDefault="00CA3D1C" w14:paraId="47E23B77" w14:textId="77777777">
    <w:pPr>
      <w:pStyle w:val="Header"/>
      <w:spacing w:before="0" w:after="0" w:line="259" w:lineRule="auto"/>
      <w:rPr>
        <w:rFonts w:cs="Arial"/>
        <w:bCs/>
        <w:iCs/>
        <w:caps/>
      </w:rPr>
    </w:pPr>
    <w:r>
      <w:rPr>
        <w:rFonts w:cs="Arial"/>
        <w:bCs/>
        <w:iCs/>
      </w:rPr>
      <w:t>Pro Forma PPA (Combustion Turbine)</w:t>
    </w:r>
  </w:p>
  <w:p w:rsidR="00D96326" w:rsidP="007B0D3E" w:rsidRDefault="00316458" w14:paraId="4D101B85" w14:textId="54708D00">
    <w:pPr>
      <w:keepLines/>
      <w:tabs>
        <w:tab w:val="center" w:pos="4320"/>
        <w:tab w:val="left" w:pos="8360"/>
      </w:tabs>
      <w:spacing w:before="0" w:after="0"/>
      <w:jc w:val="right"/>
      <w:rPr>
        <w:b/>
        <w:i/>
        <w:color w:val="FF0000"/>
      </w:rPr>
    </w:pPr>
    <w:r>
      <w:rPr>
        <w:b/>
        <w:i/>
        <w:color w:val="FF0000"/>
      </w:rPr>
      <w:t>Filing Draft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A1402" w:rsidR="00CA3D1C" w:rsidP="00CA3D1C" w:rsidRDefault="00CA3D1C" w14:paraId="6CB962F4" w14:textId="77777777">
    <w:pPr>
      <w:pStyle w:val="Header"/>
      <w:spacing w:before="0" w:after="0"/>
      <w:rPr>
        <w:rFonts w:cs="Arial"/>
        <w:bCs/>
        <w:iCs/>
      </w:rPr>
    </w:pPr>
  </w:p>
  <w:p w:rsidRPr="00AA1402" w:rsidR="00CA3D1C" w:rsidP="000A2525" w:rsidRDefault="4ED06594" w14:paraId="1F1612DE" w14:textId="77777777">
    <w:pPr>
      <w:pStyle w:val="Header"/>
      <w:spacing w:before="0" w:after="0" w:line="259" w:lineRule="auto"/>
      <w:rPr>
        <w:rFonts w:cs="Arial"/>
        <w:caps/>
      </w:rPr>
    </w:pPr>
    <w:r>
      <w:rPr>
        <w:rFonts w:cs="Arial"/>
      </w:rPr>
      <w:t>32-33 All-Source RFP</w:t>
    </w:r>
  </w:p>
  <w:p w:rsidRPr="00AA1402" w:rsidR="00CA3D1C" w:rsidP="4ED06594" w:rsidRDefault="00CA3D1C" w14:paraId="2CDE9B9A" w14:textId="77777777">
    <w:pPr>
      <w:pStyle w:val="Header"/>
      <w:spacing w:before="0" w:after="0" w:line="259" w:lineRule="auto"/>
      <w:rPr>
        <w:rFonts w:cs="Arial"/>
        <w:bCs/>
        <w:iCs/>
        <w:caps/>
      </w:rPr>
    </w:pPr>
    <w:r>
      <w:rPr>
        <w:rFonts w:cs="Arial"/>
        <w:bCs/>
        <w:iCs/>
      </w:rPr>
      <w:t>Pro Forma PPA (Combustion Turbine)</w:t>
    </w:r>
  </w:p>
  <w:p w:rsidR="00D96326" w:rsidP="007B0D3E" w:rsidRDefault="008C33AE" w14:paraId="73042B53" w14:textId="0FAF4976">
    <w:pPr>
      <w:keepLines/>
      <w:tabs>
        <w:tab w:val="center" w:pos="4320"/>
        <w:tab w:val="left" w:pos="8360"/>
      </w:tabs>
      <w:spacing w:before="0" w:after="0"/>
      <w:jc w:val="right"/>
      <w:rPr>
        <w:b/>
        <w:i/>
        <w:color w:val="FF0000"/>
      </w:rPr>
    </w:pPr>
    <w:r>
      <w:rPr>
        <w:b/>
        <w:i/>
        <w:color w:val="FF0000"/>
      </w:rPr>
      <w:t>Filing Draft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A1402" w:rsidR="00CA3D1C" w:rsidP="00CA3D1C" w:rsidRDefault="00CA3D1C" w14:paraId="583C37C3" w14:textId="77777777">
    <w:pPr>
      <w:pStyle w:val="Header"/>
      <w:spacing w:before="0" w:after="0"/>
      <w:rPr>
        <w:rFonts w:cs="Arial"/>
        <w:bCs/>
        <w:iCs/>
      </w:rPr>
    </w:pPr>
  </w:p>
  <w:p w:rsidRPr="00AA1402" w:rsidR="00CA3D1C" w:rsidP="000A2525" w:rsidRDefault="4ED06594" w14:paraId="19341EEA" w14:textId="77777777">
    <w:pPr>
      <w:pStyle w:val="Header"/>
      <w:spacing w:before="0" w:after="0" w:line="259" w:lineRule="auto"/>
      <w:rPr>
        <w:rFonts w:cs="Arial"/>
        <w:caps/>
      </w:rPr>
    </w:pPr>
    <w:r>
      <w:rPr>
        <w:rFonts w:cs="Arial"/>
      </w:rPr>
      <w:t>32-33 All-Source RFP</w:t>
    </w:r>
  </w:p>
  <w:p w:rsidRPr="00AA1402" w:rsidR="00CA3D1C" w:rsidP="4ED06594" w:rsidRDefault="00CA3D1C" w14:paraId="7F92C022" w14:textId="77777777">
    <w:pPr>
      <w:pStyle w:val="Header"/>
      <w:spacing w:before="0" w:after="0" w:line="259" w:lineRule="auto"/>
      <w:rPr>
        <w:rFonts w:cs="Arial"/>
        <w:bCs/>
        <w:iCs/>
        <w:caps/>
      </w:rPr>
    </w:pPr>
    <w:r>
      <w:rPr>
        <w:rFonts w:cs="Arial"/>
        <w:bCs/>
        <w:iCs/>
      </w:rPr>
      <w:t>Pro Forma PPA (Combustion Turbine)</w:t>
    </w:r>
  </w:p>
  <w:p w:rsidR="00D96326" w:rsidP="007B0D3E" w:rsidRDefault="008C33AE" w14:paraId="3BE1E358" w14:textId="3A50C72A">
    <w:pPr>
      <w:keepLines/>
      <w:tabs>
        <w:tab w:val="center" w:pos="4320"/>
        <w:tab w:val="left" w:pos="8360"/>
      </w:tabs>
      <w:spacing w:before="0" w:after="0"/>
      <w:jc w:val="right"/>
      <w:rPr>
        <w:b/>
        <w:i/>
        <w:color w:val="FF0000"/>
      </w:rPr>
    </w:pPr>
    <w:r>
      <w:rPr>
        <w:b/>
        <w:i/>
        <w:color w:val="FF0000"/>
      </w:rPr>
      <w:t>Filing Draft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79287A6"/>
    <w:name w:val="List Number 3"/>
    <w:lvl w:ilvl="0">
      <w:start w:val="1"/>
      <w:numFmt w:val="decimal"/>
      <w:pStyle w:val="ListNumber3"/>
      <w:lvlText w:val="%1."/>
      <w:lvlJc w:val="left"/>
      <w:pPr>
        <w:ind w:left="0" w:firstLine="1440"/>
      </w:pPr>
      <w:rPr>
        <w:rFonts w:hint="default"/>
      </w:rPr>
    </w:lvl>
  </w:abstractNum>
  <w:abstractNum w:abstractNumId="1" w15:restartNumberingAfterBreak="0">
    <w:nsid w:val="FFFFFF82"/>
    <w:multiLevelType w:val="singleLevel"/>
    <w:tmpl w:val="46F6DBAA"/>
    <w:name w:val="Heading"/>
    <w:lvl w:ilvl="0">
      <w:start w:val="1"/>
      <w:numFmt w:val="bullet"/>
      <w:pStyle w:val="ListBullet3"/>
      <w:lvlText w:val="o"/>
      <w:lvlJc w:val="left"/>
      <w:pPr>
        <w:ind w:left="1440" w:hanging="360"/>
      </w:pPr>
      <w:rPr>
        <w:rFonts w:ascii="Courier New" w:hAnsi="Courier New" w:cs="Courier New" w:hint="default"/>
      </w:rPr>
    </w:lvl>
  </w:abstractNum>
  <w:abstractNum w:abstractNumId="2" w15:restartNumberingAfterBreak="0">
    <w:nsid w:val="FFFFFF83"/>
    <w:multiLevelType w:val="singleLevel"/>
    <w:tmpl w:val="B1E08A66"/>
    <w:name w:val="List Bullet 2"/>
    <w:lvl w:ilvl="0">
      <w:start w:val="1"/>
      <w:numFmt w:val="bullet"/>
      <w:pStyle w:val="ListBullet2"/>
      <w:lvlText w:val=""/>
      <w:lvlJc w:val="left"/>
      <w:pPr>
        <w:tabs>
          <w:tab w:val="num" w:pos="1440"/>
        </w:tabs>
        <w:ind w:left="1440" w:hanging="720"/>
      </w:pPr>
      <w:rPr>
        <w:rFonts w:ascii="Symbol" w:hAnsi="Symbol" w:hint="default"/>
      </w:rPr>
    </w:lvl>
  </w:abstractNum>
  <w:abstractNum w:abstractNumId="3" w15:restartNumberingAfterBreak="0">
    <w:nsid w:val="FFFFFF89"/>
    <w:multiLevelType w:val="singleLevel"/>
    <w:tmpl w:val="B906C314"/>
    <w:name w:val="List Bullet"/>
    <w:lvl w:ilvl="0">
      <w:start w:val="1"/>
      <w:numFmt w:val="bullet"/>
      <w:pStyle w:val="ListBullet"/>
      <w:lvlText w:val=""/>
      <w:lvlJc w:val="left"/>
      <w:pPr>
        <w:tabs>
          <w:tab w:val="num" w:pos="720"/>
        </w:tabs>
        <w:ind w:left="720" w:hanging="720"/>
      </w:pPr>
      <w:rPr>
        <w:rFonts w:ascii="Symbol" w:hAnsi="Symbol" w:hint="default"/>
      </w:rPr>
    </w:lvl>
  </w:abstractNum>
  <w:abstractNum w:abstractNumId="4" w15:restartNumberingAfterBreak="0">
    <w:nsid w:val="00000001"/>
    <w:multiLevelType w:val="hybridMultilevel"/>
    <w:tmpl w:val="59F817CA"/>
    <w:name w:val="zGTableBullet"/>
    <w:lvl w:ilvl="0" w:tplc="E5105BE8">
      <w:start w:val="1"/>
      <w:numFmt w:val="bullet"/>
      <w:pStyle w:val="zGTableBullet"/>
      <w:lvlText w:val=""/>
      <w:lvlJc w:val="left"/>
      <w:pPr>
        <w:ind w:left="427" w:hanging="360"/>
      </w:pPr>
      <w:rPr>
        <w:rFonts w:ascii="Wingdings" w:hAnsi="Wingdings"/>
      </w:rPr>
    </w:lvl>
    <w:lvl w:ilvl="1" w:tplc="46349D38">
      <w:start w:val="1"/>
      <w:numFmt w:val="bullet"/>
      <w:lvlText w:val="o"/>
      <w:lvlJc w:val="left"/>
      <w:pPr>
        <w:ind w:left="1147" w:hanging="360"/>
      </w:pPr>
      <w:rPr>
        <w:rFonts w:ascii="Courier New" w:hAnsi="Courier New" w:cs="Courier New"/>
      </w:rPr>
    </w:lvl>
    <w:lvl w:ilvl="2" w:tplc="12A24234">
      <w:start w:val="1"/>
      <w:numFmt w:val="bullet"/>
      <w:lvlText w:val=""/>
      <w:lvlJc w:val="left"/>
      <w:pPr>
        <w:ind w:left="1867" w:hanging="360"/>
      </w:pPr>
      <w:rPr>
        <w:rFonts w:ascii="Wingdings" w:hAnsi="Wingdings"/>
      </w:rPr>
    </w:lvl>
    <w:lvl w:ilvl="3" w:tplc="1ACC8C96">
      <w:start w:val="1"/>
      <w:numFmt w:val="bullet"/>
      <w:lvlText w:val=""/>
      <w:lvlJc w:val="left"/>
      <w:pPr>
        <w:ind w:left="2587" w:hanging="360"/>
      </w:pPr>
      <w:rPr>
        <w:rFonts w:ascii="Symbol" w:hAnsi="Symbol"/>
      </w:rPr>
    </w:lvl>
    <w:lvl w:ilvl="4" w:tplc="FE58FB6A">
      <w:start w:val="1"/>
      <w:numFmt w:val="bullet"/>
      <w:lvlText w:val="o"/>
      <w:lvlJc w:val="left"/>
      <w:pPr>
        <w:ind w:left="3307" w:hanging="360"/>
      </w:pPr>
      <w:rPr>
        <w:rFonts w:ascii="Courier New" w:hAnsi="Courier New" w:cs="Courier New"/>
      </w:rPr>
    </w:lvl>
    <w:lvl w:ilvl="5" w:tplc="AE1CD5D2">
      <w:start w:val="1"/>
      <w:numFmt w:val="bullet"/>
      <w:lvlText w:val=""/>
      <w:lvlJc w:val="left"/>
      <w:pPr>
        <w:ind w:left="4027" w:hanging="360"/>
      </w:pPr>
      <w:rPr>
        <w:rFonts w:ascii="Wingdings" w:hAnsi="Wingdings"/>
      </w:rPr>
    </w:lvl>
    <w:lvl w:ilvl="6" w:tplc="99DCF682">
      <w:start w:val="1"/>
      <w:numFmt w:val="bullet"/>
      <w:lvlText w:val=""/>
      <w:lvlJc w:val="left"/>
      <w:pPr>
        <w:ind w:left="4747" w:hanging="360"/>
      </w:pPr>
      <w:rPr>
        <w:rFonts w:ascii="Symbol" w:hAnsi="Symbol"/>
      </w:rPr>
    </w:lvl>
    <w:lvl w:ilvl="7" w:tplc="856874E8">
      <w:start w:val="1"/>
      <w:numFmt w:val="bullet"/>
      <w:lvlText w:val="o"/>
      <w:lvlJc w:val="left"/>
      <w:pPr>
        <w:ind w:left="5467" w:hanging="360"/>
      </w:pPr>
      <w:rPr>
        <w:rFonts w:ascii="Courier New" w:hAnsi="Courier New" w:cs="Courier New"/>
      </w:rPr>
    </w:lvl>
    <w:lvl w:ilvl="8" w:tplc="70167DB4">
      <w:start w:val="1"/>
      <w:numFmt w:val="bullet"/>
      <w:lvlText w:val=""/>
      <w:lvlJc w:val="left"/>
      <w:pPr>
        <w:ind w:left="6187" w:hanging="360"/>
      </w:pPr>
      <w:rPr>
        <w:rFonts w:ascii="Wingdings" w:hAnsi="Wingdings"/>
      </w:rPr>
    </w:lvl>
  </w:abstractNum>
  <w:abstractNum w:abstractNumId="5" w15:restartNumberingAfterBreak="0">
    <w:nsid w:val="00000002"/>
    <w:multiLevelType w:val="multilevel"/>
    <w:tmpl w:val="8D64AA7A"/>
    <w:name w:val="zGListBullet"/>
    <w:styleLink w:val="zGzListStyle1"/>
    <w:lvl w:ilvl="0">
      <w:start w:val="1"/>
      <w:numFmt w:val="bullet"/>
      <w:lvlText w:val=""/>
      <w:lvlJc w:val="left"/>
      <w:pPr>
        <w:ind w:left="1872" w:hanging="360"/>
      </w:pPr>
      <w:rPr>
        <w:rFonts w:ascii="Wingdings" w:hAnsi="Wingdings"/>
        <w:b/>
        <w:i w:val="0"/>
        <w:color w:val="000000"/>
        <w:sz w:val="20"/>
      </w:rPr>
    </w:lvl>
    <w:lvl w:ilvl="1">
      <w:start w:val="1"/>
      <w:numFmt w:val="bullet"/>
      <w:lvlText w:val="o"/>
      <w:lvlJc w:val="left"/>
      <w:pPr>
        <w:ind w:left="2592" w:hanging="360"/>
      </w:pPr>
      <w:rPr>
        <w:rFonts w:ascii="Courier New" w:hAnsi="Courier New"/>
        <w:b/>
        <w:bCs/>
      </w:rPr>
    </w:lvl>
    <w:lvl w:ilvl="2">
      <w:start w:val="1"/>
      <w:numFmt w:val="bullet"/>
      <w:lvlText w:val=""/>
      <w:lvlJc w:val="left"/>
      <w:pPr>
        <w:ind w:left="3312" w:hanging="360"/>
      </w:pPr>
      <w:rPr>
        <w:rFonts w:ascii="Wingdings" w:hAnsi="Wingdings"/>
      </w:rPr>
    </w:lvl>
    <w:lvl w:ilvl="3">
      <w:start w:val="1"/>
      <w:numFmt w:val="bullet"/>
      <w:lvlText w:val=""/>
      <w:lvlJc w:val="left"/>
      <w:pPr>
        <w:ind w:left="4032" w:hanging="360"/>
      </w:pPr>
      <w:rPr>
        <w:rFonts w:ascii="Symbol" w:hAnsi="Symbol"/>
      </w:rPr>
    </w:lvl>
    <w:lvl w:ilvl="4">
      <w:start w:val="1"/>
      <w:numFmt w:val="bullet"/>
      <w:lvlText w:val="o"/>
      <w:lvlJc w:val="left"/>
      <w:pPr>
        <w:ind w:left="4752" w:hanging="360"/>
      </w:pPr>
      <w:rPr>
        <w:rFonts w:ascii="Courier New" w:hAnsi="Courier New"/>
      </w:rPr>
    </w:lvl>
    <w:lvl w:ilvl="5">
      <w:start w:val="1"/>
      <w:numFmt w:val="bullet"/>
      <w:lvlText w:val=""/>
      <w:lvlJc w:val="left"/>
      <w:pPr>
        <w:ind w:left="5472" w:hanging="360"/>
      </w:pPr>
      <w:rPr>
        <w:rFonts w:ascii="Wingdings" w:hAnsi="Wingdings"/>
      </w:rPr>
    </w:lvl>
    <w:lvl w:ilvl="6">
      <w:start w:val="1"/>
      <w:numFmt w:val="bullet"/>
      <w:lvlText w:val=""/>
      <w:lvlJc w:val="left"/>
      <w:pPr>
        <w:ind w:left="6192" w:hanging="360"/>
      </w:pPr>
      <w:rPr>
        <w:rFonts w:ascii="Symbol" w:hAnsi="Symbol"/>
      </w:rPr>
    </w:lvl>
    <w:lvl w:ilvl="7">
      <w:start w:val="1"/>
      <w:numFmt w:val="bullet"/>
      <w:lvlText w:val="o"/>
      <w:lvlJc w:val="left"/>
      <w:pPr>
        <w:ind w:left="6912" w:hanging="360"/>
      </w:pPr>
      <w:rPr>
        <w:rFonts w:ascii="Courier New" w:hAnsi="Courier New"/>
      </w:rPr>
    </w:lvl>
    <w:lvl w:ilvl="8">
      <w:start w:val="1"/>
      <w:numFmt w:val="bullet"/>
      <w:lvlText w:val=""/>
      <w:lvlJc w:val="left"/>
      <w:pPr>
        <w:ind w:left="7632" w:hanging="360"/>
      </w:pPr>
      <w:rPr>
        <w:rFonts w:ascii="Wingdings" w:hAnsi="Wingdings"/>
      </w:rPr>
    </w:lvl>
  </w:abstractNum>
  <w:abstractNum w:abstractNumId="6" w15:restartNumberingAfterBreak="0">
    <w:nsid w:val="00000005"/>
    <w:multiLevelType w:val="multilevel"/>
    <w:tmpl w:val="C422DFE8"/>
    <w:lvl w:ilvl="0">
      <w:start w:val="1"/>
      <w:numFmt w:val="decimal"/>
      <w:lvlText w:val="Part %1"/>
      <w:lvlJc w:val="left"/>
      <w:pPr>
        <w:tabs>
          <w:tab w:val="num" w:pos="936"/>
        </w:tabs>
        <w:ind w:left="936" w:hanging="936"/>
      </w:pPr>
      <w:rPr>
        <w:rFonts w:ascii="Arial" w:hAnsi="Arial"/>
        <w:b/>
        <w:i w:val="0"/>
        <w:caps/>
        <w:strike w:val="0"/>
        <w:dstrike w:val="0"/>
        <w:vanish w:val="0"/>
        <w:color w:val="000000"/>
        <w:sz w:val="20"/>
        <w:u w:val="none"/>
      </w:rPr>
    </w:lvl>
    <w:lvl w:ilvl="1">
      <w:start w:val="1"/>
      <w:numFmt w:val="decimal"/>
      <w:lvlText w:val="%1.%2"/>
      <w:lvlJc w:val="left"/>
      <w:pPr>
        <w:tabs>
          <w:tab w:val="num" w:pos="576"/>
        </w:tabs>
      </w:pPr>
      <w:rPr>
        <w:rFonts w:ascii="Arial" w:hAnsi="Arial"/>
        <w:b/>
        <w:i w:val="0"/>
        <w:caps/>
        <w:strike w:val="0"/>
        <w:dstrike w:val="0"/>
        <w:vanish w:val="0"/>
        <w:color w:val="000000"/>
        <w:sz w:val="20"/>
        <w:u w:val="none"/>
      </w:rPr>
    </w:lvl>
    <w:lvl w:ilvl="2">
      <w:start w:val="1"/>
      <w:numFmt w:val="upperLetter"/>
      <w:lvlText w:val="%3."/>
      <w:lvlJc w:val="left"/>
      <w:pPr>
        <w:tabs>
          <w:tab w:val="num" w:pos="576"/>
        </w:tabs>
        <w:ind w:left="259"/>
      </w:pPr>
      <w:rPr>
        <w:rFonts w:ascii="Arial" w:hAnsi="Arial"/>
        <w:b/>
        <w:i w:val="0"/>
        <w:caps w:val="0"/>
        <w:strike w:val="0"/>
        <w:dstrike w:val="0"/>
        <w:vanish w:val="0"/>
        <w:color w:val="000000"/>
        <w:sz w:val="20"/>
        <w:u w:val="none"/>
      </w:rPr>
    </w:lvl>
    <w:lvl w:ilvl="3">
      <w:start w:val="1"/>
      <w:numFmt w:val="lowerRoman"/>
      <w:lvlText w:val="(%4)"/>
      <w:lvlJc w:val="left"/>
      <w:pPr>
        <w:tabs>
          <w:tab w:val="num" w:pos="864"/>
        </w:tabs>
        <w:ind w:left="360"/>
      </w:pPr>
      <w:rPr>
        <w:rFonts w:ascii="Arial" w:hAnsi="Arial"/>
        <w:b/>
        <w:i w:val="0"/>
        <w:caps w:val="0"/>
        <w:strike w:val="0"/>
        <w:dstrike w:val="0"/>
        <w:vanish w:val="0"/>
        <w:color w:val="000000"/>
        <w:sz w:val="20"/>
        <w:u w:val="none"/>
      </w:rPr>
    </w:lvl>
    <w:lvl w:ilvl="4">
      <w:start w:val="1"/>
      <w:numFmt w:val="lowerLetter"/>
      <w:lvlText w:val="(%5)"/>
      <w:lvlJc w:val="left"/>
      <w:pPr>
        <w:tabs>
          <w:tab w:val="num" w:pos="1195"/>
        </w:tabs>
        <w:ind w:left="864"/>
      </w:pPr>
      <w:rPr>
        <w:rFonts w:ascii="Arial" w:hAnsi="Arial"/>
        <w:b/>
        <w:i w:val="0"/>
        <w:caps w:val="0"/>
        <w:strike w:val="0"/>
        <w:dstrike w:val="0"/>
        <w:vanish w:val="0"/>
        <w:color w:val="000000"/>
        <w:sz w:val="20"/>
        <w:u w:val="none"/>
      </w:rPr>
    </w:lvl>
    <w:lvl w:ilvl="5">
      <w:start w:val="1"/>
      <w:numFmt w:val="lowerRoman"/>
      <w:lvlText w:val="(%6)"/>
      <w:lvlJc w:val="left"/>
      <w:pPr>
        <w:ind w:left="2160" w:hanging="360"/>
      </w:pPr>
    </w:lvl>
    <w:lvl w:ilvl="6">
      <w:start w:val="1"/>
      <w:numFmt w:val="lowerRoman"/>
      <w:lvlText w:val="(%7)"/>
      <w:lvlJc w:val="left"/>
      <w:pPr>
        <w:ind w:left="2520" w:hanging="360"/>
      </w:pPr>
      <w:rPr>
        <w:rFonts w:ascii="Arial" w:eastAsia="Times New Roman"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0000006"/>
    <w:multiLevelType w:val="hybridMultilevel"/>
    <w:tmpl w:val="B86C81BE"/>
    <w:name w:val="zGListBullet2"/>
    <w:lvl w:ilvl="0" w:tplc="E90AECB0">
      <w:start w:val="1"/>
      <w:numFmt w:val="bullet"/>
      <w:pStyle w:val="zGListBullet2"/>
      <w:lvlText w:val="o"/>
      <w:lvlJc w:val="left"/>
      <w:pPr>
        <w:ind w:left="2592" w:hanging="360"/>
      </w:pPr>
      <w:rPr>
        <w:rFonts w:ascii="Courier New" w:hAnsi="Courier New"/>
      </w:rPr>
    </w:lvl>
    <w:lvl w:ilvl="1" w:tplc="E57A3F6E">
      <w:start w:val="1"/>
      <w:numFmt w:val="bullet"/>
      <w:lvlText w:val="o"/>
      <w:lvlJc w:val="left"/>
      <w:pPr>
        <w:ind w:left="2952" w:hanging="360"/>
      </w:pPr>
      <w:rPr>
        <w:rFonts w:ascii="Courier New" w:hAnsi="Courier New"/>
      </w:rPr>
    </w:lvl>
    <w:lvl w:ilvl="2" w:tplc="D9542C26">
      <w:start w:val="1"/>
      <w:numFmt w:val="bullet"/>
      <w:lvlText w:val=""/>
      <w:lvlJc w:val="left"/>
      <w:pPr>
        <w:ind w:left="3672" w:hanging="360"/>
      </w:pPr>
      <w:rPr>
        <w:rFonts w:ascii="Wingdings" w:hAnsi="Wingdings"/>
      </w:rPr>
    </w:lvl>
    <w:lvl w:ilvl="3" w:tplc="F708BA4E">
      <w:start w:val="1"/>
      <w:numFmt w:val="bullet"/>
      <w:lvlText w:val=""/>
      <w:lvlJc w:val="left"/>
      <w:pPr>
        <w:ind w:left="4392" w:hanging="360"/>
      </w:pPr>
      <w:rPr>
        <w:rFonts w:ascii="Symbol" w:hAnsi="Symbol"/>
      </w:rPr>
    </w:lvl>
    <w:lvl w:ilvl="4" w:tplc="C4CAEE9C">
      <w:start w:val="1"/>
      <w:numFmt w:val="bullet"/>
      <w:lvlText w:val="o"/>
      <w:lvlJc w:val="left"/>
      <w:pPr>
        <w:ind w:left="5112" w:hanging="360"/>
      </w:pPr>
      <w:rPr>
        <w:rFonts w:ascii="Courier New" w:hAnsi="Courier New"/>
      </w:rPr>
    </w:lvl>
    <w:lvl w:ilvl="5" w:tplc="82F4504E">
      <w:start w:val="1"/>
      <w:numFmt w:val="bullet"/>
      <w:lvlText w:val=""/>
      <w:lvlJc w:val="left"/>
      <w:pPr>
        <w:ind w:left="5832" w:hanging="360"/>
      </w:pPr>
      <w:rPr>
        <w:rFonts w:ascii="Wingdings" w:hAnsi="Wingdings"/>
      </w:rPr>
    </w:lvl>
    <w:lvl w:ilvl="6" w:tplc="3EB65E54">
      <w:start w:val="1"/>
      <w:numFmt w:val="bullet"/>
      <w:lvlText w:val=""/>
      <w:lvlJc w:val="left"/>
      <w:pPr>
        <w:ind w:left="6552" w:hanging="360"/>
      </w:pPr>
      <w:rPr>
        <w:rFonts w:ascii="Symbol" w:hAnsi="Symbol"/>
      </w:rPr>
    </w:lvl>
    <w:lvl w:ilvl="7" w:tplc="2ADC8BDC">
      <w:start w:val="1"/>
      <w:numFmt w:val="bullet"/>
      <w:lvlText w:val="o"/>
      <w:lvlJc w:val="left"/>
      <w:pPr>
        <w:ind w:left="7272" w:hanging="360"/>
      </w:pPr>
      <w:rPr>
        <w:rFonts w:ascii="Courier New" w:hAnsi="Courier New"/>
      </w:rPr>
    </w:lvl>
    <w:lvl w:ilvl="8" w:tplc="E086F630">
      <w:start w:val="1"/>
      <w:numFmt w:val="bullet"/>
      <w:lvlText w:val=""/>
      <w:lvlJc w:val="left"/>
      <w:pPr>
        <w:ind w:left="7992" w:hanging="360"/>
      </w:pPr>
      <w:rPr>
        <w:rFonts w:ascii="Wingdings" w:hAnsi="Wingdings"/>
      </w:rPr>
    </w:lvl>
  </w:abstractNum>
  <w:abstractNum w:abstractNumId="8" w15:restartNumberingAfterBreak="0">
    <w:nsid w:val="00000008"/>
    <w:multiLevelType w:val="multilevel"/>
    <w:tmpl w:val="DEFAA2E8"/>
    <w:name w:val="zG01"/>
    <w:lvl w:ilvl="0">
      <w:start w:val="1"/>
      <w:numFmt w:val="decimal"/>
      <w:pStyle w:val="zG01"/>
      <w:lvlText w:val="Part %1"/>
      <w:lvlJc w:val="left"/>
      <w:pPr>
        <w:tabs>
          <w:tab w:val="num" w:pos="936"/>
        </w:tabs>
        <w:ind w:left="936" w:hanging="936"/>
      </w:pPr>
      <w:rPr>
        <w:rFonts w:ascii="Arial" w:hAnsi="Arial"/>
        <w:b/>
        <w:i w:val="0"/>
        <w:caps/>
        <w:strike w:val="0"/>
        <w:dstrike w:val="0"/>
        <w:vanish w:val="0"/>
        <w:color w:val="000000"/>
        <w:sz w:val="20"/>
        <w:u w:val="none"/>
      </w:rPr>
    </w:lvl>
    <w:lvl w:ilvl="1">
      <w:start w:val="1"/>
      <w:numFmt w:val="decimal"/>
      <w:pStyle w:val="zG02"/>
      <w:lvlText w:val="%1.%2"/>
      <w:lvlJc w:val="left"/>
      <w:pPr>
        <w:tabs>
          <w:tab w:val="num" w:pos="576"/>
        </w:tabs>
      </w:pPr>
      <w:rPr>
        <w:b/>
        <w:bCs/>
      </w:rPr>
    </w:lvl>
    <w:lvl w:ilvl="2">
      <w:start w:val="1"/>
      <w:numFmt w:val="upperLetter"/>
      <w:pStyle w:val="zG03"/>
      <w:lvlText w:val="%3."/>
      <w:lvlJc w:val="left"/>
      <w:pPr>
        <w:tabs>
          <w:tab w:val="num" w:pos="576"/>
        </w:tabs>
        <w:ind w:left="259"/>
      </w:pPr>
      <w:rPr>
        <w:rFonts w:ascii="Arial" w:hAnsi="Arial"/>
        <w:b/>
        <w:i w:val="0"/>
        <w:caps w:val="0"/>
        <w:strike w:val="0"/>
        <w:dstrike w:val="0"/>
        <w:vanish w:val="0"/>
        <w:color w:val="000000"/>
        <w:sz w:val="20"/>
        <w:u w:val="none"/>
      </w:rPr>
    </w:lvl>
    <w:lvl w:ilvl="3">
      <w:start w:val="1"/>
      <w:numFmt w:val="lowerRoman"/>
      <w:pStyle w:val="zG04"/>
      <w:lvlText w:val="(%4)"/>
      <w:lvlJc w:val="left"/>
      <w:pPr>
        <w:tabs>
          <w:tab w:val="num" w:pos="936"/>
        </w:tabs>
        <w:ind w:left="504"/>
      </w:pPr>
      <w:rPr>
        <w:b/>
        <w:i w:val="0"/>
        <w:caps w:val="0"/>
        <w:strike w:val="0"/>
        <w:dstrike w:val="0"/>
        <w:vanish w:val="0"/>
        <w:color w:val="000000"/>
        <w:sz w:val="20"/>
        <w:u w:val="none"/>
      </w:rPr>
    </w:lvl>
    <w:lvl w:ilvl="4">
      <w:start w:val="1"/>
      <w:numFmt w:val="lowerLetter"/>
      <w:pStyle w:val="zG05"/>
      <w:lvlText w:val="(%5)"/>
      <w:lvlJc w:val="left"/>
      <w:pPr>
        <w:tabs>
          <w:tab w:val="num" w:pos="1368"/>
        </w:tabs>
        <w:ind w:left="864"/>
      </w:pPr>
      <w:rPr>
        <w:rFonts w:ascii="Arial" w:hAnsi="Arial"/>
        <w:b/>
        <w:i w:val="0"/>
        <w:caps w:val="0"/>
        <w:strike w:val="0"/>
        <w:dstrike w:val="0"/>
        <w:vanish w:val="0"/>
        <w:color w:val="000000"/>
        <w:sz w:val="20"/>
        <w:u w:val="none"/>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0000010"/>
    <w:multiLevelType w:val="hybridMultilevel"/>
    <w:tmpl w:val="8D3495B2"/>
    <w:name w:val="zGListNum"/>
    <w:lvl w:ilvl="0" w:tplc="538E068A">
      <w:start w:val="1"/>
      <w:numFmt w:val="decimal"/>
      <w:pStyle w:val="zGListNum"/>
      <w:lvlText w:val="%1."/>
      <w:lvlJc w:val="left"/>
      <w:pPr>
        <w:tabs>
          <w:tab w:val="num" w:pos="360"/>
        </w:tabs>
        <w:ind w:left="360" w:hanging="360"/>
      </w:pPr>
      <w:rPr>
        <w:rFonts w:ascii="Arial" w:hAnsi="Arial" w:cs="Times New Roman"/>
        <w:b/>
        <w:i w:val="0"/>
        <w:caps w:val="0"/>
        <w:strike w:val="0"/>
        <w:dstrike w:val="0"/>
        <w:vanish w:val="0"/>
        <w:color w:val="000000"/>
        <w:sz w:val="20"/>
        <w:u w:val="none"/>
      </w:rPr>
    </w:lvl>
    <w:lvl w:ilvl="1" w:tplc="33D0FD12">
      <w:start w:val="1"/>
      <w:numFmt w:val="lowerLetter"/>
      <w:lvlText w:val="%2."/>
      <w:lvlJc w:val="left"/>
      <w:pPr>
        <w:tabs>
          <w:tab w:val="num" w:pos="1440"/>
        </w:tabs>
        <w:ind w:left="1440" w:hanging="360"/>
      </w:pPr>
      <w:rPr>
        <w:rFonts w:cs="Times New Roman"/>
      </w:rPr>
    </w:lvl>
    <w:lvl w:ilvl="2" w:tplc="674C6764">
      <w:start w:val="1"/>
      <w:numFmt w:val="lowerRoman"/>
      <w:lvlText w:val="%3."/>
      <w:lvlJc w:val="right"/>
      <w:pPr>
        <w:tabs>
          <w:tab w:val="num" w:pos="2160"/>
        </w:tabs>
        <w:ind w:left="2160" w:hanging="180"/>
      </w:pPr>
      <w:rPr>
        <w:rFonts w:cs="Times New Roman"/>
      </w:rPr>
    </w:lvl>
    <w:lvl w:ilvl="3" w:tplc="D53279E0">
      <w:start w:val="1"/>
      <w:numFmt w:val="decimal"/>
      <w:lvlText w:val="%4."/>
      <w:lvlJc w:val="left"/>
      <w:pPr>
        <w:tabs>
          <w:tab w:val="num" w:pos="2880"/>
        </w:tabs>
        <w:ind w:left="2880" w:hanging="360"/>
      </w:pPr>
      <w:rPr>
        <w:rFonts w:cs="Times New Roman"/>
      </w:rPr>
    </w:lvl>
    <w:lvl w:ilvl="4" w:tplc="FB604134">
      <w:start w:val="1"/>
      <w:numFmt w:val="lowerLetter"/>
      <w:lvlText w:val="%5."/>
      <w:lvlJc w:val="left"/>
      <w:pPr>
        <w:tabs>
          <w:tab w:val="num" w:pos="3600"/>
        </w:tabs>
        <w:ind w:left="3600" w:hanging="360"/>
      </w:pPr>
      <w:rPr>
        <w:rFonts w:cs="Times New Roman"/>
      </w:rPr>
    </w:lvl>
    <w:lvl w:ilvl="5" w:tplc="B2E4744E">
      <w:start w:val="1"/>
      <w:numFmt w:val="lowerRoman"/>
      <w:lvlText w:val="%6."/>
      <w:lvlJc w:val="right"/>
      <w:pPr>
        <w:tabs>
          <w:tab w:val="num" w:pos="4320"/>
        </w:tabs>
        <w:ind w:left="4320" w:hanging="180"/>
      </w:pPr>
      <w:rPr>
        <w:rFonts w:cs="Times New Roman"/>
      </w:rPr>
    </w:lvl>
    <w:lvl w:ilvl="6" w:tplc="66DED060">
      <w:start w:val="1"/>
      <w:numFmt w:val="decimal"/>
      <w:lvlText w:val="%7."/>
      <w:lvlJc w:val="left"/>
      <w:pPr>
        <w:tabs>
          <w:tab w:val="num" w:pos="5040"/>
        </w:tabs>
        <w:ind w:left="5040" w:hanging="360"/>
      </w:pPr>
      <w:rPr>
        <w:rFonts w:cs="Times New Roman"/>
      </w:rPr>
    </w:lvl>
    <w:lvl w:ilvl="7" w:tplc="9C1ED1F8">
      <w:start w:val="1"/>
      <w:numFmt w:val="lowerLetter"/>
      <w:lvlText w:val="%8."/>
      <w:lvlJc w:val="left"/>
      <w:pPr>
        <w:tabs>
          <w:tab w:val="num" w:pos="5760"/>
        </w:tabs>
        <w:ind w:left="5760" w:hanging="360"/>
      </w:pPr>
      <w:rPr>
        <w:rFonts w:cs="Times New Roman"/>
      </w:rPr>
    </w:lvl>
    <w:lvl w:ilvl="8" w:tplc="8E98FCC0">
      <w:start w:val="1"/>
      <w:numFmt w:val="lowerRoman"/>
      <w:lvlText w:val="%9."/>
      <w:lvlJc w:val="right"/>
      <w:pPr>
        <w:tabs>
          <w:tab w:val="num" w:pos="6480"/>
        </w:tabs>
        <w:ind w:left="6480" w:hanging="180"/>
      </w:pPr>
      <w:rPr>
        <w:rFonts w:cs="Times New Roman"/>
      </w:rPr>
    </w:lvl>
  </w:abstractNum>
  <w:abstractNum w:abstractNumId="10" w15:restartNumberingAfterBreak="0">
    <w:nsid w:val="00000011"/>
    <w:multiLevelType w:val="hybridMultilevel"/>
    <w:tmpl w:val="52142AA8"/>
    <w:name w:val="zzmpArticle5||Article5|2|1|1|3|10|41||1|10|1||1|10|1||1|10|1||1|12|0||1|12|0||1|12|0||1|12|0||mpNA||2"/>
    <w:lvl w:ilvl="0" w:tplc="DFE01B22">
      <w:start w:val="1"/>
      <w:numFmt w:val="decimal"/>
      <w:lvlText w:val="%1.1"/>
      <w:lvlJc w:val="left"/>
      <w:pPr>
        <w:ind w:left="720" w:hanging="360"/>
      </w:pPr>
      <w:rPr>
        <w:rFonts w:ascii="Arial" w:hAnsi="Arial" w:cs="Arial" w:hint="default"/>
        <w:b/>
      </w:rPr>
    </w:lvl>
    <w:lvl w:ilvl="1" w:tplc="00000001">
      <w:start w:val="1"/>
      <w:numFmt w:val="low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11" w15:restartNumberingAfterBreak="0">
    <w:nsid w:val="00000016"/>
    <w:multiLevelType w:val="hybridMultilevel"/>
    <w:tmpl w:val="326812A8"/>
    <w:name w:val="zGList(i)"/>
    <w:lvl w:ilvl="0" w:tplc="5DD063B2">
      <w:start w:val="1"/>
      <w:numFmt w:val="lowerRoman"/>
      <w:pStyle w:val="zGListi"/>
      <w:lvlText w:val="%1."/>
      <w:lvlJc w:val="left"/>
      <w:pPr>
        <w:ind w:left="720" w:hanging="360"/>
      </w:pPr>
      <w:rPr>
        <w:rFonts w:ascii="Arial" w:hAnsi="Arial"/>
        <w:b/>
        <w:i w:val="0"/>
        <w:caps w:val="0"/>
        <w:strike w:val="0"/>
        <w:dstrike w:val="0"/>
        <w:vanish w:val="0"/>
        <w:color w:val="auto"/>
        <w:sz w:val="20"/>
        <w:u w:val="none"/>
      </w:rPr>
    </w:lvl>
    <w:lvl w:ilvl="1" w:tplc="3AD8E308">
      <w:start w:val="1"/>
      <w:numFmt w:val="lowerLetter"/>
      <w:lvlText w:val="%2."/>
      <w:lvlJc w:val="left"/>
      <w:pPr>
        <w:ind w:left="1440" w:hanging="360"/>
      </w:pPr>
    </w:lvl>
    <w:lvl w:ilvl="2" w:tplc="42949AAC">
      <w:start w:val="1"/>
      <w:numFmt w:val="lowerRoman"/>
      <w:lvlText w:val="%3."/>
      <w:lvlJc w:val="right"/>
      <w:pPr>
        <w:ind w:left="2160" w:hanging="180"/>
      </w:pPr>
    </w:lvl>
    <w:lvl w:ilvl="3" w:tplc="5718D0A2">
      <w:start w:val="1"/>
      <w:numFmt w:val="decimal"/>
      <w:lvlText w:val="%4."/>
      <w:lvlJc w:val="left"/>
      <w:pPr>
        <w:ind w:left="2880" w:hanging="360"/>
      </w:pPr>
    </w:lvl>
    <w:lvl w:ilvl="4" w:tplc="95F082AE">
      <w:start w:val="1"/>
      <w:numFmt w:val="lowerLetter"/>
      <w:lvlText w:val="%5."/>
      <w:lvlJc w:val="left"/>
      <w:pPr>
        <w:ind w:left="3600" w:hanging="360"/>
      </w:pPr>
    </w:lvl>
    <w:lvl w:ilvl="5" w:tplc="B994DB6A">
      <w:start w:val="1"/>
      <w:numFmt w:val="lowerRoman"/>
      <w:lvlText w:val="%6."/>
      <w:lvlJc w:val="right"/>
      <w:pPr>
        <w:ind w:left="4320" w:hanging="180"/>
      </w:pPr>
    </w:lvl>
    <w:lvl w:ilvl="6" w:tplc="F294CC4E">
      <w:start w:val="1"/>
      <w:numFmt w:val="decimal"/>
      <w:lvlText w:val="%7."/>
      <w:lvlJc w:val="left"/>
      <w:pPr>
        <w:ind w:left="5040" w:hanging="360"/>
      </w:pPr>
    </w:lvl>
    <w:lvl w:ilvl="7" w:tplc="74EE5388">
      <w:start w:val="1"/>
      <w:numFmt w:val="lowerLetter"/>
      <w:lvlText w:val="%8."/>
      <w:lvlJc w:val="left"/>
      <w:pPr>
        <w:ind w:left="5760" w:hanging="360"/>
      </w:pPr>
    </w:lvl>
    <w:lvl w:ilvl="8" w:tplc="DB46A0E4">
      <w:start w:val="1"/>
      <w:numFmt w:val="lowerRoman"/>
      <w:lvlText w:val="%9."/>
      <w:lvlJc w:val="right"/>
      <w:pPr>
        <w:ind w:left="6480" w:hanging="180"/>
      </w:pPr>
    </w:lvl>
  </w:abstractNum>
  <w:abstractNum w:abstractNumId="12" w15:restartNumberingAfterBreak="0">
    <w:nsid w:val="035A5232"/>
    <w:multiLevelType w:val="hybridMultilevel"/>
    <w:tmpl w:val="2892EBAA"/>
    <w:name w:val="Heading2"/>
    <w:lvl w:ilvl="0" w:tplc="77DCBFF0">
      <w:start w:val="1"/>
      <w:numFmt w:val="bullet"/>
      <w:pStyle w:val="ListBullet4"/>
      <w:lvlText w:val=""/>
      <w:lvlJc w:val="left"/>
      <w:pPr>
        <w:ind w:left="2160" w:hanging="360"/>
      </w:pPr>
      <w:rPr>
        <w:rFonts w:ascii="Wingdings" w:hAnsi="Wingdings" w:hint="default"/>
      </w:rPr>
    </w:lvl>
    <w:lvl w:ilvl="1" w:tplc="E746FB36" w:tentative="1">
      <w:start w:val="1"/>
      <w:numFmt w:val="bullet"/>
      <w:lvlText w:val="o"/>
      <w:lvlJc w:val="left"/>
      <w:pPr>
        <w:ind w:left="2880" w:hanging="360"/>
      </w:pPr>
      <w:rPr>
        <w:rFonts w:ascii="Courier New" w:hAnsi="Courier New" w:cs="Courier New" w:hint="default"/>
      </w:rPr>
    </w:lvl>
    <w:lvl w:ilvl="2" w:tplc="D68E90D2" w:tentative="1">
      <w:start w:val="1"/>
      <w:numFmt w:val="bullet"/>
      <w:lvlText w:val=""/>
      <w:lvlJc w:val="left"/>
      <w:pPr>
        <w:ind w:left="3600" w:hanging="360"/>
      </w:pPr>
      <w:rPr>
        <w:rFonts w:ascii="Wingdings" w:hAnsi="Wingdings" w:hint="default"/>
      </w:rPr>
    </w:lvl>
    <w:lvl w:ilvl="3" w:tplc="49688AC6" w:tentative="1">
      <w:start w:val="1"/>
      <w:numFmt w:val="bullet"/>
      <w:lvlText w:val=""/>
      <w:lvlJc w:val="left"/>
      <w:pPr>
        <w:ind w:left="4320" w:hanging="360"/>
      </w:pPr>
      <w:rPr>
        <w:rFonts w:ascii="Symbol" w:hAnsi="Symbol" w:hint="default"/>
      </w:rPr>
    </w:lvl>
    <w:lvl w:ilvl="4" w:tplc="41ACD144" w:tentative="1">
      <w:start w:val="1"/>
      <w:numFmt w:val="bullet"/>
      <w:lvlText w:val="o"/>
      <w:lvlJc w:val="left"/>
      <w:pPr>
        <w:ind w:left="5040" w:hanging="360"/>
      </w:pPr>
      <w:rPr>
        <w:rFonts w:ascii="Courier New" w:hAnsi="Courier New" w:cs="Courier New" w:hint="default"/>
      </w:rPr>
    </w:lvl>
    <w:lvl w:ilvl="5" w:tplc="C76C3428" w:tentative="1">
      <w:start w:val="1"/>
      <w:numFmt w:val="bullet"/>
      <w:lvlText w:val=""/>
      <w:lvlJc w:val="left"/>
      <w:pPr>
        <w:ind w:left="5760" w:hanging="360"/>
      </w:pPr>
      <w:rPr>
        <w:rFonts w:ascii="Wingdings" w:hAnsi="Wingdings" w:hint="default"/>
      </w:rPr>
    </w:lvl>
    <w:lvl w:ilvl="6" w:tplc="49F21E70" w:tentative="1">
      <w:start w:val="1"/>
      <w:numFmt w:val="bullet"/>
      <w:lvlText w:val=""/>
      <w:lvlJc w:val="left"/>
      <w:pPr>
        <w:ind w:left="6480" w:hanging="360"/>
      </w:pPr>
      <w:rPr>
        <w:rFonts w:ascii="Symbol" w:hAnsi="Symbol" w:hint="default"/>
      </w:rPr>
    </w:lvl>
    <w:lvl w:ilvl="7" w:tplc="F2183DF2" w:tentative="1">
      <w:start w:val="1"/>
      <w:numFmt w:val="bullet"/>
      <w:lvlText w:val="o"/>
      <w:lvlJc w:val="left"/>
      <w:pPr>
        <w:ind w:left="7200" w:hanging="360"/>
      </w:pPr>
      <w:rPr>
        <w:rFonts w:ascii="Courier New" w:hAnsi="Courier New" w:cs="Courier New" w:hint="default"/>
      </w:rPr>
    </w:lvl>
    <w:lvl w:ilvl="8" w:tplc="DC66DD40" w:tentative="1">
      <w:start w:val="1"/>
      <w:numFmt w:val="bullet"/>
      <w:lvlText w:val=""/>
      <w:lvlJc w:val="left"/>
      <w:pPr>
        <w:ind w:left="7920" w:hanging="360"/>
      </w:pPr>
      <w:rPr>
        <w:rFonts w:ascii="Wingdings" w:hAnsi="Wingdings" w:hint="default"/>
      </w:rPr>
    </w:lvl>
  </w:abstractNum>
  <w:abstractNum w:abstractNumId="13" w15:restartNumberingAfterBreak="0">
    <w:nsid w:val="0A5A3F76"/>
    <w:multiLevelType w:val="hybridMultilevel"/>
    <w:tmpl w:val="D3F046BE"/>
    <w:lvl w:ilvl="0" w:tplc="BC6857C2">
      <w:start w:val="1"/>
      <w:numFmt w:val="decimal"/>
      <w:lvlText w:val="%1)"/>
      <w:lvlJc w:val="left"/>
      <w:pPr>
        <w:ind w:left="810" w:hanging="360"/>
      </w:pPr>
      <w:rPr>
        <w:rFonts w:hint="default"/>
      </w:rPr>
    </w:lvl>
    <w:lvl w:ilvl="1" w:tplc="263635E2" w:tentative="1">
      <w:start w:val="1"/>
      <w:numFmt w:val="lowerLetter"/>
      <w:lvlText w:val="%2."/>
      <w:lvlJc w:val="left"/>
      <w:pPr>
        <w:ind w:left="1440" w:hanging="360"/>
      </w:pPr>
    </w:lvl>
    <w:lvl w:ilvl="2" w:tplc="85EE773E" w:tentative="1">
      <w:start w:val="1"/>
      <w:numFmt w:val="lowerRoman"/>
      <w:lvlText w:val="%3."/>
      <w:lvlJc w:val="right"/>
      <w:pPr>
        <w:ind w:left="2160" w:hanging="180"/>
      </w:pPr>
    </w:lvl>
    <w:lvl w:ilvl="3" w:tplc="2612E210" w:tentative="1">
      <w:start w:val="1"/>
      <w:numFmt w:val="decimal"/>
      <w:lvlText w:val="%4."/>
      <w:lvlJc w:val="left"/>
      <w:pPr>
        <w:ind w:left="2880" w:hanging="360"/>
      </w:pPr>
    </w:lvl>
    <w:lvl w:ilvl="4" w:tplc="085E7B4A" w:tentative="1">
      <w:start w:val="1"/>
      <w:numFmt w:val="lowerLetter"/>
      <w:lvlText w:val="%5."/>
      <w:lvlJc w:val="left"/>
      <w:pPr>
        <w:ind w:left="3600" w:hanging="360"/>
      </w:pPr>
    </w:lvl>
    <w:lvl w:ilvl="5" w:tplc="34620C58" w:tentative="1">
      <w:start w:val="1"/>
      <w:numFmt w:val="lowerRoman"/>
      <w:lvlText w:val="%6."/>
      <w:lvlJc w:val="right"/>
      <w:pPr>
        <w:ind w:left="4320" w:hanging="180"/>
      </w:pPr>
    </w:lvl>
    <w:lvl w:ilvl="6" w:tplc="FDCAC6A0" w:tentative="1">
      <w:start w:val="1"/>
      <w:numFmt w:val="decimal"/>
      <w:lvlText w:val="%7."/>
      <w:lvlJc w:val="left"/>
      <w:pPr>
        <w:ind w:left="5040" w:hanging="360"/>
      </w:pPr>
    </w:lvl>
    <w:lvl w:ilvl="7" w:tplc="7FCC353E" w:tentative="1">
      <w:start w:val="1"/>
      <w:numFmt w:val="lowerLetter"/>
      <w:lvlText w:val="%8."/>
      <w:lvlJc w:val="left"/>
      <w:pPr>
        <w:ind w:left="5760" w:hanging="360"/>
      </w:pPr>
    </w:lvl>
    <w:lvl w:ilvl="8" w:tplc="0DB8CE3A" w:tentative="1">
      <w:start w:val="1"/>
      <w:numFmt w:val="lowerRoman"/>
      <w:lvlText w:val="%9."/>
      <w:lvlJc w:val="right"/>
      <w:pPr>
        <w:ind w:left="6480" w:hanging="180"/>
      </w:pPr>
    </w:lvl>
  </w:abstractNum>
  <w:abstractNum w:abstractNumId="14" w15:restartNumberingAfterBreak="0">
    <w:nsid w:val="0D20330E"/>
    <w:multiLevelType w:val="multilevel"/>
    <w:tmpl w:val="4AB2E21C"/>
    <w:lvl w:ilvl="0">
      <w:start w:val="6"/>
      <w:numFmt w:val="decimal"/>
      <w:lvlText w:val="%1."/>
      <w:lvlJc w:val="left"/>
      <w:pPr>
        <w:tabs>
          <w:tab w:val="num" w:pos="720"/>
        </w:tabs>
        <w:ind w:left="720" w:hanging="360"/>
      </w:pPr>
      <w:rPr>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E41549"/>
    <w:multiLevelType w:val="multilevel"/>
    <w:tmpl w:val="0CB4C366"/>
    <w:name w:val="zGTC01"/>
    <w:lvl w:ilvl="0">
      <w:start w:val="1"/>
      <w:numFmt w:val="decimal"/>
      <w:pStyle w:val="zGTC01"/>
      <w:lvlText w:val="Part %1."/>
      <w:lvlJc w:val="left"/>
      <w:pPr>
        <w:tabs>
          <w:tab w:val="num" w:pos="936"/>
        </w:tabs>
        <w:ind w:left="936" w:hanging="936"/>
      </w:pPr>
      <w:rPr>
        <w:b/>
        <w:bCs w:val="0"/>
        <w:i w:val="0"/>
        <w:iCs w:val="0"/>
        <w:caps/>
        <w:smallCaps w:val="0"/>
        <w:strike w:val="0"/>
        <w:dstrike w:val="0"/>
        <w:outline w:val="0"/>
        <w:shadow w:val="0"/>
        <w:emboss w:val="0"/>
        <w:imprint w:val="0"/>
        <w:noProof w:val="0"/>
        <w:vanish w:val="0"/>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zGTC02"/>
      <w:lvlText w:val="%1.%2"/>
      <w:lvlJc w:val="left"/>
      <w:pPr>
        <w:tabs>
          <w:tab w:val="num" w:pos="720"/>
        </w:tabs>
        <w:ind w:left="0" w:firstLine="0"/>
      </w:pPr>
      <w:rPr>
        <w:b/>
        <w:i w:val="0"/>
        <w:caps/>
        <w:strike w:val="0"/>
        <w:dstrike w:val="0"/>
        <w:vanish w:val="0"/>
        <w:color w:val="000000" w:themeColor="text1"/>
        <w:sz w:val="20"/>
        <w:u w:val="none"/>
        <w:vertAlign w:val="baseline"/>
      </w:rPr>
    </w:lvl>
    <w:lvl w:ilvl="2">
      <w:start w:val="1"/>
      <w:numFmt w:val="decimal"/>
      <w:pStyle w:val="zGTC03"/>
      <w:lvlText w:val="%1.%2.%3."/>
      <w:lvlJc w:val="left"/>
      <w:pPr>
        <w:tabs>
          <w:tab w:val="num" w:pos="1368"/>
        </w:tabs>
        <w:ind w:left="720" w:firstLine="0"/>
      </w:pPr>
      <w:rPr>
        <w:b/>
        <w:i w:val="0"/>
        <w:caps w:val="0"/>
        <w:strike w:val="0"/>
        <w:dstrike w:val="0"/>
        <w:vanish w:val="0"/>
        <w:color w:val="000000" w:themeColor="text1"/>
        <w:sz w:val="20"/>
        <w:u w:val="none"/>
        <w:vertAlign w:val="baseline"/>
      </w:rPr>
    </w:lvl>
    <w:lvl w:ilvl="3">
      <w:start w:val="1"/>
      <w:numFmt w:val="lowerRoman"/>
      <w:pStyle w:val="zGTC04"/>
      <w:lvlText w:val="(%4)"/>
      <w:lvlJc w:val="left"/>
      <w:pPr>
        <w:tabs>
          <w:tab w:val="num" w:pos="1944"/>
        </w:tabs>
        <w:ind w:left="1440" w:firstLine="0"/>
      </w:pPr>
      <w:rPr>
        <w:b/>
        <w:i w:val="0"/>
        <w:caps w:val="0"/>
        <w:strike w:val="0"/>
        <w:dstrike w:val="0"/>
        <w:vanish w:val="0"/>
        <w:color w:val="000000" w:themeColor="text1"/>
        <w:sz w:val="20"/>
        <w:u w:val="none"/>
        <w:vertAlign w:val="baseline"/>
      </w:rPr>
    </w:lvl>
    <w:lvl w:ilvl="4">
      <w:start w:val="1"/>
      <w:numFmt w:val="lowerLetter"/>
      <w:pStyle w:val="zGTC05"/>
      <w:lvlText w:val="(%5)"/>
      <w:lvlJc w:val="left"/>
      <w:pPr>
        <w:tabs>
          <w:tab w:val="num" w:pos="2448"/>
        </w:tabs>
        <w:ind w:left="1944" w:firstLine="0"/>
      </w:pPr>
      <w:rPr>
        <w:b/>
        <w:i w:val="0"/>
        <w:caps w:val="0"/>
        <w:strike w:val="0"/>
        <w:dstrike w:val="0"/>
        <w:vanish w:val="0"/>
        <w:color w:val="000000" w:themeColor="text1"/>
        <w:sz w:val="20"/>
        <w:u w:val="none"/>
        <w:vertAlign w:val="baseline"/>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06D5849"/>
    <w:multiLevelType w:val="multilevel"/>
    <w:tmpl w:val="E24870BC"/>
    <w:name w:val="zzmpOutline||Outline|2|3|1|1|12|5||1|12|36||1|12|0||1|12|0||1|12|0||1|12|0||1|12|0||1|12|0||1|12|0||"/>
    <w:lvl w:ilvl="0">
      <w:start w:val="1"/>
      <w:numFmt w:val="upperRoman"/>
      <w:lvlText w:val="%1."/>
      <w:lvlJc w:val="left"/>
      <w:pPr>
        <w:tabs>
          <w:tab w:val="num" w:pos="2700"/>
        </w:tabs>
        <w:ind w:left="720" w:hanging="720"/>
      </w:pPr>
      <w:rPr>
        <w:rFonts w:ascii="Arial" w:hAnsi="Arial" w:cs="Arial" w:hint="default"/>
        <w:b/>
        <w:i w:val="0"/>
        <w:caps/>
        <w:smallCaps w:val="0"/>
        <w:sz w:val="24"/>
        <w:u w:val="none"/>
      </w:rPr>
    </w:lvl>
    <w:lvl w:ilvl="1">
      <w:start w:val="1"/>
      <w:numFmt w:val="decimal"/>
      <w:lvlText w:val="%2."/>
      <w:lvlJc w:val="left"/>
      <w:pPr>
        <w:tabs>
          <w:tab w:val="num" w:pos="1440"/>
        </w:tabs>
        <w:ind w:left="1440" w:hanging="720"/>
      </w:pPr>
      <w:rPr>
        <w:rFonts w:ascii="Arial" w:hAnsi="Arial" w:cs="Arial" w:hint="default"/>
        <w:b w:val="0"/>
        <w:i w:val="0"/>
        <w:caps w:val="0"/>
        <w:smallCaps w:val="0"/>
        <w:u w:val="none"/>
      </w:rPr>
    </w:lvl>
    <w:lvl w:ilvl="2">
      <w:start w:val="1"/>
      <w:numFmt w:val="lowerLetter"/>
      <w:lvlText w:val="%3."/>
      <w:lvlJc w:val="left"/>
      <w:pPr>
        <w:tabs>
          <w:tab w:val="num" w:pos="2160"/>
        </w:tabs>
        <w:ind w:left="2160" w:hanging="720"/>
      </w:pPr>
      <w:rPr>
        <w:rFonts w:ascii="Arial" w:hAnsi="Arial" w:cs="Arial" w:hint="default"/>
        <w:b w:val="0"/>
        <w:i w:val="0"/>
        <w:caps w:val="0"/>
        <w:smallCaps w:val="0"/>
        <w:u w:val="none"/>
      </w:rPr>
    </w:lvl>
    <w:lvl w:ilvl="3">
      <w:start w:val="1"/>
      <w:numFmt w:val="lowerRoman"/>
      <w:lvlText w:val="%4."/>
      <w:lvlJc w:val="left"/>
      <w:pPr>
        <w:tabs>
          <w:tab w:val="num" w:pos="2880"/>
        </w:tabs>
        <w:ind w:left="2880" w:hanging="720"/>
      </w:pPr>
      <w:rPr>
        <w:rFonts w:ascii="Arial" w:hAnsi="Arial" w:cs="Arial" w:hint="default"/>
        <w:b w:val="0"/>
        <w:i w:val="0"/>
        <w:caps w:val="0"/>
        <w:smallCaps w:val="0"/>
        <w:u w:val="none"/>
      </w:rPr>
    </w:lvl>
    <w:lvl w:ilvl="4">
      <w:start w:val="1"/>
      <w:numFmt w:val="lowerRoman"/>
      <w:lvlText w:val="(%5)"/>
      <w:lvlJc w:val="left"/>
      <w:pPr>
        <w:tabs>
          <w:tab w:val="num" w:pos="3600"/>
        </w:tabs>
        <w:ind w:left="0" w:firstLine="2880"/>
      </w:pPr>
      <w:rPr>
        <w:rFonts w:hint="default"/>
        <w:b w:val="0"/>
        <w:i w:val="0"/>
        <w:caps w:val="0"/>
        <w:smallCaps w:val="0"/>
        <w:u w:val="none"/>
      </w:rPr>
    </w:lvl>
    <w:lvl w:ilvl="5">
      <w:start w:val="1"/>
      <w:numFmt w:val="lowerLetter"/>
      <w:lvlText w:val="(%6)"/>
      <w:lvlJc w:val="left"/>
      <w:pPr>
        <w:tabs>
          <w:tab w:val="num" w:pos="4320"/>
        </w:tabs>
        <w:ind w:left="0" w:firstLine="3600"/>
      </w:pPr>
      <w:rPr>
        <w:rFonts w:hint="default"/>
        <w:b w:val="0"/>
        <w:i w:val="0"/>
        <w:caps w:val="0"/>
        <w:smallCaps w:val="0"/>
        <w:u w:val="none"/>
      </w:rPr>
    </w:lvl>
    <w:lvl w:ilvl="6">
      <w:start w:val="1"/>
      <w:numFmt w:val="decimal"/>
      <w:lvlText w:val="(%7)"/>
      <w:lvlJc w:val="left"/>
      <w:pPr>
        <w:tabs>
          <w:tab w:val="num" w:pos="5040"/>
        </w:tabs>
        <w:ind w:left="0" w:firstLine="4320"/>
      </w:pPr>
      <w:rPr>
        <w:rFonts w:hint="default"/>
        <w:b w:val="0"/>
        <w:i w:val="0"/>
        <w:caps w:val="0"/>
        <w:smallCaps w:val="0"/>
        <w:u w:val="none"/>
      </w:rPr>
    </w:lvl>
    <w:lvl w:ilvl="7">
      <w:start w:val="1"/>
      <w:numFmt w:val="lowerRoman"/>
      <w:lvlText w:val="%8)"/>
      <w:lvlJc w:val="left"/>
      <w:pPr>
        <w:tabs>
          <w:tab w:val="num" w:pos="5760"/>
        </w:tabs>
        <w:ind w:left="0" w:firstLine="5040"/>
      </w:pPr>
      <w:rPr>
        <w:rFonts w:hint="default"/>
        <w:b w:val="0"/>
        <w:i w:val="0"/>
        <w:caps w:val="0"/>
        <w:smallCaps w:val="0"/>
        <w:u w:val="none"/>
      </w:rPr>
    </w:lvl>
    <w:lvl w:ilvl="8">
      <w:start w:val="1"/>
      <w:numFmt w:val="lowerLetter"/>
      <w:lvlText w:val="%9)"/>
      <w:lvlJc w:val="left"/>
      <w:pPr>
        <w:tabs>
          <w:tab w:val="num" w:pos="6480"/>
        </w:tabs>
        <w:ind w:left="0" w:firstLine="5760"/>
      </w:pPr>
      <w:rPr>
        <w:rFonts w:hint="default"/>
        <w:b w:val="0"/>
        <w:i w:val="0"/>
        <w:caps w:val="0"/>
        <w:smallCaps w:val="0"/>
        <w:u w:val="none"/>
      </w:rPr>
    </w:lvl>
  </w:abstractNum>
  <w:abstractNum w:abstractNumId="17" w15:restartNumberingAfterBreak="0">
    <w:nsid w:val="153660F0"/>
    <w:multiLevelType w:val="multilevel"/>
    <w:tmpl w:val="9F9C9AEA"/>
    <w:name w:val="Article5"/>
    <w:lvl w:ilvl="0">
      <w:start w:val="1"/>
      <w:numFmt w:val="decimal"/>
      <w:pStyle w:val="Article5L1"/>
      <w:suff w:val="space"/>
      <w:lvlText w:val="ARTICLE %1 - "/>
      <w:lvlJc w:val="left"/>
      <w:pPr>
        <w:ind w:left="0" w:firstLine="0"/>
      </w:pPr>
      <w:rPr>
        <w:rFonts w:hint="default"/>
        <w:b w:val="0"/>
        <w:i w:val="0"/>
        <w:caps/>
        <w:smallCaps w:val="0"/>
        <w:u w:val="none"/>
      </w:rPr>
    </w:lvl>
    <w:lvl w:ilvl="1">
      <w:start w:val="1"/>
      <w:numFmt w:val="decimal"/>
      <w:pStyle w:val="Article5L2"/>
      <w:isLgl/>
      <w:lvlText w:val="%1.%2"/>
      <w:lvlJc w:val="left"/>
      <w:pPr>
        <w:tabs>
          <w:tab w:val="num" w:pos="1440"/>
        </w:tabs>
        <w:ind w:left="0" w:firstLine="720"/>
      </w:pPr>
      <w:rPr>
        <w:rFonts w:hint="default"/>
        <w:b w:val="0"/>
        <w:i w:val="0"/>
        <w:caps w:val="0"/>
        <w:smallCaps w:val="0"/>
        <w:u w:val="none"/>
      </w:rPr>
    </w:lvl>
    <w:lvl w:ilvl="2">
      <w:start w:val="1"/>
      <w:numFmt w:val="decimal"/>
      <w:pStyle w:val="Article5L3"/>
      <w:isLgl/>
      <w:lvlText w:val="%1.%2.%3"/>
      <w:lvlJc w:val="left"/>
      <w:pPr>
        <w:tabs>
          <w:tab w:val="num" w:pos="2520"/>
        </w:tabs>
        <w:ind w:left="0" w:firstLine="1440"/>
      </w:pPr>
      <w:rPr>
        <w:rFonts w:hint="default"/>
        <w:b w:val="0"/>
        <w:i w:val="0"/>
        <w:caps w:val="0"/>
        <w:smallCaps w:val="0"/>
        <w:u w:val="none"/>
      </w:rPr>
    </w:lvl>
    <w:lvl w:ilvl="3">
      <w:start w:val="1"/>
      <w:numFmt w:val="decimal"/>
      <w:pStyle w:val="Article5L4"/>
      <w:isLgl/>
      <w:lvlText w:val="%1.%2.%3.%4"/>
      <w:lvlJc w:val="left"/>
      <w:pPr>
        <w:tabs>
          <w:tab w:val="num" w:pos="3168"/>
        </w:tabs>
        <w:ind w:left="1440" w:firstLine="720"/>
      </w:pPr>
      <w:rPr>
        <w:rFonts w:hint="default"/>
        <w:b w:val="0"/>
        <w:i w:val="0"/>
        <w:caps w:val="0"/>
        <w:smallCaps w:val="0"/>
        <w:u w:val="none"/>
      </w:rPr>
    </w:lvl>
    <w:lvl w:ilvl="4">
      <w:start w:val="1"/>
      <w:numFmt w:val="decimal"/>
      <w:pStyle w:val="Article5L5"/>
      <w:isLgl/>
      <w:lvlText w:val="%1.%2.%3.%4.%5"/>
      <w:lvlJc w:val="left"/>
      <w:pPr>
        <w:tabs>
          <w:tab w:val="num" w:pos="4320"/>
        </w:tabs>
        <w:ind w:left="0" w:firstLine="3168"/>
      </w:pPr>
      <w:rPr>
        <w:rFonts w:hint="default"/>
        <w:b w:val="0"/>
        <w:i w:val="0"/>
        <w:caps w:val="0"/>
        <w:smallCaps w:val="0"/>
        <w:u w:val="none"/>
      </w:rPr>
    </w:lvl>
    <w:lvl w:ilvl="5">
      <w:start w:val="1"/>
      <w:numFmt w:val="lowerLetter"/>
      <w:pStyle w:val="Article5L6"/>
      <w:lvlText w:val="(%6)"/>
      <w:lvlJc w:val="left"/>
      <w:pPr>
        <w:tabs>
          <w:tab w:val="num" w:pos="2160"/>
        </w:tabs>
        <w:ind w:left="0" w:firstLine="1440"/>
      </w:pPr>
      <w:rPr>
        <w:rFonts w:ascii="Arial" w:hAnsi="Arial" w:cs="Arial" w:hint="default"/>
        <w:b w:val="0"/>
        <w:i w:val="0"/>
        <w:caps w:val="0"/>
        <w:smallCaps w:val="0"/>
        <w:u w:val="none"/>
      </w:rPr>
    </w:lvl>
    <w:lvl w:ilvl="6">
      <w:start w:val="1"/>
      <w:numFmt w:val="lowerRoman"/>
      <w:pStyle w:val="Article5L7"/>
      <w:lvlText w:val="(%7)"/>
      <w:lvlJc w:val="left"/>
      <w:pPr>
        <w:tabs>
          <w:tab w:val="num" w:pos="2160"/>
        </w:tabs>
        <w:ind w:left="2160" w:hanging="720"/>
      </w:pPr>
      <w:rPr>
        <w:rFonts w:hint="default"/>
        <w:b w:val="0"/>
        <w:i w:val="0"/>
        <w:caps w:val="0"/>
        <w:smallCaps w:val="0"/>
        <w:u w:val="none"/>
      </w:rPr>
    </w:lvl>
    <w:lvl w:ilvl="7">
      <w:start w:val="1"/>
      <w:numFmt w:val="decimal"/>
      <w:pStyle w:val="Article5L8"/>
      <w:lvlText w:val="(%8)"/>
      <w:lvlJc w:val="left"/>
      <w:pPr>
        <w:tabs>
          <w:tab w:val="num" w:pos="6480"/>
        </w:tabs>
        <w:ind w:left="0" w:firstLine="5760"/>
      </w:pPr>
      <w:rPr>
        <w:rFonts w:hint="default"/>
        <w:b w:val="0"/>
        <w:i w:val="0"/>
        <w:caps w:val="0"/>
        <w:smallCaps w:val="0"/>
        <w:u w:val="none"/>
      </w:rPr>
    </w:lvl>
    <w:lvl w:ilvl="8">
      <w:start w:val="1"/>
      <w:numFmt w:val="none"/>
      <w:suff w:val="nothing"/>
      <w:lvlText w:val=""/>
      <w:lvlJc w:val="left"/>
      <w:pPr>
        <w:ind w:left="0" w:firstLine="0"/>
      </w:pPr>
      <w:rPr>
        <w:rFonts w:hint="default"/>
        <w:b w:val="0"/>
        <w:i w:val="0"/>
        <w:caps w:val="0"/>
        <w:smallCaps w:val="0"/>
        <w:u w:val="none"/>
      </w:rPr>
    </w:lvl>
  </w:abstractNum>
  <w:abstractNum w:abstractNumId="18" w15:restartNumberingAfterBreak="0">
    <w:nsid w:val="163074B8"/>
    <w:multiLevelType w:val="multilevel"/>
    <w:tmpl w:val="A22E42A8"/>
    <w:name w:val="zGZ1"/>
    <w:lvl w:ilvl="0">
      <w:start w:val="1"/>
      <w:numFmt w:val="decimal"/>
      <w:pStyle w:val="zGZ1"/>
      <w:lvlText w:val="%1."/>
      <w:lvlJc w:val="left"/>
      <w:pPr>
        <w:ind w:left="360" w:hanging="360"/>
      </w:pPr>
      <w:rPr>
        <w:rFonts w:ascii="Arial Bold" w:hAnsi="Arial Bold" w:hint="default"/>
        <w:b/>
        <w:i w:val="0"/>
        <w:caps w:val="0"/>
        <w:strike w:val="0"/>
        <w:dstrike w:val="0"/>
        <w:vanish w:val="0"/>
        <w:color w:val="000000" w:themeColor="text1"/>
        <w:sz w:val="20"/>
        <w:u w:val="none"/>
        <w:vertAlign w:val="baseline"/>
      </w:rPr>
    </w:lvl>
    <w:lvl w:ilvl="1">
      <w:start w:val="1"/>
      <w:numFmt w:val="upperLetter"/>
      <w:pStyle w:val="zGZ2"/>
      <w:lvlText w:val="%2."/>
      <w:lvlJc w:val="left"/>
      <w:pPr>
        <w:tabs>
          <w:tab w:val="num" w:pos="576"/>
        </w:tabs>
        <w:ind w:left="288" w:firstLine="0"/>
      </w:pPr>
      <w:rPr>
        <w:rFonts w:ascii="Arial" w:hAnsi="Arial" w:hint="default"/>
        <w:b/>
        <w:i w:val="0"/>
        <w:caps w:val="0"/>
        <w:strike w:val="0"/>
        <w:dstrike w:val="0"/>
        <w:vanish w:val="0"/>
        <w:color w:val="000000" w:themeColor="text1"/>
        <w:sz w:val="20"/>
        <w:vertAlign w:val="baseline"/>
      </w:rPr>
    </w:lvl>
    <w:lvl w:ilvl="2">
      <w:start w:val="1"/>
      <w:numFmt w:val="lowerRoman"/>
      <w:pStyle w:val="zGZ3"/>
      <w:lvlText w:val="%3."/>
      <w:lvlJc w:val="left"/>
      <w:pPr>
        <w:tabs>
          <w:tab w:val="num" w:pos="1080"/>
        </w:tabs>
        <w:ind w:left="1080" w:hanging="504"/>
      </w:pPr>
      <w:rPr>
        <w:rFonts w:ascii="Arial" w:hAnsi="Arial" w:hint="default"/>
        <w:b/>
        <w:i w:val="0"/>
        <w:caps w:val="0"/>
        <w:strike w:val="0"/>
        <w:dstrike w:val="0"/>
        <w:vanish w:val="0"/>
        <w:color w:val="000000" w:themeColor="text1"/>
        <w:sz w:val="20"/>
        <w:vertAlign w:val="baseline"/>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73C1E81"/>
    <w:multiLevelType w:val="multilevel"/>
    <w:tmpl w:val="FDE60D78"/>
    <w:lvl w:ilvl="0">
      <w:start w:val="1"/>
      <w:numFmt w:val="decimal"/>
      <w:lvlText w:val="Part %1"/>
      <w:lvlJc w:val="left"/>
      <w:pPr>
        <w:tabs>
          <w:tab w:val="num" w:pos="936"/>
        </w:tabs>
        <w:ind w:left="936" w:hanging="936"/>
      </w:pPr>
      <w:rPr>
        <w:rFonts w:ascii="Arial" w:hAnsi="Arial"/>
        <w:b/>
        <w:i w:val="0"/>
        <w:caps/>
        <w:strike w:val="0"/>
        <w:dstrike w:val="0"/>
        <w:vanish w:val="0"/>
        <w:color w:val="000000"/>
        <w:sz w:val="20"/>
        <w:u w:val="none"/>
      </w:rPr>
    </w:lvl>
    <w:lvl w:ilvl="1">
      <w:start w:val="1"/>
      <w:numFmt w:val="decimal"/>
      <w:lvlText w:val="%1.%2"/>
      <w:lvlJc w:val="left"/>
      <w:pPr>
        <w:tabs>
          <w:tab w:val="num" w:pos="576"/>
        </w:tabs>
      </w:pPr>
      <w:rPr>
        <w:rFonts w:ascii="Arial" w:hAnsi="Arial"/>
        <w:b/>
        <w:i w:val="0"/>
        <w:caps/>
        <w:strike w:val="0"/>
        <w:dstrike w:val="0"/>
        <w:vanish w:val="0"/>
        <w:color w:val="000000"/>
        <w:sz w:val="20"/>
        <w:u w:val="none"/>
      </w:rPr>
    </w:lvl>
    <w:lvl w:ilvl="2">
      <w:start w:val="1"/>
      <w:numFmt w:val="upperLetter"/>
      <w:lvlText w:val="%3."/>
      <w:lvlJc w:val="left"/>
      <w:pPr>
        <w:tabs>
          <w:tab w:val="num" w:pos="576"/>
        </w:tabs>
        <w:ind w:left="259"/>
      </w:pPr>
      <w:rPr>
        <w:rFonts w:ascii="Arial" w:hAnsi="Arial"/>
        <w:b/>
        <w:i w:val="0"/>
        <w:caps w:val="0"/>
        <w:strike w:val="0"/>
        <w:dstrike w:val="0"/>
        <w:vanish w:val="0"/>
        <w:color w:val="000000"/>
        <w:sz w:val="20"/>
        <w:u w:val="none"/>
      </w:rPr>
    </w:lvl>
    <w:lvl w:ilvl="3">
      <w:start w:val="1"/>
      <w:numFmt w:val="lowerRoman"/>
      <w:lvlText w:val="(%4)"/>
      <w:lvlJc w:val="left"/>
      <w:pPr>
        <w:tabs>
          <w:tab w:val="num" w:pos="864"/>
        </w:tabs>
        <w:ind w:left="360"/>
      </w:pPr>
      <w:rPr>
        <w:rFonts w:ascii="Arial" w:hAnsi="Arial"/>
        <w:b/>
        <w:i w:val="0"/>
        <w:caps w:val="0"/>
        <w:strike w:val="0"/>
        <w:dstrike w:val="0"/>
        <w:vanish w:val="0"/>
        <w:color w:val="000000"/>
        <w:sz w:val="20"/>
        <w:u w:val="none"/>
      </w:rPr>
    </w:lvl>
    <w:lvl w:ilvl="4">
      <w:start w:val="1"/>
      <w:numFmt w:val="lowerLetter"/>
      <w:lvlText w:val="(%5)"/>
      <w:lvlJc w:val="left"/>
      <w:pPr>
        <w:tabs>
          <w:tab w:val="num" w:pos="1195"/>
        </w:tabs>
        <w:ind w:left="864"/>
      </w:pPr>
      <w:rPr>
        <w:rFonts w:ascii="Arial" w:hAnsi="Arial"/>
        <w:b/>
        <w:i w:val="0"/>
        <w:caps w:val="0"/>
        <w:strike w:val="0"/>
        <w:dstrike w:val="0"/>
        <w:vanish w:val="0"/>
        <w:color w:val="000000"/>
        <w:sz w:val="20"/>
        <w:u w:val="none"/>
      </w:rPr>
    </w:lvl>
    <w:lvl w:ilvl="5">
      <w:start w:val="1"/>
      <w:numFmt w:val="lowerRoman"/>
      <w:lvlText w:val="(%6)"/>
      <w:lvlJc w:val="left"/>
      <w:pPr>
        <w:ind w:left="2160" w:hanging="360"/>
      </w:pPr>
    </w:lvl>
    <w:lvl w:ilvl="6">
      <w:start w:val="1"/>
      <w:numFmt w:val="lowerRoman"/>
      <w:lvlText w:val="(%7)"/>
      <w:lvlJc w:val="left"/>
      <w:pPr>
        <w:ind w:left="2520" w:hanging="360"/>
      </w:pPr>
      <w:rPr>
        <w:rFonts w:ascii="Arial" w:eastAsia="Times New Roman"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82A0AC2"/>
    <w:multiLevelType w:val="hybridMultilevel"/>
    <w:tmpl w:val="1F7298C4"/>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86C00A6"/>
    <w:multiLevelType w:val="multilevel"/>
    <w:tmpl w:val="272ADCC8"/>
    <w:lvl w:ilvl="0">
      <w:start w:val="1"/>
      <w:numFmt w:val="decimal"/>
      <w:lvlText w:val="Part %1."/>
      <w:lvlJc w:val="left"/>
      <w:pPr>
        <w:tabs>
          <w:tab w:val="num" w:pos="936"/>
        </w:tabs>
        <w:ind w:left="936" w:hanging="936"/>
      </w:pPr>
      <w:rPr>
        <w:rFonts w:ascii="Arial Bold" w:hAnsi="Arial Bold" w:cs="Times New Roman" w:hint="default"/>
        <w:b/>
        <w:bCs w:val="0"/>
        <w:i w:val="0"/>
        <w:iCs w:val="0"/>
        <w:caps/>
        <w:smallCaps w:val="0"/>
        <w:strike w:val="0"/>
        <w:dstrike w:val="0"/>
        <w:outline w:val="0"/>
        <w:shadow w:val="0"/>
        <w:emboss w:val="0"/>
        <w:imprint w:val="0"/>
        <w:noProof w:val="0"/>
        <w:vanish w:val="0"/>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tabs>
          <w:tab w:val="num" w:pos="720"/>
        </w:tabs>
        <w:ind w:left="0" w:firstLine="0"/>
      </w:pPr>
      <w:rPr>
        <w:rFonts w:ascii="Arial" w:hAnsi="Arial" w:hint="default"/>
        <w:b/>
        <w:i w:val="0"/>
        <w:caps/>
        <w:strike w:val="0"/>
        <w:dstrike w:val="0"/>
        <w:vanish w:val="0"/>
        <w:color w:val="000000" w:themeColor="text1"/>
        <w:sz w:val="20"/>
        <w:u w:val="none"/>
        <w:vertAlign w:val="baseline"/>
      </w:rPr>
    </w:lvl>
    <w:lvl w:ilvl="2">
      <w:start w:val="1"/>
      <w:numFmt w:val="decimal"/>
      <w:isLgl/>
      <w:lvlText w:val="%1.%2.%3."/>
      <w:lvlJc w:val="left"/>
      <w:pPr>
        <w:tabs>
          <w:tab w:val="num" w:pos="1368"/>
        </w:tabs>
        <w:ind w:left="720" w:firstLine="0"/>
      </w:pPr>
      <w:rPr>
        <w:rFonts w:ascii="Arial" w:hAnsi="Arial" w:hint="default"/>
        <w:b/>
        <w:i w:val="0"/>
        <w:caps w:val="0"/>
        <w:strike w:val="0"/>
        <w:dstrike w:val="0"/>
        <w:vanish w:val="0"/>
        <w:color w:val="000000" w:themeColor="text1"/>
        <w:sz w:val="20"/>
        <w:u w:val="none"/>
        <w:vertAlign w:val="baseline"/>
      </w:rPr>
    </w:lvl>
    <w:lvl w:ilvl="3">
      <w:start w:val="1"/>
      <w:numFmt w:val="lowerRoman"/>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 w:ilvl="4">
      <w:start w:val="1"/>
      <w:numFmt w:val="lowerLetter"/>
      <w:lvlText w:val="(%5)"/>
      <w:lvlJc w:val="left"/>
      <w:pPr>
        <w:tabs>
          <w:tab w:val="num" w:pos="2448"/>
        </w:tabs>
        <w:ind w:left="1944" w:firstLine="0"/>
      </w:pPr>
      <w:rPr>
        <w:rFonts w:ascii="Arial" w:hAnsi="Arial"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0A73F96"/>
    <w:multiLevelType w:val="multilevel"/>
    <w:tmpl w:val="4AB2E21C"/>
    <w:styleLink w:val="zGzListStyle2"/>
    <w:lvl w:ilvl="0">
      <w:start w:val="6"/>
      <w:numFmt w:val="decimal"/>
      <w:lvlText w:val="%1."/>
      <w:lvlJc w:val="left"/>
      <w:pPr>
        <w:tabs>
          <w:tab w:val="num" w:pos="720"/>
        </w:tabs>
        <w:ind w:left="720" w:hanging="360"/>
      </w:pPr>
      <w:rPr>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44E532C"/>
    <w:multiLevelType w:val="hybridMultilevel"/>
    <w:tmpl w:val="16BC7F6A"/>
    <w:lvl w:ilvl="0" w:tplc="0409001B">
      <w:start w:val="1"/>
      <w:numFmt w:val="lowerRoman"/>
      <w:lvlText w:val="%1."/>
      <w:lvlJc w:val="right"/>
      <w:pPr>
        <w:ind w:left="1156" w:hanging="360"/>
      </w:p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24" w15:restartNumberingAfterBreak="0">
    <w:nsid w:val="36935962"/>
    <w:multiLevelType w:val="multilevel"/>
    <w:tmpl w:val="BB38E18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7FA42C3"/>
    <w:multiLevelType w:val="multilevel"/>
    <w:tmpl w:val="BB426256"/>
    <w:lvl w:ilvl="0">
      <w:start w:val="1"/>
      <w:numFmt w:val="decimal"/>
      <w:lvlText w:val="%1."/>
      <w:lvlJc w:val="left"/>
      <w:pPr>
        <w:tabs>
          <w:tab w:val="num" w:pos="720"/>
        </w:tabs>
        <w:ind w:left="720" w:hanging="360"/>
      </w:pPr>
      <w:rPr>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F2DDFD7"/>
    <w:multiLevelType w:val="multilevel"/>
    <w:tmpl w:val="AD1C80B4"/>
    <w:name w:val="zGTC01"/>
    <w:lvl w:ilvl="0">
      <w:start w:val="6"/>
      <w:numFmt w:val="decimal"/>
      <w:lvlText w:val="Part %1."/>
      <w:lvlJc w:val="left"/>
      <w:pPr>
        <w:tabs>
          <w:tab w:val="num" w:pos="936"/>
        </w:tabs>
        <w:ind w:left="936" w:hanging="936"/>
      </w:pPr>
      <w:rPr>
        <w:b/>
        <w:bCs w:val="0"/>
        <w:i w:val="0"/>
        <w:iCs w:val="0"/>
        <w:caps/>
        <w:smallCaps w:val="0"/>
        <w:strike w:val="0"/>
        <w:dstrike w:val="0"/>
        <w:outline w:val="0"/>
        <w:shadow w:val="0"/>
        <w:emboss w:val="0"/>
        <w:imprint w:val="0"/>
        <w:noProof w:val="0"/>
        <w:vanish w:val="0"/>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5"/>
      <w:numFmt w:val="decimal"/>
      <w:lvlText w:val="%1.%2"/>
      <w:lvlJc w:val="left"/>
      <w:pPr>
        <w:tabs>
          <w:tab w:val="num" w:pos="720"/>
        </w:tabs>
        <w:ind w:left="0" w:firstLine="0"/>
      </w:pPr>
      <w:rPr>
        <w:b/>
        <w:i w:val="0"/>
        <w:caps/>
        <w:strike w:val="0"/>
        <w:dstrike w:val="0"/>
        <w:vanish w:val="0"/>
        <w:color w:val="000000" w:themeColor="text1"/>
        <w:sz w:val="20"/>
        <w:u w:val="none"/>
        <w:vertAlign w:val="baseline"/>
      </w:rPr>
    </w:lvl>
    <w:lvl w:ilvl="2">
      <w:start w:val="1"/>
      <w:numFmt w:val="decimal"/>
      <w:lvlText w:val="%1.%2.%3."/>
      <w:lvlJc w:val="left"/>
      <w:pPr>
        <w:tabs>
          <w:tab w:val="num" w:pos="1368"/>
        </w:tabs>
        <w:ind w:left="720" w:firstLine="0"/>
      </w:pPr>
      <w:rPr>
        <w:b/>
        <w:i w:val="0"/>
        <w:caps w:val="0"/>
        <w:strike w:val="0"/>
        <w:dstrike w:val="0"/>
        <w:vanish w:val="0"/>
        <w:color w:val="000000" w:themeColor="text1"/>
        <w:sz w:val="20"/>
        <w:u w:val="none"/>
        <w:vertAlign w:val="baseline"/>
      </w:rPr>
    </w:lvl>
    <w:lvl w:ilvl="3">
      <w:start w:val="1"/>
      <w:numFmt w:val="lowerRoman"/>
      <w:lvlText w:val="(%4)"/>
      <w:lvlJc w:val="left"/>
      <w:pPr>
        <w:tabs>
          <w:tab w:val="num" w:pos="1944"/>
        </w:tabs>
        <w:ind w:left="1440" w:firstLine="0"/>
      </w:pPr>
      <w:rPr>
        <w:b/>
        <w:i w:val="0"/>
        <w:caps w:val="0"/>
        <w:strike w:val="0"/>
        <w:dstrike w:val="0"/>
        <w:vanish w:val="0"/>
        <w:color w:val="000000" w:themeColor="text1"/>
        <w:sz w:val="20"/>
        <w:u w:val="none"/>
        <w:vertAlign w:val="baseline"/>
      </w:rPr>
    </w:lvl>
    <w:lvl w:ilvl="4">
      <w:start w:val="1"/>
      <w:numFmt w:val="lowerLetter"/>
      <w:lvlText w:val="(%5)"/>
      <w:lvlJc w:val="left"/>
      <w:pPr>
        <w:tabs>
          <w:tab w:val="num" w:pos="2448"/>
        </w:tabs>
        <w:ind w:left="1944" w:firstLine="0"/>
      </w:pPr>
      <w:rPr>
        <w:b/>
        <w:i w:val="0"/>
        <w:caps w:val="0"/>
        <w:strike w:val="0"/>
        <w:dstrike w:val="0"/>
        <w:vanish w:val="0"/>
        <w:color w:val="000000" w:themeColor="text1"/>
        <w:sz w:val="20"/>
        <w:u w:val="none"/>
        <w:vertAlign w:val="baseline"/>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1AB6FD6"/>
    <w:multiLevelType w:val="multilevel"/>
    <w:tmpl w:val="658067F2"/>
    <w:styleLink w:val="zGzListStyle3"/>
    <w:lvl w:ilvl="0">
      <w:start w:val="7"/>
      <w:numFmt w:val="decimal"/>
      <w:lvlText w:val="%1."/>
      <w:lvlJc w:val="left"/>
      <w:pPr>
        <w:tabs>
          <w:tab w:val="num" w:pos="720"/>
        </w:tabs>
        <w:ind w:left="720" w:hanging="360"/>
      </w:pPr>
      <w:rPr>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8DB2F8E"/>
    <w:multiLevelType w:val="multilevel"/>
    <w:tmpl w:val="F55A15B2"/>
    <w:lvl w:ilvl="0">
      <w:start w:val="3"/>
      <w:numFmt w:val="decimal"/>
      <w:lvlText w:val="%1."/>
      <w:lvlJc w:val="left"/>
      <w:pPr>
        <w:tabs>
          <w:tab w:val="num" w:pos="720"/>
        </w:tabs>
        <w:ind w:left="720" w:hanging="360"/>
      </w:pPr>
      <w:rPr>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A3D56B3"/>
    <w:multiLevelType w:val="multilevel"/>
    <w:tmpl w:val="5E289046"/>
    <w:styleLink w:val="Style2"/>
    <w:lvl w:ilvl="0">
      <w:start w:val="5"/>
      <w:numFmt w:val="decimal"/>
      <w:lvlText w:val="%1."/>
      <w:lvlJc w:val="left"/>
      <w:pPr>
        <w:tabs>
          <w:tab w:val="num" w:pos="720"/>
        </w:tabs>
        <w:ind w:left="720" w:hanging="360"/>
      </w:pPr>
      <w:rPr>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DDA61B5"/>
    <w:multiLevelType w:val="hybridMultilevel"/>
    <w:tmpl w:val="653E6F24"/>
    <w:styleLink w:val="zGList"/>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E7B19D1"/>
    <w:multiLevelType w:val="multilevel"/>
    <w:tmpl w:val="5D666668"/>
    <w:name w:val="zzmpArticle||Article|2|1|1|3|10|41||1|10|1||1|10|1||1|10|1||1|10|0||1|12|0||1|12|0||1|12|0||1|12|0||"/>
    <w:lvl w:ilvl="0">
      <w:start w:val="1"/>
      <w:numFmt w:val="decimal"/>
      <w:suff w:val="nothing"/>
      <w:lvlText w:val="ARTICLE %1:"/>
      <w:lvlJc w:val="left"/>
      <w:pPr>
        <w:tabs>
          <w:tab w:val="num" w:pos="720"/>
        </w:tabs>
        <w:ind w:left="0" w:firstLine="0"/>
      </w:pPr>
      <w:rPr>
        <w:b/>
        <w:i w:val="0"/>
        <w:caps/>
        <w:smallCaps w:val="0"/>
        <w:u w:val="none"/>
      </w:rPr>
    </w:lvl>
    <w:lvl w:ilvl="1">
      <w:start w:val="1"/>
      <w:numFmt w:val="decimal"/>
      <w:isLgl/>
      <w:lvlText w:val="%1.%2"/>
      <w:lvlJc w:val="left"/>
      <w:pPr>
        <w:tabs>
          <w:tab w:val="num" w:pos="1440"/>
        </w:tabs>
        <w:ind w:left="0" w:firstLine="720"/>
      </w:pPr>
      <w:rPr>
        <w:b w:val="0"/>
        <w:i w:val="0"/>
        <w:caps w:val="0"/>
        <w:smallCaps w:val="0"/>
        <w:u w:val="none"/>
      </w:rPr>
    </w:lvl>
    <w:lvl w:ilvl="2">
      <w:start w:val="1"/>
      <w:numFmt w:val="decimal"/>
      <w:isLgl/>
      <w:lvlText w:val="%1.%2.%3"/>
      <w:lvlJc w:val="left"/>
      <w:pPr>
        <w:tabs>
          <w:tab w:val="num" w:pos="2448"/>
        </w:tabs>
        <w:ind w:left="0" w:firstLine="1440"/>
      </w:pPr>
      <w:rPr>
        <w:b w:val="0"/>
        <w:i w:val="0"/>
        <w:caps w:val="0"/>
        <w:smallCaps w:val="0"/>
        <w:u w:val="none"/>
      </w:rPr>
    </w:lvl>
    <w:lvl w:ilvl="3">
      <w:start w:val="1"/>
      <w:numFmt w:val="lowerLetter"/>
      <w:lvlText w:val="%4."/>
      <w:lvlJc w:val="left"/>
      <w:pPr>
        <w:tabs>
          <w:tab w:val="num" w:pos="2160"/>
        </w:tabs>
        <w:ind w:left="2160" w:hanging="720"/>
      </w:pPr>
      <w:rPr>
        <w:b w:val="0"/>
        <w:i w:val="0"/>
        <w:caps w:val="0"/>
        <w:smallCaps w:val="0"/>
        <w:u w:val="none"/>
      </w:rPr>
    </w:lvl>
    <w:lvl w:ilvl="4">
      <w:start w:val="1"/>
      <w:numFmt w:val="lowerRoman"/>
      <w:lvlText w:val="(%5)"/>
      <w:lvlJc w:val="left"/>
      <w:pPr>
        <w:tabs>
          <w:tab w:val="num" w:pos="2160"/>
        </w:tabs>
        <w:ind w:left="720" w:firstLine="720"/>
      </w:pPr>
      <w:rPr>
        <w:b w:val="0"/>
        <w:i w:val="0"/>
        <w:caps w:val="0"/>
        <w:smallCaps w:val="0"/>
        <w:u w:val="none"/>
      </w:rPr>
    </w:lvl>
    <w:lvl w:ilvl="5">
      <w:start w:val="1"/>
      <w:numFmt w:val="decimal"/>
      <w:lvlText w:val="(%6)"/>
      <w:lvlJc w:val="left"/>
      <w:pPr>
        <w:tabs>
          <w:tab w:val="num" w:pos="4320"/>
        </w:tabs>
        <w:ind w:left="0" w:firstLine="3600"/>
      </w:pPr>
      <w:rPr>
        <w:b w:val="0"/>
        <w:i w:val="0"/>
        <w:caps w:val="0"/>
        <w:smallCaps w:val="0"/>
        <w:u w:val="none"/>
      </w:rPr>
    </w:lvl>
    <w:lvl w:ilvl="6">
      <w:start w:val="1"/>
      <w:numFmt w:val="lowerLetter"/>
      <w:lvlText w:val="%7."/>
      <w:lvlJc w:val="left"/>
      <w:pPr>
        <w:tabs>
          <w:tab w:val="num" w:pos="5040"/>
        </w:tabs>
        <w:ind w:left="0" w:firstLine="4320"/>
      </w:pPr>
      <w:rPr>
        <w:b w:val="0"/>
        <w:i w:val="0"/>
        <w:caps w:val="0"/>
        <w:smallCaps w:val="0"/>
        <w:u w:val="none"/>
      </w:rPr>
    </w:lvl>
    <w:lvl w:ilvl="7">
      <w:start w:val="1"/>
      <w:numFmt w:val="lowerRoman"/>
      <w:lvlText w:val="%8."/>
      <w:lvlJc w:val="left"/>
      <w:pPr>
        <w:tabs>
          <w:tab w:val="num" w:pos="5760"/>
        </w:tabs>
        <w:ind w:left="0" w:firstLine="5040"/>
      </w:pPr>
      <w:rPr>
        <w:b w:val="0"/>
        <w:i w:val="0"/>
        <w:caps w:val="0"/>
        <w:smallCaps w:val="0"/>
        <w:u w:val="none"/>
      </w:rPr>
    </w:lvl>
    <w:lvl w:ilvl="8">
      <w:start w:val="1"/>
      <w:numFmt w:val="decimal"/>
      <w:lvlText w:val="%9."/>
      <w:lvlJc w:val="left"/>
      <w:pPr>
        <w:tabs>
          <w:tab w:val="num" w:pos="6480"/>
        </w:tabs>
        <w:ind w:left="0" w:firstLine="5760"/>
      </w:pPr>
      <w:rPr>
        <w:b w:val="0"/>
        <w:i w:val="0"/>
        <w:caps w:val="0"/>
        <w:smallCaps w:val="0"/>
        <w:u w:val="none"/>
      </w:rPr>
    </w:lvl>
  </w:abstractNum>
  <w:abstractNum w:abstractNumId="32" w15:restartNumberingAfterBreak="0">
    <w:nsid w:val="60804F57"/>
    <w:multiLevelType w:val="multilevel"/>
    <w:tmpl w:val="6E6A358A"/>
    <w:name w:val="zzmpPleading1||Pleading1|2|1|1|1|10|41||1|10|33||1|10|32||1|10|32||1|10|32||1|12|32||1|12|32||1|12|32||1|12|32||"/>
    <w:lvl w:ilvl="0">
      <w:start w:val="1"/>
      <w:numFmt w:val="upperRoman"/>
      <w:lvlText w:val="%1."/>
      <w:lvlJc w:val="left"/>
      <w:pPr>
        <w:tabs>
          <w:tab w:val="num" w:pos="720"/>
        </w:tabs>
        <w:ind w:left="720" w:hanging="720"/>
      </w:pPr>
      <w:rPr>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1440"/>
        </w:tabs>
        <w:ind w:left="1440" w:hanging="720"/>
      </w:pPr>
      <w:rPr>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2160"/>
        </w:tabs>
        <w:ind w:left="2160" w:hanging="72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4320"/>
        </w:tabs>
        <w:ind w:left="4320" w:hanging="72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lvlText w:val="(%7)"/>
      <w:lvlJc w:val="left"/>
      <w:pPr>
        <w:tabs>
          <w:tab w:val="num" w:pos="5040"/>
        </w:tabs>
        <w:ind w:left="5040" w:hanging="72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5760"/>
        </w:tabs>
        <w:ind w:left="5760" w:hanging="72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6480"/>
        </w:tabs>
        <w:ind w:left="6480" w:hanging="72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69331D87"/>
    <w:multiLevelType w:val="hybridMultilevel"/>
    <w:tmpl w:val="D92C270A"/>
    <w:name w:val="Heading3"/>
    <w:lvl w:ilvl="0" w:tplc="2ECEDA62">
      <w:start w:val="1"/>
      <w:numFmt w:val="bullet"/>
      <w:pStyle w:val="ListBullet5"/>
      <w:lvlText w:val=""/>
      <w:lvlJc w:val="left"/>
      <w:pPr>
        <w:ind w:left="1440" w:hanging="360"/>
      </w:pPr>
      <w:rPr>
        <w:rFonts w:ascii="Wingdings" w:hAnsi="Wingdings" w:hint="default"/>
      </w:rPr>
    </w:lvl>
    <w:lvl w:ilvl="1" w:tplc="5DF60B9E" w:tentative="1">
      <w:start w:val="1"/>
      <w:numFmt w:val="bullet"/>
      <w:lvlText w:val="o"/>
      <w:lvlJc w:val="left"/>
      <w:pPr>
        <w:ind w:left="2160" w:hanging="360"/>
      </w:pPr>
      <w:rPr>
        <w:rFonts w:ascii="Courier New" w:hAnsi="Courier New" w:cs="Courier New" w:hint="default"/>
      </w:rPr>
    </w:lvl>
    <w:lvl w:ilvl="2" w:tplc="1668F51A" w:tentative="1">
      <w:start w:val="1"/>
      <w:numFmt w:val="bullet"/>
      <w:lvlText w:val=""/>
      <w:lvlJc w:val="left"/>
      <w:pPr>
        <w:ind w:left="2880" w:hanging="360"/>
      </w:pPr>
      <w:rPr>
        <w:rFonts w:ascii="Wingdings" w:hAnsi="Wingdings" w:hint="default"/>
      </w:rPr>
    </w:lvl>
    <w:lvl w:ilvl="3" w:tplc="7CA6485E" w:tentative="1">
      <w:start w:val="1"/>
      <w:numFmt w:val="bullet"/>
      <w:lvlText w:val=""/>
      <w:lvlJc w:val="left"/>
      <w:pPr>
        <w:ind w:left="3600" w:hanging="360"/>
      </w:pPr>
      <w:rPr>
        <w:rFonts w:ascii="Symbol" w:hAnsi="Symbol" w:hint="default"/>
      </w:rPr>
    </w:lvl>
    <w:lvl w:ilvl="4" w:tplc="CDA8281C" w:tentative="1">
      <w:start w:val="1"/>
      <w:numFmt w:val="bullet"/>
      <w:lvlText w:val="o"/>
      <w:lvlJc w:val="left"/>
      <w:pPr>
        <w:ind w:left="4320" w:hanging="360"/>
      </w:pPr>
      <w:rPr>
        <w:rFonts w:ascii="Courier New" w:hAnsi="Courier New" w:cs="Courier New" w:hint="default"/>
      </w:rPr>
    </w:lvl>
    <w:lvl w:ilvl="5" w:tplc="028E6954" w:tentative="1">
      <w:start w:val="1"/>
      <w:numFmt w:val="bullet"/>
      <w:lvlText w:val=""/>
      <w:lvlJc w:val="left"/>
      <w:pPr>
        <w:ind w:left="5040" w:hanging="360"/>
      </w:pPr>
      <w:rPr>
        <w:rFonts w:ascii="Wingdings" w:hAnsi="Wingdings" w:hint="default"/>
      </w:rPr>
    </w:lvl>
    <w:lvl w:ilvl="6" w:tplc="41908182" w:tentative="1">
      <w:start w:val="1"/>
      <w:numFmt w:val="bullet"/>
      <w:lvlText w:val=""/>
      <w:lvlJc w:val="left"/>
      <w:pPr>
        <w:ind w:left="5760" w:hanging="360"/>
      </w:pPr>
      <w:rPr>
        <w:rFonts w:ascii="Symbol" w:hAnsi="Symbol" w:hint="default"/>
      </w:rPr>
    </w:lvl>
    <w:lvl w:ilvl="7" w:tplc="E19CC51E" w:tentative="1">
      <w:start w:val="1"/>
      <w:numFmt w:val="bullet"/>
      <w:lvlText w:val="o"/>
      <w:lvlJc w:val="left"/>
      <w:pPr>
        <w:ind w:left="6480" w:hanging="360"/>
      </w:pPr>
      <w:rPr>
        <w:rFonts w:ascii="Courier New" w:hAnsi="Courier New" w:cs="Courier New" w:hint="default"/>
      </w:rPr>
    </w:lvl>
    <w:lvl w:ilvl="8" w:tplc="8A4E3F00" w:tentative="1">
      <w:start w:val="1"/>
      <w:numFmt w:val="bullet"/>
      <w:lvlText w:val=""/>
      <w:lvlJc w:val="left"/>
      <w:pPr>
        <w:ind w:left="7200" w:hanging="360"/>
      </w:pPr>
      <w:rPr>
        <w:rFonts w:ascii="Wingdings" w:hAnsi="Wingdings" w:hint="default"/>
      </w:rPr>
    </w:lvl>
  </w:abstractNum>
  <w:abstractNum w:abstractNumId="34" w15:restartNumberingAfterBreak="0">
    <w:nsid w:val="6A29672F"/>
    <w:multiLevelType w:val="multilevel"/>
    <w:tmpl w:val="609A61CC"/>
    <w:lvl w:ilvl="0">
      <w:start w:val="2"/>
      <w:numFmt w:val="decimal"/>
      <w:lvlText w:val="%1."/>
      <w:lvlJc w:val="left"/>
      <w:pPr>
        <w:tabs>
          <w:tab w:val="num" w:pos="720"/>
        </w:tabs>
        <w:ind w:left="720" w:hanging="360"/>
      </w:pPr>
      <w:rPr>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D756D7F"/>
    <w:multiLevelType w:val="hybridMultilevel"/>
    <w:tmpl w:val="F96C4AB6"/>
    <w:lvl w:ilvl="0" w:tplc="00000002">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C26EF4"/>
    <w:multiLevelType w:val="multilevel"/>
    <w:tmpl w:val="731EE736"/>
    <w:name w:val="HeadingStyles||Heading|3|3|0|1|0|41||1|0|32||1|0|32||1|0|32||1|0|32||1|0|32||1|0|32||1|0|32||1|0|36||"/>
    <w:lvl w:ilvl="0">
      <w:start w:val="1"/>
      <w:numFmt w:val="decimal"/>
      <w:suff w:val="nothing"/>
      <w:lvlText w:val="ARTICLE %1"/>
      <w:lvlJc w:val="left"/>
      <w:pPr>
        <w:ind w:left="1440" w:firstLine="0"/>
      </w:pPr>
      <w:rPr>
        <w:rFonts w:ascii="Arial" w:hAnsi="Arial" w:cs="Arial" w:hint="default"/>
        <w:b/>
        <w:i w:val="0"/>
        <w: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360"/>
        </w:tabs>
        <w:ind w:left="-720" w:firstLine="720"/>
      </w:pPr>
      <w:rPr>
        <w:rFonts w:ascii="Arial" w:hAnsi="Arial" w:cs="Arial" w:hint="default"/>
        <w:b w:val="0"/>
        <w:i w:val="0"/>
        <w:caps w:val="0"/>
        <w:strike w:val="0"/>
        <w:dstrike w:val="0"/>
        <w:vanish w:val="0"/>
        <w:color w:val="auto"/>
        <w:spacing w:val="0"/>
        <w:w w:val="100"/>
        <w:kern w:val="0"/>
        <w:position w:val="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0" w:firstLine="1440"/>
      </w:pPr>
      <w:rPr>
        <w:rFonts w:ascii="Arial" w:hAnsi="Arial" w:cs="Arial" w:hint="default"/>
        <w:b w:val="0"/>
        <w:i w:val="0"/>
        <w:caps w:val="0"/>
        <w:strike w:val="0"/>
        <w:dstrike w:val="0"/>
        <w:vanish w:val="0"/>
        <w:color w:val="auto"/>
        <w:spacing w:val="0"/>
        <w:w w:val="100"/>
        <w:kern w:val="0"/>
        <w:position w:val="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880"/>
        </w:tabs>
        <w:ind w:left="0" w:firstLine="2160"/>
      </w:pPr>
      <w:rPr>
        <w:rFonts w:ascii="Arial" w:hAnsi="Arial" w:cs="Arial" w:hint="default"/>
        <w:b w:val="0"/>
        <w:i w:val="0"/>
        <w:caps w:val="0"/>
        <w:strike w:val="0"/>
        <w:dstrike w:val="0"/>
        <w:vanish w:val="0"/>
        <w:color w:val="auto"/>
        <w:spacing w:val="0"/>
        <w:w w:val="100"/>
        <w:kern w:val="0"/>
        <w:position w:val="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1440"/>
        </w:tabs>
        <w:ind w:left="4507" w:hanging="720"/>
      </w:pPr>
      <w:rPr>
        <w:rFonts w:hint="default"/>
        <w:b w:val="0"/>
        <w:i w:val="0"/>
        <w:caps w:val="0"/>
        <w:strike w:val="0"/>
        <w:dstrike w:val="0"/>
        <w:vanish w:val="0"/>
        <w:color w:val="auto"/>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tabs>
          <w:tab w:val="num" w:pos="1440"/>
        </w:tabs>
        <w:ind w:left="5227" w:hanging="720"/>
      </w:pPr>
      <w:rPr>
        <w:rFonts w:hint="default"/>
        <w:b w:val="0"/>
        <w:i w:val="0"/>
        <w:caps w:val="0"/>
        <w:strike w:val="0"/>
        <w:dstrike w:val="0"/>
        <w:vanish w:val="0"/>
        <w:color w:val="auto"/>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ind w:left="5760" w:firstLine="0"/>
      </w:pPr>
      <w:rPr>
        <w:rFonts w:hint="default"/>
      </w:rPr>
    </w:lvl>
    <w:lvl w:ilvl="7">
      <w:start w:val="1"/>
      <w:numFmt w:val="none"/>
      <w:suff w:val="nothing"/>
      <w:lvlText w:val=""/>
      <w:lvlJc w:val="left"/>
      <w:pPr>
        <w:ind w:left="6480" w:firstLine="0"/>
      </w:pPr>
      <w:rPr>
        <w:rFonts w:hint="default"/>
      </w:rPr>
    </w:lvl>
    <w:lvl w:ilvl="8">
      <w:start w:val="1"/>
      <w:numFmt w:val="none"/>
      <w:suff w:val="nothing"/>
      <w:lvlText w:val=""/>
      <w:lvlJc w:val="left"/>
      <w:pPr>
        <w:ind w:left="7200" w:firstLine="0"/>
      </w:pPr>
      <w:rPr>
        <w:rFonts w:hint="default"/>
      </w:rPr>
    </w:lvl>
  </w:abstractNum>
  <w:abstractNum w:abstractNumId="37" w15:restartNumberingAfterBreak="0">
    <w:nsid w:val="6E2D0D93"/>
    <w:multiLevelType w:val="multilevel"/>
    <w:tmpl w:val="5406D782"/>
    <w:name w:val="zzmpOutline||Outline|2|3|1|1|12|9||1|12|1||1|12|1||1|10|1||1|10|0||1|12|0||1|12|0||1|12|0||1|12|0||"/>
    <w:lvl w:ilvl="0">
      <w:start w:val="1"/>
      <w:numFmt w:val="upperRoman"/>
      <w:lvlText w:val="%1."/>
      <w:lvlJc w:val="left"/>
      <w:pPr>
        <w:tabs>
          <w:tab w:val="num" w:pos="1440"/>
        </w:tabs>
        <w:ind w:left="1440" w:hanging="720"/>
      </w:pPr>
      <w:rPr>
        <w:rFonts w:hint="default"/>
        <w:b w:val="0"/>
        <w:i w:val="0"/>
        <w:caps/>
        <w:smallCaps w:val="0"/>
        <w:u w:val="none"/>
      </w:rPr>
    </w:lvl>
    <w:lvl w:ilvl="1">
      <w:start w:val="1"/>
      <w:numFmt w:val="lowerLetter"/>
      <w:lvlText w:val="%2."/>
      <w:lvlJc w:val="left"/>
      <w:pPr>
        <w:tabs>
          <w:tab w:val="num" w:pos="1440"/>
        </w:tabs>
        <w:ind w:left="0" w:firstLine="720"/>
      </w:pPr>
      <w:rPr>
        <w:rFonts w:hint="default"/>
        <w:b w:val="0"/>
        <w:i w:val="0"/>
        <w:caps w:val="0"/>
        <w:smallCaps w:val="0"/>
        <w:u w:val="none"/>
      </w:rPr>
    </w:lvl>
    <w:lvl w:ilvl="2">
      <w:start w:val="1"/>
      <w:numFmt w:val="decimal"/>
      <w:lvlText w:val="%3."/>
      <w:lvlJc w:val="left"/>
      <w:pPr>
        <w:tabs>
          <w:tab w:val="num" w:pos="720"/>
        </w:tabs>
        <w:ind w:left="720" w:hanging="720"/>
      </w:pPr>
      <w:rPr>
        <w:rFonts w:hint="default"/>
        <w:b w:val="0"/>
        <w:i w:val="0"/>
        <w:caps w:val="0"/>
        <w:smallCaps w:val="0"/>
        <w:u w:val="none"/>
      </w:rPr>
    </w:lvl>
    <w:lvl w:ilvl="3">
      <w:start w:val="1"/>
      <w:numFmt w:val="decimal"/>
      <w:lvlText w:val="%4."/>
      <w:lvlJc w:val="left"/>
      <w:pPr>
        <w:tabs>
          <w:tab w:val="num" w:pos="720"/>
        </w:tabs>
        <w:ind w:left="720" w:hanging="720"/>
      </w:pPr>
      <w:rPr>
        <w:rFonts w:hint="default"/>
        <w:b w:val="0"/>
        <w:i w:val="0"/>
        <w:caps w:val="0"/>
        <w:smallCaps w:val="0"/>
        <w:u w:val="none"/>
      </w:rPr>
    </w:lvl>
    <w:lvl w:ilvl="4">
      <w:start w:val="1"/>
      <w:numFmt w:val="upperLetter"/>
      <w:lvlText w:val="%5."/>
      <w:lvlJc w:val="left"/>
      <w:pPr>
        <w:tabs>
          <w:tab w:val="num" w:pos="1530"/>
        </w:tabs>
        <w:ind w:left="90" w:firstLine="720"/>
      </w:pPr>
      <w:rPr>
        <w:rFonts w:hint="default"/>
        <w:b w:val="0"/>
        <w:i w:val="0"/>
        <w:caps w:val="0"/>
        <w:smallCaps w:val="0"/>
        <w:color w:val="auto"/>
        <w:u w:val="none"/>
      </w:rPr>
    </w:lvl>
    <w:lvl w:ilvl="5">
      <w:start w:val="1"/>
      <w:numFmt w:val="lowerLetter"/>
      <w:lvlText w:val="(%6)"/>
      <w:lvlJc w:val="left"/>
      <w:pPr>
        <w:tabs>
          <w:tab w:val="num" w:pos="4320"/>
        </w:tabs>
        <w:ind w:left="0" w:firstLine="3600"/>
      </w:pPr>
      <w:rPr>
        <w:rFonts w:hint="default"/>
        <w:b w:val="0"/>
        <w:i w:val="0"/>
        <w:caps w:val="0"/>
        <w:smallCaps w:val="0"/>
        <w:u w:val="none"/>
      </w:rPr>
    </w:lvl>
    <w:lvl w:ilvl="6">
      <w:start w:val="1"/>
      <w:numFmt w:val="decimal"/>
      <w:lvlText w:val="(%7)"/>
      <w:lvlJc w:val="left"/>
      <w:pPr>
        <w:tabs>
          <w:tab w:val="num" w:pos="5040"/>
        </w:tabs>
        <w:ind w:left="0" w:firstLine="4320"/>
      </w:pPr>
      <w:rPr>
        <w:rFonts w:hint="default"/>
        <w:b w:val="0"/>
        <w:i w:val="0"/>
        <w:caps w:val="0"/>
        <w:smallCaps w:val="0"/>
        <w:u w:val="none"/>
      </w:rPr>
    </w:lvl>
    <w:lvl w:ilvl="7">
      <w:start w:val="1"/>
      <w:numFmt w:val="lowerRoman"/>
      <w:lvlText w:val="%8)"/>
      <w:lvlJc w:val="left"/>
      <w:pPr>
        <w:tabs>
          <w:tab w:val="num" w:pos="5760"/>
        </w:tabs>
        <w:ind w:left="0" w:firstLine="5040"/>
      </w:pPr>
      <w:rPr>
        <w:rFonts w:hint="default"/>
        <w:b w:val="0"/>
        <w:i w:val="0"/>
        <w:caps w:val="0"/>
        <w:smallCaps w:val="0"/>
        <w:u w:val="none"/>
      </w:rPr>
    </w:lvl>
    <w:lvl w:ilvl="8">
      <w:start w:val="1"/>
      <w:numFmt w:val="lowerLetter"/>
      <w:lvlText w:val="%9)"/>
      <w:lvlJc w:val="left"/>
      <w:pPr>
        <w:tabs>
          <w:tab w:val="num" w:pos="6480"/>
        </w:tabs>
        <w:ind w:left="0" w:firstLine="5760"/>
      </w:pPr>
      <w:rPr>
        <w:rFonts w:hint="default"/>
        <w:b w:val="0"/>
        <w:i w:val="0"/>
        <w:caps w:val="0"/>
        <w:smallCaps w:val="0"/>
        <w:u w:val="none"/>
      </w:rPr>
    </w:lvl>
  </w:abstractNum>
  <w:abstractNum w:abstractNumId="38" w15:restartNumberingAfterBreak="0">
    <w:nsid w:val="7DF57309"/>
    <w:multiLevelType w:val="multilevel"/>
    <w:tmpl w:val="0C825DAC"/>
    <w:name w:val="zGBody"/>
    <w:lvl w:ilvl="0">
      <w:start w:val="1"/>
      <w:numFmt w:val="decimal"/>
      <w:pStyle w:val="zGBody1"/>
      <w:isLgl/>
      <w:lvlText w:val="PART %1."/>
      <w:lvlJc w:val="left"/>
      <w:pPr>
        <w:tabs>
          <w:tab w:val="num" w:pos="1152"/>
        </w:tabs>
        <w:ind w:left="1152" w:hanging="1152"/>
      </w:pPr>
      <w:rPr>
        <w:rFonts w:ascii="Arial Bold" w:hAnsi="Arial Bold" w:hint="default"/>
        <w:b/>
        <w:i w:val="0"/>
        <w:caps/>
        <w:strike w:val="0"/>
        <w:dstrike w:val="0"/>
        <w:vanish w:val="0"/>
        <w:color w:val="auto"/>
        <w:sz w:val="20"/>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zGBody2"/>
      <w:isLgl/>
      <w:lvlText w:val="%1.%2."/>
      <w:lvlJc w:val="left"/>
      <w:pPr>
        <w:tabs>
          <w:tab w:val="num" w:pos="1152"/>
        </w:tabs>
        <w:ind w:left="1152" w:hanging="576"/>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zGBody3"/>
      <w:isLgl/>
      <w:lvlText w:val="%1.%2.%3."/>
      <w:lvlJc w:val="left"/>
      <w:pPr>
        <w:tabs>
          <w:tab w:val="num" w:pos="1872"/>
        </w:tabs>
        <w:ind w:left="1152"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pStyle w:val="zGBody4"/>
      <w:lvlText w:val="%4."/>
      <w:lvlJc w:val="left"/>
      <w:pPr>
        <w:tabs>
          <w:tab w:val="num" w:pos="1728"/>
        </w:tabs>
        <w:ind w:left="1584"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zGBody5"/>
      <w:lvlText w:val="(%5)."/>
      <w:lvlJc w:val="left"/>
      <w:pPr>
        <w:tabs>
          <w:tab w:val="num" w:pos="2304"/>
        </w:tabs>
        <w:ind w:left="1872" w:firstLine="0"/>
      </w:pPr>
      <w:rPr>
        <w:rFonts w:ascii="Arial Bold" w:hAnsi="Arial Bold" w:hint="default"/>
        <w:b/>
        <w:bCs w:val="0"/>
        <w:i w:val="0"/>
        <w:sz w:val="20"/>
      </w:rPr>
    </w:lvl>
    <w:lvl w:ilvl="5">
      <w:start w:val="1"/>
      <w:numFmt w:val="lowerLetter"/>
      <w:pStyle w:val="zGBody6"/>
      <w:lvlText w:val="(%6)"/>
      <w:lvlJc w:val="left"/>
      <w:pPr>
        <w:tabs>
          <w:tab w:val="num" w:pos="2088"/>
        </w:tabs>
        <w:ind w:left="2088" w:firstLine="0"/>
      </w:pPr>
      <w:rPr>
        <w:rFonts w:ascii="Arial Bold" w:hAnsi="Arial Bold" w:hint="default"/>
        <w:b/>
        <w:i w:val="0"/>
        <w:sz w:val="20"/>
      </w:rPr>
    </w:lvl>
    <w:lvl w:ilvl="6">
      <w:start w:val="1"/>
      <w:numFmt w:val="decimalZero"/>
      <w:lvlText w:val="(%7)"/>
      <w:lvlJc w:val="left"/>
      <w:pPr>
        <w:tabs>
          <w:tab w:val="num" w:pos="2736"/>
        </w:tabs>
        <w:ind w:left="2736"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3456"/>
        </w:tabs>
        <w:ind w:left="3024" w:firstLine="0"/>
      </w:pPr>
      <w:rPr>
        <w:rFonts w:ascii="Symbol" w:hAnsi="Symbol"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3744"/>
        </w:tabs>
        <w:ind w:left="3384" w:firstLine="0"/>
      </w:pPr>
      <w:rPr>
        <w:rFonts w:ascii="Symbol" w:hAnsi="Symbol" w:hint="default"/>
        <w:strike w:val="0"/>
        <w:dstrike w:val="0"/>
        <w:color w:val="auto"/>
      </w:rPr>
    </w:lvl>
  </w:abstractNum>
  <w:abstractNum w:abstractNumId="39" w15:restartNumberingAfterBreak="0">
    <w:nsid w:val="7E054865"/>
    <w:multiLevelType w:val="multilevel"/>
    <w:tmpl w:val="55589EE4"/>
    <w:lvl w:ilvl="0">
      <w:start w:val="4"/>
      <w:numFmt w:val="decimal"/>
      <w:lvlText w:val="%1."/>
      <w:lvlJc w:val="left"/>
      <w:pPr>
        <w:tabs>
          <w:tab w:val="num" w:pos="720"/>
        </w:tabs>
        <w:ind w:left="720" w:hanging="360"/>
      </w:pPr>
      <w:rPr>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29949741">
    <w:abstractNumId w:val="3"/>
  </w:num>
  <w:num w:numId="2" w16cid:durableId="2144498714">
    <w:abstractNumId w:val="2"/>
  </w:num>
  <w:num w:numId="3" w16cid:durableId="594216349">
    <w:abstractNumId w:val="1"/>
  </w:num>
  <w:num w:numId="4" w16cid:durableId="1857378349">
    <w:abstractNumId w:val="0"/>
  </w:num>
  <w:num w:numId="5" w16cid:durableId="1524201460">
    <w:abstractNumId w:val="12"/>
  </w:num>
  <w:num w:numId="6" w16cid:durableId="123079987">
    <w:abstractNumId w:val="33"/>
  </w:num>
  <w:num w:numId="7" w16cid:durableId="1710760431">
    <w:abstractNumId w:val="11"/>
  </w:num>
  <w:num w:numId="8" w16cid:durableId="844444921">
    <w:abstractNumId w:val="5"/>
  </w:num>
  <w:num w:numId="9" w16cid:durableId="1027412077">
    <w:abstractNumId w:val="7"/>
  </w:num>
  <w:num w:numId="10" w16cid:durableId="193925486">
    <w:abstractNumId w:val="9"/>
  </w:num>
  <w:num w:numId="11" w16cid:durableId="376051541">
    <w:abstractNumId w:val="4"/>
  </w:num>
  <w:num w:numId="12" w16cid:durableId="491606104">
    <w:abstractNumId w:val="18"/>
  </w:num>
  <w:num w:numId="13" w16cid:durableId="1965502190">
    <w:abstractNumId w:val="13"/>
  </w:num>
  <w:num w:numId="14" w16cid:durableId="1154416742">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15" w16cid:durableId="338394014">
    <w:abstractNumId w:val="20"/>
  </w:num>
  <w:num w:numId="16" w16cid:durableId="22638468">
    <w:abstractNumId w:val="6"/>
    <w:lvlOverride w:ilvl="0">
      <w:startOverride w:val="1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15278380">
    <w:abstractNumId w:val="19"/>
  </w:num>
  <w:num w:numId="18" w16cid:durableId="157229388">
    <w:abstractNumId w:val="24"/>
  </w:num>
  <w:num w:numId="19" w16cid:durableId="2076202156">
    <w:abstractNumId w:val="10"/>
  </w:num>
  <w:num w:numId="20" w16cid:durableId="1458915094">
    <w:abstractNumId w:val="35"/>
  </w:num>
  <w:num w:numId="21" w16cid:durableId="19937539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60681684">
    <w:abstractNumId w:val="15"/>
  </w:num>
  <w:num w:numId="23" w16cid:durableId="16028405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091152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9590251">
    <w:abstractNumId w:val="25"/>
  </w:num>
  <w:num w:numId="26" w16cid:durableId="2114669681">
    <w:abstractNumId w:val="34"/>
  </w:num>
  <w:num w:numId="27" w16cid:durableId="1840609027">
    <w:abstractNumId w:val="28"/>
  </w:num>
  <w:num w:numId="28" w16cid:durableId="1580868805">
    <w:abstractNumId w:val="39"/>
  </w:num>
  <w:num w:numId="29" w16cid:durableId="346446699">
    <w:abstractNumId w:val="29"/>
  </w:num>
  <w:num w:numId="30" w16cid:durableId="2120223647">
    <w:abstractNumId w:val="14"/>
  </w:num>
  <w:num w:numId="31" w16cid:durableId="1338312368">
    <w:abstractNumId w:val="27"/>
  </w:num>
  <w:num w:numId="32" w16cid:durableId="23215231">
    <w:abstractNumId w:val="8"/>
    <w:lvlOverride w:ilvl="0">
      <w:lvl w:ilvl="0">
        <w:start w:val="1"/>
        <w:numFmt w:val="decimal"/>
        <w:pStyle w:val="zG01"/>
        <w:lvlText w:val="Part %1"/>
        <w:lvlJc w:val="left"/>
        <w:pPr>
          <w:tabs>
            <w:tab w:val="num" w:pos="936"/>
          </w:tabs>
          <w:ind w:left="936" w:hanging="936"/>
        </w:pPr>
        <w:rPr>
          <w:rFonts w:ascii="Arial" w:hAnsi="Arial"/>
          <w:b/>
          <w:i w:val="0"/>
          <w:caps/>
          <w:strike w:val="0"/>
          <w:dstrike w:val="0"/>
          <w:vanish w:val="0"/>
          <w:color w:val="000000"/>
          <w:sz w:val="20"/>
          <w:u w:val="none"/>
        </w:rPr>
      </w:lvl>
    </w:lvlOverride>
    <w:lvlOverride w:ilvl="1">
      <w:lvl w:ilvl="1">
        <w:start w:val="1"/>
        <w:numFmt w:val="decimal"/>
        <w:pStyle w:val="zG02"/>
        <w:lvlText w:val="%1.%2"/>
        <w:lvlJc w:val="left"/>
        <w:pPr>
          <w:tabs>
            <w:tab w:val="num" w:pos="576"/>
          </w:tabs>
        </w:pPr>
        <w:rPr>
          <w:b/>
          <w:bCs/>
        </w:rPr>
      </w:lvl>
    </w:lvlOverride>
    <w:lvlOverride w:ilvl="2">
      <w:lvl w:ilvl="2">
        <w:start w:val="1"/>
        <w:numFmt w:val="upperLetter"/>
        <w:pStyle w:val="zG03"/>
        <w:lvlText w:val="%3."/>
        <w:lvlJc w:val="left"/>
        <w:pPr>
          <w:tabs>
            <w:tab w:val="num" w:pos="576"/>
          </w:tabs>
          <w:ind w:left="259"/>
        </w:pPr>
        <w:rPr>
          <w:rFonts w:ascii="Arial" w:hAnsi="Arial"/>
          <w:b/>
          <w:i w:val="0"/>
          <w:caps w:val="0"/>
          <w:strike w:val="0"/>
          <w:dstrike w:val="0"/>
          <w:vanish w:val="0"/>
          <w:color w:val="000000"/>
          <w:sz w:val="20"/>
          <w:u w:val="none"/>
        </w:rPr>
      </w:lvl>
    </w:lvlOverride>
    <w:lvlOverride w:ilvl="3">
      <w:lvl w:ilvl="3">
        <w:start w:val="1"/>
        <w:numFmt w:val="lowerRoman"/>
        <w:pStyle w:val="zG04"/>
        <w:lvlText w:val="(%4)"/>
        <w:lvlJc w:val="left"/>
        <w:pPr>
          <w:tabs>
            <w:tab w:val="num" w:pos="936"/>
          </w:tabs>
          <w:ind w:left="504"/>
        </w:pPr>
        <w:rPr>
          <w:b/>
          <w:i w:val="0"/>
          <w:caps w:val="0"/>
          <w:strike w:val="0"/>
          <w:dstrike w:val="0"/>
          <w:vanish w:val="0"/>
          <w:color w:val="000000"/>
          <w:sz w:val="20"/>
          <w:u w:val="none"/>
        </w:rPr>
      </w:lvl>
    </w:lvlOverride>
    <w:lvlOverride w:ilvl="4">
      <w:lvl w:ilvl="4">
        <w:start w:val="1"/>
        <w:numFmt w:val="lowerLetter"/>
        <w:pStyle w:val="zG05"/>
        <w:lvlText w:val="(%5)"/>
        <w:lvlJc w:val="left"/>
        <w:pPr>
          <w:tabs>
            <w:tab w:val="num" w:pos="1368"/>
          </w:tabs>
          <w:ind w:left="864"/>
        </w:pPr>
        <w:rPr>
          <w:rFonts w:ascii="Arial" w:hAnsi="Arial"/>
          <w:b/>
          <w:i w:val="0"/>
          <w:caps w:val="0"/>
          <w:strike w:val="0"/>
          <w:dstrike w:val="0"/>
          <w:vanish w:val="0"/>
          <w:color w:val="000000"/>
          <w:sz w:val="20"/>
          <w:u w:val="none"/>
        </w:r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33" w16cid:durableId="498081689">
    <w:abstractNumId w:val="22"/>
  </w:num>
  <w:num w:numId="34" w16cid:durableId="11830844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217680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789124">
    <w:abstractNumId w:val="30"/>
  </w:num>
  <w:num w:numId="37" w16cid:durableId="18991701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15922308">
    <w:abstractNumId w:val="23"/>
  </w:num>
  <w:num w:numId="39" w16cid:durableId="1388185344">
    <w:abstractNumId w:val="8"/>
  </w:num>
  <w:num w:numId="40" w16cid:durableId="18780073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8821287">
    <w:abstractNumId w:val="8"/>
    <w:lvlOverride w:ilvl="0">
      <w:startOverride w:val="1"/>
      <w:lvl w:ilvl="0">
        <w:start w:val="1"/>
        <w:numFmt w:val="decimal"/>
        <w:pStyle w:val="zG01"/>
        <w:lvlText w:val=""/>
        <w:lvlJc w:val="left"/>
      </w:lvl>
    </w:lvlOverride>
    <w:lvlOverride w:ilvl="1">
      <w:startOverride w:val="1"/>
      <w:lvl w:ilvl="1">
        <w:start w:val="1"/>
        <w:numFmt w:val="decimal"/>
        <w:pStyle w:val="zG02"/>
        <w:lvlText w:val=""/>
        <w:lvlJc w:val="left"/>
      </w:lvl>
    </w:lvlOverride>
    <w:lvlOverride w:ilvl="2">
      <w:startOverride w:val="1"/>
      <w:lvl w:ilvl="2">
        <w:start w:val="1"/>
        <w:numFmt w:val="upperLetter"/>
        <w:pStyle w:val="zG03"/>
        <w:lvlText w:val="%3."/>
        <w:lvlJc w:val="left"/>
        <w:pPr>
          <w:tabs>
            <w:tab w:val="num" w:pos="576"/>
          </w:tabs>
          <w:ind w:left="259"/>
        </w:pPr>
        <w:rPr>
          <w:b/>
          <w:bCs/>
        </w:rPr>
      </w:lvl>
    </w:lvlOverride>
    <w:lvlOverride w:ilvl="3">
      <w:startOverride w:val="1"/>
      <w:lvl w:ilvl="3">
        <w:start w:val="1"/>
        <w:numFmt w:val="decimal"/>
        <w:pStyle w:val="zG04"/>
        <w:lvlText w:val=""/>
        <w:lvlJc w:val="left"/>
      </w:lvl>
    </w:lvlOverride>
    <w:lvlOverride w:ilvl="4">
      <w:startOverride w:val="1"/>
      <w:lvl w:ilvl="4">
        <w:start w:val="1"/>
        <w:numFmt w:val="decimal"/>
        <w:pStyle w:val="zG05"/>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2" w16cid:durableId="2079160167">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lang="es-PR" w:vendorID="64" w:dllVersion="0" w:nlCheck="1" w:checkStyle="0" w:appName="MSWord"/>
  <w:activeWritingStyle w:lang="en-US" w:vendorID="64" w:dllVersion="0" w:nlCheck="1" w:checkStyle="0" w:appName="MSWord"/>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NotTrackFormatting/>
  <w:defaultTabStop w:val="115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3EF"/>
    <w:rsid w:val="00000022"/>
    <w:rsid w:val="0000035F"/>
    <w:rsid w:val="0000036D"/>
    <w:rsid w:val="000003B7"/>
    <w:rsid w:val="00000454"/>
    <w:rsid w:val="000004B5"/>
    <w:rsid w:val="000005C9"/>
    <w:rsid w:val="000006CA"/>
    <w:rsid w:val="0000076D"/>
    <w:rsid w:val="000007FF"/>
    <w:rsid w:val="00000BE0"/>
    <w:rsid w:val="00000F2A"/>
    <w:rsid w:val="00000F2E"/>
    <w:rsid w:val="00000F3A"/>
    <w:rsid w:val="00000F4B"/>
    <w:rsid w:val="000010CA"/>
    <w:rsid w:val="0000115D"/>
    <w:rsid w:val="0000131A"/>
    <w:rsid w:val="00001353"/>
    <w:rsid w:val="0000138C"/>
    <w:rsid w:val="0000151B"/>
    <w:rsid w:val="0000168F"/>
    <w:rsid w:val="0000171C"/>
    <w:rsid w:val="0000183F"/>
    <w:rsid w:val="0000184F"/>
    <w:rsid w:val="00001919"/>
    <w:rsid w:val="00001A8F"/>
    <w:rsid w:val="00001B81"/>
    <w:rsid w:val="00001DA3"/>
    <w:rsid w:val="00001E68"/>
    <w:rsid w:val="00001F96"/>
    <w:rsid w:val="00002180"/>
    <w:rsid w:val="000021B3"/>
    <w:rsid w:val="000023C6"/>
    <w:rsid w:val="00002791"/>
    <w:rsid w:val="000028B8"/>
    <w:rsid w:val="00002AB4"/>
    <w:rsid w:val="00002B85"/>
    <w:rsid w:val="00003300"/>
    <w:rsid w:val="000035A3"/>
    <w:rsid w:val="0000364E"/>
    <w:rsid w:val="000038B8"/>
    <w:rsid w:val="000038C1"/>
    <w:rsid w:val="000038D4"/>
    <w:rsid w:val="00003A37"/>
    <w:rsid w:val="00003A5F"/>
    <w:rsid w:val="00003AA8"/>
    <w:rsid w:val="00003C21"/>
    <w:rsid w:val="00004070"/>
    <w:rsid w:val="00004523"/>
    <w:rsid w:val="00004601"/>
    <w:rsid w:val="00004661"/>
    <w:rsid w:val="00004790"/>
    <w:rsid w:val="00004949"/>
    <w:rsid w:val="00004976"/>
    <w:rsid w:val="00004D52"/>
    <w:rsid w:val="000050A2"/>
    <w:rsid w:val="000050B8"/>
    <w:rsid w:val="00005385"/>
    <w:rsid w:val="00005489"/>
    <w:rsid w:val="000055C0"/>
    <w:rsid w:val="00005663"/>
    <w:rsid w:val="00005773"/>
    <w:rsid w:val="000059F2"/>
    <w:rsid w:val="000060C1"/>
    <w:rsid w:val="0000610B"/>
    <w:rsid w:val="00006177"/>
    <w:rsid w:val="000061D5"/>
    <w:rsid w:val="0000630F"/>
    <w:rsid w:val="00006369"/>
    <w:rsid w:val="00006426"/>
    <w:rsid w:val="00006447"/>
    <w:rsid w:val="0000649D"/>
    <w:rsid w:val="000065B9"/>
    <w:rsid w:val="000065CF"/>
    <w:rsid w:val="0000660B"/>
    <w:rsid w:val="0000682C"/>
    <w:rsid w:val="000068D0"/>
    <w:rsid w:val="00006942"/>
    <w:rsid w:val="00006A17"/>
    <w:rsid w:val="00006A2B"/>
    <w:rsid w:val="00006CC5"/>
    <w:rsid w:val="00006CD3"/>
    <w:rsid w:val="00006E16"/>
    <w:rsid w:val="00006E66"/>
    <w:rsid w:val="00006F2D"/>
    <w:rsid w:val="00007038"/>
    <w:rsid w:val="0000708B"/>
    <w:rsid w:val="000070C8"/>
    <w:rsid w:val="00007623"/>
    <w:rsid w:val="0000786D"/>
    <w:rsid w:val="000078F4"/>
    <w:rsid w:val="00007906"/>
    <w:rsid w:val="00007AB6"/>
    <w:rsid w:val="00007B49"/>
    <w:rsid w:val="00007DFF"/>
    <w:rsid w:val="00007F1A"/>
    <w:rsid w:val="0001002E"/>
    <w:rsid w:val="0001003F"/>
    <w:rsid w:val="00010140"/>
    <w:rsid w:val="000101CB"/>
    <w:rsid w:val="00010305"/>
    <w:rsid w:val="0001078D"/>
    <w:rsid w:val="000108DB"/>
    <w:rsid w:val="00010C16"/>
    <w:rsid w:val="00010CAF"/>
    <w:rsid w:val="00010EA4"/>
    <w:rsid w:val="000112A6"/>
    <w:rsid w:val="00011358"/>
    <w:rsid w:val="00011388"/>
    <w:rsid w:val="000113B1"/>
    <w:rsid w:val="000114FD"/>
    <w:rsid w:val="00011519"/>
    <w:rsid w:val="00011597"/>
    <w:rsid w:val="000115FF"/>
    <w:rsid w:val="0001187D"/>
    <w:rsid w:val="000118EE"/>
    <w:rsid w:val="000119E5"/>
    <w:rsid w:val="00011B04"/>
    <w:rsid w:val="00011C0C"/>
    <w:rsid w:val="00011CAE"/>
    <w:rsid w:val="00011D60"/>
    <w:rsid w:val="00011EEB"/>
    <w:rsid w:val="00011F73"/>
    <w:rsid w:val="00012049"/>
    <w:rsid w:val="000120F1"/>
    <w:rsid w:val="0001210B"/>
    <w:rsid w:val="00012141"/>
    <w:rsid w:val="00012476"/>
    <w:rsid w:val="000125F8"/>
    <w:rsid w:val="00012987"/>
    <w:rsid w:val="00012A25"/>
    <w:rsid w:val="00012BC4"/>
    <w:rsid w:val="00012C19"/>
    <w:rsid w:val="00012DF0"/>
    <w:rsid w:val="00012E44"/>
    <w:rsid w:val="00012F4F"/>
    <w:rsid w:val="00013013"/>
    <w:rsid w:val="000131FC"/>
    <w:rsid w:val="000133D3"/>
    <w:rsid w:val="0001340B"/>
    <w:rsid w:val="00013492"/>
    <w:rsid w:val="0001375A"/>
    <w:rsid w:val="00013997"/>
    <w:rsid w:val="000139BB"/>
    <w:rsid w:val="00013B5B"/>
    <w:rsid w:val="00013B64"/>
    <w:rsid w:val="00013E61"/>
    <w:rsid w:val="000140A3"/>
    <w:rsid w:val="0001415A"/>
    <w:rsid w:val="000141B5"/>
    <w:rsid w:val="000142B2"/>
    <w:rsid w:val="00014381"/>
    <w:rsid w:val="000144A4"/>
    <w:rsid w:val="0001455E"/>
    <w:rsid w:val="00014604"/>
    <w:rsid w:val="000146E8"/>
    <w:rsid w:val="00014725"/>
    <w:rsid w:val="0001476A"/>
    <w:rsid w:val="000148F1"/>
    <w:rsid w:val="00014A0C"/>
    <w:rsid w:val="00014C5D"/>
    <w:rsid w:val="00014DC1"/>
    <w:rsid w:val="00014E30"/>
    <w:rsid w:val="00014F15"/>
    <w:rsid w:val="00014F7A"/>
    <w:rsid w:val="00014FC2"/>
    <w:rsid w:val="0001511A"/>
    <w:rsid w:val="000151D4"/>
    <w:rsid w:val="00015255"/>
    <w:rsid w:val="000152EF"/>
    <w:rsid w:val="000155B8"/>
    <w:rsid w:val="00015905"/>
    <w:rsid w:val="000159E9"/>
    <w:rsid w:val="00015B47"/>
    <w:rsid w:val="00015E65"/>
    <w:rsid w:val="00016380"/>
    <w:rsid w:val="00016388"/>
    <w:rsid w:val="0001640B"/>
    <w:rsid w:val="0001642D"/>
    <w:rsid w:val="000166D3"/>
    <w:rsid w:val="00016707"/>
    <w:rsid w:val="00016767"/>
    <w:rsid w:val="00016799"/>
    <w:rsid w:val="00016811"/>
    <w:rsid w:val="00016A28"/>
    <w:rsid w:val="00016AA3"/>
    <w:rsid w:val="00016ACE"/>
    <w:rsid w:val="00016B12"/>
    <w:rsid w:val="00016E48"/>
    <w:rsid w:val="00016ED2"/>
    <w:rsid w:val="00016FBA"/>
    <w:rsid w:val="0001700B"/>
    <w:rsid w:val="0001702A"/>
    <w:rsid w:val="000171F5"/>
    <w:rsid w:val="000173A9"/>
    <w:rsid w:val="00017490"/>
    <w:rsid w:val="00017927"/>
    <w:rsid w:val="00017A32"/>
    <w:rsid w:val="00017BDA"/>
    <w:rsid w:val="00017DCB"/>
    <w:rsid w:val="00017E60"/>
    <w:rsid w:val="00020040"/>
    <w:rsid w:val="00020124"/>
    <w:rsid w:val="0002014A"/>
    <w:rsid w:val="0002023E"/>
    <w:rsid w:val="0002083F"/>
    <w:rsid w:val="000208D1"/>
    <w:rsid w:val="00020A19"/>
    <w:rsid w:val="00020B37"/>
    <w:rsid w:val="00020BA9"/>
    <w:rsid w:val="00020C66"/>
    <w:rsid w:val="00020DCA"/>
    <w:rsid w:val="00020FD7"/>
    <w:rsid w:val="000210D4"/>
    <w:rsid w:val="00021143"/>
    <w:rsid w:val="00021287"/>
    <w:rsid w:val="000214B9"/>
    <w:rsid w:val="0002150C"/>
    <w:rsid w:val="00021852"/>
    <w:rsid w:val="00021AC3"/>
    <w:rsid w:val="00021BBE"/>
    <w:rsid w:val="00021BE8"/>
    <w:rsid w:val="00021D85"/>
    <w:rsid w:val="00021DBA"/>
    <w:rsid w:val="00021FC8"/>
    <w:rsid w:val="00021FCA"/>
    <w:rsid w:val="00021FE9"/>
    <w:rsid w:val="0002205D"/>
    <w:rsid w:val="00022116"/>
    <w:rsid w:val="00022170"/>
    <w:rsid w:val="000222A0"/>
    <w:rsid w:val="00022310"/>
    <w:rsid w:val="0002236E"/>
    <w:rsid w:val="00022458"/>
    <w:rsid w:val="0002256C"/>
    <w:rsid w:val="00022610"/>
    <w:rsid w:val="0002270B"/>
    <w:rsid w:val="000227D7"/>
    <w:rsid w:val="000228B8"/>
    <w:rsid w:val="00022EC0"/>
    <w:rsid w:val="00022FDB"/>
    <w:rsid w:val="00023014"/>
    <w:rsid w:val="0002303E"/>
    <w:rsid w:val="0002314D"/>
    <w:rsid w:val="000231D3"/>
    <w:rsid w:val="000232F7"/>
    <w:rsid w:val="00023484"/>
    <w:rsid w:val="000234F8"/>
    <w:rsid w:val="00023533"/>
    <w:rsid w:val="00023685"/>
    <w:rsid w:val="00023769"/>
    <w:rsid w:val="00023791"/>
    <w:rsid w:val="00023845"/>
    <w:rsid w:val="00023C7F"/>
    <w:rsid w:val="00023CE9"/>
    <w:rsid w:val="00023F37"/>
    <w:rsid w:val="00023F6D"/>
    <w:rsid w:val="00023F73"/>
    <w:rsid w:val="000240AA"/>
    <w:rsid w:val="0002412D"/>
    <w:rsid w:val="0002414B"/>
    <w:rsid w:val="00024205"/>
    <w:rsid w:val="00024251"/>
    <w:rsid w:val="000243D2"/>
    <w:rsid w:val="000244F3"/>
    <w:rsid w:val="000245A4"/>
    <w:rsid w:val="000245BB"/>
    <w:rsid w:val="00024673"/>
    <w:rsid w:val="00024771"/>
    <w:rsid w:val="000247F7"/>
    <w:rsid w:val="00024847"/>
    <w:rsid w:val="0002485B"/>
    <w:rsid w:val="00024A50"/>
    <w:rsid w:val="00024A64"/>
    <w:rsid w:val="00024AE7"/>
    <w:rsid w:val="00024B11"/>
    <w:rsid w:val="00024B32"/>
    <w:rsid w:val="00024B5E"/>
    <w:rsid w:val="00024C61"/>
    <w:rsid w:val="00024D31"/>
    <w:rsid w:val="00024FC3"/>
    <w:rsid w:val="0002507A"/>
    <w:rsid w:val="0002513E"/>
    <w:rsid w:val="000251A9"/>
    <w:rsid w:val="00025359"/>
    <w:rsid w:val="0002550A"/>
    <w:rsid w:val="00025528"/>
    <w:rsid w:val="000255BE"/>
    <w:rsid w:val="000255CB"/>
    <w:rsid w:val="00025604"/>
    <w:rsid w:val="0002563E"/>
    <w:rsid w:val="00025684"/>
    <w:rsid w:val="00025741"/>
    <w:rsid w:val="00025853"/>
    <w:rsid w:val="0002599C"/>
    <w:rsid w:val="000259FB"/>
    <w:rsid w:val="00025B88"/>
    <w:rsid w:val="00025DC7"/>
    <w:rsid w:val="00025DDB"/>
    <w:rsid w:val="00025F2F"/>
    <w:rsid w:val="00025F4D"/>
    <w:rsid w:val="00025F8F"/>
    <w:rsid w:val="00025FF2"/>
    <w:rsid w:val="00026060"/>
    <w:rsid w:val="00026172"/>
    <w:rsid w:val="00026315"/>
    <w:rsid w:val="000264E9"/>
    <w:rsid w:val="00026570"/>
    <w:rsid w:val="00026573"/>
    <w:rsid w:val="000267B4"/>
    <w:rsid w:val="000268EA"/>
    <w:rsid w:val="000269C6"/>
    <w:rsid w:val="00026A53"/>
    <w:rsid w:val="00026ACE"/>
    <w:rsid w:val="00026AD9"/>
    <w:rsid w:val="00026E4E"/>
    <w:rsid w:val="00026E9D"/>
    <w:rsid w:val="0002701C"/>
    <w:rsid w:val="000271C5"/>
    <w:rsid w:val="0002740E"/>
    <w:rsid w:val="00027516"/>
    <w:rsid w:val="0002751F"/>
    <w:rsid w:val="00027573"/>
    <w:rsid w:val="000275FC"/>
    <w:rsid w:val="00027611"/>
    <w:rsid w:val="00027824"/>
    <w:rsid w:val="0002791F"/>
    <w:rsid w:val="00027964"/>
    <w:rsid w:val="000279F7"/>
    <w:rsid w:val="00027ADC"/>
    <w:rsid w:val="00027AF7"/>
    <w:rsid w:val="00027B29"/>
    <w:rsid w:val="00027F4B"/>
    <w:rsid w:val="00030116"/>
    <w:rsid w:val="000301D1"/>
    <w:rsid w:val="0003034F"/>
    <w:rsid w:val="00030482"/>
    <w:rsid w:val="0003048F"/>
    <w:rsid w:val="000304FB"/>
    <w:rsid w:val="000305FE"/>
    <w:rsid w:val="000306A9"/>
    <w:rsid w:val="000306B5"/>
    <w:rsid w:val="00030787"/>
    <w:rsid w:val="000307A2"/>
    <w:rsid w:val="000307CE"/>
    <w:rsid w:val="0003086A"/>
    <w:rsid w:val="000308D9"/>
    <w:rsid w:val="00030920"/>
    <w:rsid w:val="00030ADF"/>
    <w:rsid w:val="00030BF1"/>
    <w:rsid w:val="00030D5C"/>
    <w:rsid w:val="00030EBD"/>
    <w:rsid w:val="00031025"/>
    <w:rsid w:val="00031037"/>
    <w:rsid w:val="00031041"/>
    <w:rsid w:val="0003107F"/>
    <w:rsid w:val="00031337"/>
    <w:rsid w:val="00031504"/>
    <w:rsid w:val="00031699"/>
    <w:rsid w:val="000318A4"/>
    <w:rsid w:val="00031A6D"/>
    <w:rsid w:val="00031B51"/>
    <w:rsid w:val="00031C05"/>
    <w:rsid w:val="00031C12"/>
    <w:rsid w:val="00031C30"/>
    <w:rsid w:val="00031CD4"/>
    <w:rsid w:val="00032248"/>
    <w:rsid w:val="00032325"/>
    <w:rsid w:val="000323AE"/>
    <w:rsid w:val="0003244D"/>
    <w:rsid w:val="000324A2"/>
    <w:rsid w:val="00032650"/>
    <w:rsid w:val="000327A3"/>
    <w:rsid w:val="00032856"/>
    <w:rsid w:val="00032A69"/>
    <w:rsid w:val="00032A6E"/>
    <w:rsid w:val="00032B01"/>
    <w:rsid w:val="00032D2F"/>
    <w:rsid w:val="00032D64"/>
    <w:rsid w:val="00032ED7"/>
    <w:rsid w:val="00032F12"/>
    <w:rsid w:val="00033025"/>
    <w:rsid w:val="000331D4"/>
    <w:rsid w:val="000331EB"/>
    <w:rsid w:val="000333E5"/>
    <w:rsid w:val="00033443"/>
    <w:rsid w:val="00033649"/>
    <w:rsid w:val="00033774"/>
    <w:rsid w:val="000337BF"/>
    <w:rsid w:val="00033A58"/>
    <w:rsid w:val="00033B9E"/>
    <w:rsid w:val="00033B9F"/>
    <w:rsid w:val="00033BA4"/>
    <w:rsid w:val="00033D04"/>
    <w:rsid w:val="00034323"/>
    <w:rsid w:val="0003467B"/>
    <w:rsid w:val="000347D9"/>
    <w:rsid w:val="0003486D"/>
    <w:rsid w:val="000348D8"/>
    <w:rsid w:val="00034A3D"/>
    <w:rsid w:val="00034BBB"/>
    <w:rsid w:val="00034F55"/>
    <w:rsid w:val="000350A0"/>
    <w:rsid w:val="00035224"/>
    <w:rsid w:val="00035231"/>
    <w:rsid w:val="00035288"/>
    <w:rsid w:val="00035386"/>
    <w:rsid w:val="000353AB"/>
    <w:rsid w:val="000353CA"/>
    <w:rsid w:val="00035419"/>
    <w:rsid w:val="000356B7"/>
    <w:rsid w:val="000356C1"/>
    <w:rsid w:val="000356C6"/>
    <w:rsid w:val="00035828"/>
    <w:rsid w:val="00035900"/>
    <w:rsid w:val="00035907"/>
    <w:rsid w:val="00035AA7"/>
    <w:rsid w:val="00035C00"/>
    <w:rsid w:val="00035C91"/>
    <w:rsid w:val="00035CC9"/>
    <w:rsid w:val="00035F9B"/>
    <w:rsid w:val="00035FFF"/>
    <w:rsid w:val="00036057"/>
    <w:rsid w:val="00036115"/>
    <w:rsid w:val="0003638C"/>
    <w:rsid w:val="000363D0"/>
    <w:rsid w:val="0003647E"/>
    <w:rsid w:val="00036482"/>
    <w:rsid w:val="00036603"/>
    <w:rsid w:val="0003697F"/>
    <w:rsid w:val="00036A77"/>
    <w:rsid w:val="00036B92"/>
    <w:rsid w:val="00036C38"/>
    <w:rsid w:val="00036C54"/>
    <w:rsid w:val="00036D5A"/>
    <w:rsid w:val="0003711E"/>
    <w:rsid w:val="000371AF"/>
    <w:rsid w:val="000371EE"/>
    <w:rsid w:val="000372D8"/>
    <w:rsid w:val="00037690"/>
    <w:rsid w:val="000376A5"/>
    <w:rsid w:val="000376F2"/>
    <w:rsid w:val="00037713"/>
    <w:rsid w:val="0003776E"/>
    <w:rsid w:val="000378BD"/>
    <w:rsid w:val="000379DA"/>
    <w:rsid w:val="00037B85"/>
    <w:rsid w:val="00037BF6"/>
    <w:rsid w:val="00037C62"/>
    <w:rsid w:val="00037CCE"/>
    <w:rsid w:val="00037D26"/>
    <w:rsid w:val="00037E10"/>
    <w:rsid w:val="00037FAF"/>
    <w:rsid w:val="0004019C"/>
    <w:rsid w:val="000403C8"/>
    <w:rsid w:val="000405D6"/>
    <w:rsid w:val="000407D8"/>
    <w:rsid w:val="00040835"/>
    <w:rsid w:val="00040A03"/>
    <w:rsid w:val="00040AFF"/>
    <w:rsid w:val="00040B8B"/>
    <w:rsid w:val="00040BBB"/>
    <w:rsid w:val="00040D00"/>
    <w:rsid w:val="00040D21"/>
    <w:rsid w:val="00040D68"/>
    <w:rsid w:val="0004105A"/>
    <w:rsid w:val="00041067"/>
    <w:rsid w:val="0004107C"/>
    <w:rsid w:val="000410C7"/>
    <w:rsid w:val="00041101"/>
    <w:rsid w:val="00041146"/>
    <w:rsid w:val="0004122E"/>
    <w:rsid w:val="00041293"/>
    <w:rsid w:val="000413CE"/>
    <w:rsid w:val="00041415"/>
    <w:rsid w:val="0004159E"/>
    <w:rsid w:val="000415AD"/>
    <w:rsid w:val="00041639"/>
    <w:rsid w:val="000416B8"/>
    <w:rsid w:val="00042083"/>
    <w:rsid w:val="000421AC"/>
    <w:rsid w:val="000422E6"/>
    <w:rsid w:val="00042345"/>
    <w:rsid w:val="000423AE"/>
    <w:rsid w:val="000424AC"/>
    <w:rsid w:val="00042767"/>
    <w:rsid w:val="000427A1"/>
    <w:rsid w:val="0004280A"/>
    <w:rsid w:val="0004283D"/>
    <w:rsid w:val="000429E0"/>
    <w:rsid w:val="00042A5F"/>
    <w:rsid w:val="00042D59"/>
    <w:rsid w:val="00042D85"/>
    <w:rsid w:val="00042DB4"/>
    <w:rsid w:val="00042E31"/>
    <w:rsid w:val="00042F25"/>
    <w:rsid w:val="00042F52"/>
    <w:rsid w:val="0004314A"/>
    <w:rsid w:val="00043174"/>
    <w:rsid w:val="00043632"/>
    <w:rsid w:val="00043760"/>
    <w:rsid w:val="00043789"/>
    <w:rsid w:val="00043794"/>
    <w:rsid w:val="000437EA"/>
    <w:rsid w:val="000439F2"/>
    <w:rsid w:val="000442BC"/>
    <w:rsid w:val="0004446C"/>
    <w:rsid w:val="00044497"/>
    <w:rsid w:val="0004466C"/>
    <w:rsid w:val="00044772"/>
    <w:rsid w:val="0004488B"/>
    <w:rsid w:val="000449B3"/>
    <w:rsid w:val="00044AA9"/>
    <w:rsid w:val="00044B28"/>
    <w:rsid w:val="00044B99"/>
    <w:rsid w:val="00044C2F"/>
    <w:rsid w:val="00044D90"/>
    <w:rsid w:val="00044DEC"/>
    <w:rsid w:val="00044E5F"/>
    <w:rsid w:val="00044E7B"/>
    <w:rsid w:val="00044EC9"/>
    <w:rsid w:val="00045031"/>
    <w:rsid w:val="00045934"/>
    <w:rsid w:val="00045C31"/>
    <w:rsid w:val="00045C67"/>
    <w:rsid w:val="00045D41"/>
    <w:rsid w:val="00045D9F"/>
    <w:rsid w:val="00045E43"/>
    <w:rsid w:val="00045E67"/>
    <w:rsid w:val="00045EA1"/>
    <w:rsid w:val="00045FCA"/>
    <w:rsid w:val="00046084"/>
    <w:rsid w:val="000460B1"/>
    <w:rsid w:val="000461FD"/>
    <w:rsid w:val="000462D3"/>
    <w:rsid w:val="000462E1"/>
    <w:rsid w:val="00046355"/>
    <w:rsid w:val="00046369"/>
    <w:rsid w:val="000463E5"/>
    <w:rsid w:val="00046483"/>
    <w:rsid w:val="000465EC"/>
    <w:rsid w:val="0004663A"/>
    <w:rsid w:val="000466D1"/>
    <w:rsid w:val="0004672B"/>
    <w:rsid w:val="00046853"/>
    <w:rsid w:val="000468C1"/>
    <w:rsid w:val="00046A32"/>
    <w:rsid w:val="00046B61"/>
    <w:rsid w:val="00046C17"/>
    <w:rsid w:val="00046E72"/>
    <w:rsid w:val="00047091"/>
    <w:rsid w:val="0004727E"/>
    <w:rsid w:val="00047488"/>
    <w:rsid w:val="0004759C"/>
    <w:rsid w:val="00047734"/>
    <w:rsid w:val="00047CDB"/>
    <w:rsid w:val="00047CED"/>
    <w:rsid w:val="00047DE0"/>
    <w:rsid w:val="00047E26"/>
    <w:rsid w:val="00047E84"/>
    <w:rsid w:val="00047EF0"/>
    <w:rsid w:val="00047F24"/>
    <w:rsid w:val="00047F44"/>
    <w:rsid w:val="00047F54"/>
    <w:rsid w:val="000500F0"/>
    <w:rsid w:val="00050169"/>
    <w:rsid w:val="00050250"/>
    <w:rsid w:val="00050338"/>
    <w:rsid w:val="0005035B"/>
    <w:rsid w:val="000503B2"/>
    <w:rsid w:val="00050504"/>
    <w:rsid w:val="000505D0"/>
    <w:rsid w:val="0005060D"/>
    <w:rsid w:val="0005068C"/>
    <w:rsid w:val="00050844"/>
    <w:rsid w:val="000508F7"/>
    <w:rsid w:val="00050AA4"/>
    <w:rsid w:val="00050AEB"/>
    <w:rsid w:val="00050B4C"/>
    <w:rsid w:val="00050BD4"/>
    <w:rsid w:val="00050CC2"/>
    <w:rsid w:val="00050D1B"/>
    <w:rsid w:val="00050DCD"/>
    <w:rsid w:val="00050DD3"/>
    <w:rsid w:val="00050F56"/>
    <w:rsid w:val="00051033"/>
    <w:rsid w:val="000510A8"/>
    <w:rsid w:val="000512F9"/>
    <w:rsid w:val="00051594"/>
    <w:rsid w:val="00051696"/>
    <w:rsid w:val="00051816"/>
    <w:rsid w:val="0005189D"/>
    <w:rsid w:val="000518EA"/>
    <w:rsid w:val="000518F4"/>
    <w:rsid w:val="00051A2E"/>
    <w:rsid w:val="00051ACF"/>
    <w:rsid w:val="00051B8D"/>
    <w:rsid w:val="00051B9C"/>
    <w:rsid w:val="00051CBE"/>
    <w:rsid w:val="00051E1B"/>
    <w:rsid w:val="00051EB1"/>
    <w:rsid w:val="00051FFA"/>
    <w:rsid w:val="00052110"/>
    <w:rsid w:val="0005224F"/>
    <w:rsid w:val="0005229C"/>
    <w:rsid w:val="00052372"/>
    <w:rsid w:val="000524C6"/>
    <w:rsid w:val="00052503"/>
    <w:rsid w:val="000525C7"/>
    <w:rsid w:val="000527F6"/>
    <w:rsid w:val="00052861"/>
    <w:rsid w:val="00052A58"/>
    <w:rsid w:val="00052A7B"/>
    <w:rsid w:val="00052AF3"/>
    <w:rsid w:val="00052B42"/>
    <w:rsid w:val="00052B46"/>
    <w:rsid w:val="00052B72"/>
    <w:rsid w:val="00052C7C"/>
    <w:rsid w:val="00052CFB"/>
    <w:rsid w:val="00052D4D"/>
    <w:rsid w:val="00052E1E"/>
    <w:rsid w:val="00052EEF"/>
    <w:rsid w:val="00052F49"/>
    <w:rsid w:val="00053351"/>
    <w:rsid w:val="00053527"/>
    <w:rsid w:val="000536DD"/>
    <w:rsid w:val="00053948"/>
    <w:rsid w:val="00053A4A"/>
    <w:rsid w:val="00053A56"/>
    <w:rsid w:val="00053B18"/>
    <w:rsid w:val="00053D11"/>
    <w:rsid w:val="00053D68"/>
    <w:rsid w:val="0005418D"/>
    <w:rsid w:val="000541F2"/>
    <w:rsid w:val="0005422F"/>
    <w:rsid w:val="00054241"/>
    <w:rsid w:val="00054290"/>
    <w:rsid w:val="00054322"/>
    <w:rsid w:val="000544C1"/>
    <w:rsid w:val="000545B2"/>
    <w:rsid w:val="00054704"/>
    <w:rsid w:val="0005475B"/>
    <w:rsid w:val="00054775"/>
    <w:rsid w:val="00054826"/>
    <w:rsid w:val="0005492C"/>
    <w:rsid w:val="00054957"/>
    <w:rsid w:val="00054972"/>
    <w:rsid w:val="00054985"/>
    <w:rsid w:val="00054C07"/>
    <w:rsid w:val="00054EAA"/>
    <w:rsid w:val="00054F58"/>
    <w:rsid w:val="00054FC6"/>
    <w:rsid w:val="000550CF"/>
    <w:rsid w:val="0005547B"/>
    <w:rsid w:val="000554B5"/>
    <w:rsid w:val="00055527"/>
    <w:rsid w:val="00055788"/>
    <w:rsid w:val="000557C4"/>
    <w:rsid w:val="00055883"/>
    <w:rsid w:val="00055884"/>
    <w:rsid w:val="00055B20"/>
    <w:rsid w:val="00055FDA"/>
    <w:rsid w:val="00056351"/>
    <w:rsid w:val="0005638B"/>
    <w:rsid w:val="000565FE"/>
    <w:rsid w:val="0005667B"/>
    <w:rsid w:val="000566B2"/>
    <w:rsid w:val="00056750"/>
    <w:rsid w:val="000569E1"/>
    <w:rsid w:val="00056B47"/>
    <w:rsid w:val="00056B6C"/>
    <w:rsid w:val="00056C72"/>
    <w:rsid w:val="00056F43"/>
    <w:rsid w:val="00056FF9"/>
    <w:rsid w:val="0005723D"/>
    <w:rsid w:val="0005746C"/>
    <w:rsid w:val="00057474"/>
    <w:rsid w:val="000574B1"/>
    <w:rsid w:val="000574F3"/>
    <w:rsid w:val="00057563"/>
    <w:rsid w:val="00057746"/>
    <w:rsid w:val="000579D9"/>
    <w:rsid w:val="00057A2D"/>
    <w:rsid w:val="00057B40"/>
    <w:rsid w:val="00057C9C"/>
    <w:rsid w:val="00057CDB"/>
    <w:rsid w:val="00057FCE"/>
    <w:rsid w:val="00060418"/>
    <w:rsid w:val="00060516"/>
    <w:rsid w:val="000605E4"/>
    <w:rsid w:val="00060925"/>
    <w:rsid w:val="00060AC6"/>
    <w:rsid w:val="00060BA6"/>
    <w:rsid w:val="00060D1E"/>
    <w:rsid w:val="00060D27"/>
    <w:rsid w:val="00060F25"/>
    <w:rsid w:val="000612B4"/>
    <w:rsid w:val="000612D9"/>
    <w:rsid w:val="0006131D"/>
    <w:rsid w:val="00061394"/>
    <w:rsid w:val="00061676"/>
    <w:rsid w:val="000616EE"/>
    <w:rsid w:val="000617A3"/>
    <w:rsid w:val="00061814"/>
    <w:rsid w:val="0006182A"/>
    <w:rsid w:val="000618FE"/>
    <w:rsid w:val="00061956"/>
    <w:rsid w:val="00061A86"/>
    <w:rsid w:val="00061BEF"/>
    <w:rsid w:val="00061F02"/>
    <w:rsid w:val="00061F13"/>
    <w:rsid w:val="00061FAF"/>
    <w:rsid w:val="00062063"/>
    <w:rsid w:val="0006224B"/>
    <w:rsid w:val="00062270"/>
    <w:rsid w:val="0006239E"/>
    <w:rsid w:val="00062426"/>
    <w:rsid w:val="00062563"/>
    <w:rsid w:val="00062846"/>
    <w:rsid w:val="000628DC"/>
    <w:rsid w:val="00062909"/>
    <w:rsid w:val="00062A1B"/>
    <w:rsid w:val="00062CDF"/>
    <w:rsid w:val="00062E45"/>
    <w:rsid w:val="00062FC9"/>
    <w:rsid w:val="00062FFF"/>
    <w:rsid w:val="00063165"/>
    <w:rsid w:val="00063172"/>
    <w:rsid w:val="000631CB"/>
    <w:rsid w:val="000631CE"/>
    <w:rsid w:val="000632B4"/>
    <w:rsid w:val="000635A0"/>
    <w:rsid w:val="00063660"/>
    <w:rsid w:val="00063BB0"/>
    <w:rsid w:val="00063C4C"/>
    <w:rsid w:val="00063D30"/>
    <w:rsid w:val="00063D9B"/>
    <w:rsid w:val="00063E2D"/>
    <w:rsid w:val="00063E3A"/>
    <w:rsid w:val="00063E4E"/>
    <w:rsid w:val="00063E6D"/>
    <w:rsid w:val="0006408E"/>
    <w:rsid w:val="000640F7"/>
    <w:rsid w:val="000643CD"/>
    <w:rsid w:val="000643DE"/>
    <w:rsid w:val="0006469A"/>
    <w:rsid w:val="00064859"/>
    <w:rsid w:val="000649D0"/>
    <w:rsid w:val="00064C5A"/>
    <w:rsid w:val="00064E55"/>
    <w:rsid w:val="00064F41"/>
    <w:rsid w:val="000651AF"/>
    <w:rsid w:val="00065289"/>
    <w:rsid w:val="0006528A"/>
    <w:rsid w:val="00065318"/>
    <w:rsid w:val="00065364"/>
    <w:rsid w:val="00065635"/>
    <w:rsid w:val="000656CB"/>
    <w:rsid w:val="00065924"/>
    <w:rsid w:val="00065B68"/>
    <w:rsid w:val="00065C8D"/>
    <w:rsid w:val="00065D88"/>
    <w:rsid w:val="00065E25"/>
    <w:rsid w:val="00065E2E"/>
    <w:rsid w:val="00065E88"/>
    <w:rsid w:val="00065F34"/>
    <w:rsid w:val="00065FF1"/>
    <w:rsid w:val="000660C5"/>
    <w:rsid w:val="00066126"/>
    <w:rsid w:val="00066189"/>
    <w:rsid w:val="00066194"/>
    <w:rsid w:val="000661EF"/>
    <w:rsid w:val="0006625D"/>
    <w:rsid w:val="0006639D"/>
    <w:rsid w:val="0006661F"/>
    <w:rsid w:val="000666B0"/>
    <w:rsid w:val="000666B5"/>
    <w:rsid w:val="00066921"/>
    <w:rsid w:val="00066946"/>
    <w:rsid w:val="0006696A"/>
    <w:rsid w:val="000669E4"/>
    <w:rsid w:val="00066B3C"/>
    <w:rsid w:val="00066B8A"/>
    <w:rsid w:val="00066C94"/>
    <w:rsid w:val="00066DBD"/>
    <w:rsid w:val="00066EBB"/>
    <w:rsid w:val="00067206"/>
    <w:rsid w:val="00067357"/>
    <w:rsid w:val="000675F0"/>
    <w:rsid w:val="00067630"/>
    <w:rsid w:val="0006796E"/>
    <w:rsid w:val="000679CB"/>
    <w:rsid w:val="00067A16"/>
    <w:rsid w:val="00067A34"/>
    <w:rsid w:val="00067A46"/>
    <w:rsid w:val="00067A5A"/>
    <w:rsid w:val="00067B66"/>
    <w:rsid w:val="00067C34"/>
    <w:rsid w:val="00067C5C"/>
    <w:rsid w:val="00067D6F"/>
    <w:rsid w:val="00067ECF"/>
    <w:rsid w:val="00067FF5"/>
    <w:rsid w:val="00070025"/>
    <w:rsid w:val="0007003D"/>
    <w:rsid w:val="00070061"/>
    <w:rsid w:val="0007009E"/>
    <w:rsid w:val="00070166"/>
    <w:rsid w:val="000701B6"/>
    <w:rsid w:val="000706A6"/>
    <w:rsid w:val="000706C5"/>
    <w:rsid w:val="000706FE"/>
    <w:rsid w:val="000707CF"/>
    <w:rsid w:val="0007090E"/>
    <w:rsid w:val="00070A85"/>
    <w:rsid w:val="00070B1F"/>
    <w:rsid w:val="00070E0E"/>
    <w:rsid w:val="00070F44"/>
    <w:rsid w:val="00071014"/>
    <w:rsid w:val="00071096"/>
    <w:rsid w:val="000710E9"/>
    <w:rsid w:val="00071159"/>
    <w:rsid w:val="000711C8"/>
    <w:rsid w:val="0007132D"/>
    <w:rsid w:val="000713F6"/>
    <w:rsid w:val="00071437"/>
    <w:rsid w:val="00071617"/>
    <w:rsid w:val="00071734"/>
    <w:rsid w:val="00071774"/>
    <w:rsid w:val="000718AB"/>
    <w:rsid w:val="00071B75"/>
    <w:rsid w:val="00071E35"/>
    <w:rsid w:val="00071E78"/>
    <w:rsid w:val="00071E92"/>
    <w:rsid w:val="00071F73"/>
    <w:rsid w:val="00071F98"/>
    <w:rsid w:val="00072065"/>
    <w:rsid w:val="000720B6"/>
    <w:rsid w:val="000721F2"/>
    <w:rsid w:val="000723C3"/>
    <w:rsid w:val="00072449"/>
    <w:rsid w:val="00072479"/>
    <w:rsid w:val="00072A63"/>
    <w:rsid w:val="00072C06"/>
    <w:rsid w:val="00072C62"/>
    <w:rsid w:val="00072DF2"/>
    <w:rsid w:val="00072EBD"/>
    <w:rsid w:val="00072ECD"/>
    <w:rsid w:val="00073098"/>
    <w:rsid w:val="00073107"/>
    <w:rsid w:val="0007343A"/>
    <w:rsid w:val="0007354C"/>
    <w:rsid w:val="000736F5"/>
    <w:rsid w:val="00073789"/>
    <w:rsid w:val="0007380A"/>
    <w:rsid w:val="00073AB2"/>
    <w:rsid w:val="00073D6A"/>
    <w:rsid w:val="00073E3E"/>
    <w:rsid w:val="00073E86"/>
    <w:rsid w:val="00073F0A"/>
    <w:rsid w:val="0007407B"/>
    <w:rsid w:val="000741D9"/>
    <w:rsid w:val="0007427C"/>
    <w:rsid w:val="000742B8"/>
    <w:rsid w:val="00074338"/>
    <w:rsid w:val="0007449F"/>
    <w:rsid w:val="00074553"/>
    <w:rsid w:val="00074691"/>
    <w:rsid w:val="00074B8B"/>
    <w:rsid w:val="00074BAC"/>
    <w:rsid w:val="00074D08"/>
    <w:rsid w:val="00074D9E"/>
    <w:rsid w:val="00075058"/>
    <w:rsid w:val="0007505D"/>
    <w:rsid w:val="000751AC"/>
    <w:rsid w:val="00075656"/>
    <w:rsid w:val="000757AE"/>
    <w:rsid w:val="00075B35"/>
    <w:rsid w:val="00075CAE"/>
    <w:rsid w:val="00075ED2"/>
    <w:rsid w:val="00075F1D"/>
    <w:rsid w:val="0007613D"/>
    <w:rsid w:val="00076427"/>
    <w:rsid w:val="00076487"/>
    <w:rsid w:val="00076517"/>
    <w:rsid w:val="0007653C"/>
    <w:rsid w:val="0007660C"/>
    <w:rsid w:val="00076619"/>
    <w:rsid w:val="00076644"/>
    <w:rsid w:val="00076696"/>
    <w:rsid w:val="0007670D"/>
    <w:rsid w:val="0007687C"/>
    <w:rsid w:val="00076952"/>
    <w:rsid w:val="00076974"/>
    <w:rsid w:val="00076A6F"/>
    <w:rsid w:val="00076A80"/>
    <w:rsid w:val="00076F16"/>
    <w:rsid w:val="00077056"/>
    <w:rsid w:val="00077104"/>
    <w:rsid w:val="0007720B"/>
    <w:rsid w:val="00077471"/>
    <w:rsid w:val="000776E4"/>
    <w:rsid w:val="00077753"/>
    <w:rsid w:val="0007777C"/>
    <w:rsid w:val="000778B4"/>
    <w:rsid w:val="0007794A"/>
    <w:rsid w:val="00077A06"/>
    <w:rsid w:val="00077A2E"/>
    <w:rsid w:val="00077A5D"/>
    <w:rsid w:val="00077D25"/>
    <w:rsid w:val="00077DC3"/>
    <w:rsid w:val="0008017B"/>
    <w:rsid w:val="00080559"/>
    <w:rsid w:val="00080766"/>
    <w:rsid w:val="00080832"/>
    <w:rsid w:val="0008092B"/>
    <w:rsid w:val="0008095A"/>
    <w:rsid w:val="00080A58"/>
    <w:rsid w:val="00080A88"/>
    <w:rsid w:val="00080B02"/>
    <w:rsid w:val="00080B27"/>
    <w:rsid w:val="00080B59"/>
    <w:rsid w:val="00080C54"/>
    <w:rsid w:val="00080CF2"/>
    <w:rsid w:val="00080D62"/>
    <w:rsid w:val="00080E17"/>
    <w:rsid w:val="000811A7"/>
    <w:rsid w:val="000812BC"/>
    <w:rsid w:val="000814F9"/>
    <w:rsid w:val="000816BF"/>
    <w:rsid w:val="000818F8"/>
    <w:rsid w:val="00081A39"/>
    <w:rsid w:val="00081A95"/>
    <w:rsid w:val="00081CBE"/>
    <w:rsid w:val="00081D41"/>
    <w:rsid w:val="00082069"/>
    <w:rsid w:val="00082071"/>
    <w:rsid w:val="0008208D"/>
    <w:rsid w:val="000820B9"/>
    <w:rsid w:val="00082167"/>
    <w:rsid w:val="0008219F"/>
    <w:rsid w:val="00082272"/>
    <w:rsid w:val="00082274"/>
    <w:rsid w:val="0008230D"/>
    <w:rsid w:val="000825A8"/>
    <w:rsid w:val="00082781"/>
    <w:rsid w:val="000829EE"/>
    <w:rsid w:val="00082A02"/>
    <w:rsid w:val="00082B45"/>
    <w:rsid w:val="00082B52"/>
    <w:rsid w:val="00082D7B"/>
    <w:rsid w:val="00082E1F"/>
    <w:rsid w:val="00082EB0"/>
    <w:rsid w:val="00083175"/>
    <w:rsid w:val="000831AD"/>
    <w:rsid w:val="0008320A"/>
    <w:rsid w:val="000833E6"/>
    <w:rsid w:val="0008344A"/>
    <w:rsid w:val="000834FF"/>
    <w:rsid w:val="0008351D"/>
    <w:rsid w:val="0008360E"/>
    <w:rsid w:val="000836AF"/>
    <w:rsid w:val="000836DA"/>
    <w:rsid w:val="0008377A"/>
    <w:rsid w:val="00083856"/>
    <w:rsid w:val="000838A2"/>
    <w:rsid w:val="00083991"/>
    <w:rsid w:val="00083A0C"/>
    <w:rsid w:val="00083A29"/>
    <w:rsid w:val="00083BFC"/>
    <w:rsid w:val="00083C0F"/>
    <w:rsid w:val="00083CA9"/>
    <w:rsid w:val="00083CAC"/>
    <w:rsid w:val="00083DAB"/>
    <w:rsid w:val="00083E43"/>
    <w:rsid w:val="00083E99"/>
    <w:rsid w:val="00084118"/>
    <w:rsid w:val="000843A3"/>
    <w:rsid w:val="000843DD"/>
    <w:rsid w:val="000844B9"/>
    <w:rsid w:val="0008456C"/>
    <w:rsid w:val="0008461E"/>
    <w:rsid w:val="0008464D"/>
    <w:rsid w:val="00084664"/>
    <w:rsid w:val="00084796"/>
    <w:rsid w:val="0008479E"/>
    <w:rsid w:val="00084C06"/>
    <w:rsid w:val="00084D1F"/>
    <w:rsid w:val="00084E08"/>
    <w:rsid w:val="00084E7C"/>
    <w:rsid w:val="00084E88"/>
    <w:rsid w:val="00084F9E"/>
    <w:rsid w:val="00085029"/>
    <w:rsid w:val="0008532B"/>
    <w:rsid w:val="000853F6"/>
    <w:rsid w:val="0008558D"/>
    <w:rsid w:val="000855A0"/>
    <w:rsid w:val="00085656"/>
    <w:rsid w:val="000857EC"/>
    <w:rsid w:val="000858D1"/>
    <w:rsid w:val="00085904"/>
    <w:rsid w:val="00085AE3"/>
    <w:rsid w:val="00085B2F"/>
    <w:rsid w:val="00085B32"/>
    <w:rsid w:val="00085C9D"/>
    <w:rsid w:val="0008619E"/>
    <w:rsid w:val="0008625E"/>
    <w:rsid w:val="00086479"/>
    <w:rsid w:val="00086545"/>
    <w:rsid w:val="00086607"/>
    <w:rsid w:val="00086907"/>
    <w:rsid w:val="0008698C"/>
    <w:rsid w:val="000869A2"/>
    <w:rsid w:val="00086B3D"/>
    <w:rsid w:val="00086C62"/>
    <w:rsid w:val="00086C7F"/>
    <w:rsid w:val="00086D31"/>
    <w:rsid w:val="00086E03"/>
    <w:rsid w:val="00087066"/>
    <w:rsid w:val="000870D2"/>
    <w:rsid w:val="0008711E"/>
    <w:rsid w:val="0008717C"/>
    <w:rsid w:val="000871AE"/>
    <w:rsid w:val="000871CE"/>
    <w:rsid w:val="000871E0"/>
    <w:rsid w:val="0008736E"/>
    <w:rsid w:val="000873FF"/>
    <w:rsid w:val="00087477"/>
    <w:rsid w:val="00087547"/>
    <w:rsid w:val="000875F6"/>
    <w:rsid w:val="00087800"/>
    <w:rsid w:val="00087934"/>
    <w:rsid w:val="0008799A"/>
    <w:rsid w:val="00087A11"/>
    <w:rsid w:val="00087A54"/>
    <w:rsid w:val="00087C73"/>
    <w:rsid w:val="00087DE8"/>
    <w:rsid w:val="00087E31"/>
    <w:rsid w:val="00087E95"/>
    <w:rsid w:val="00087E96"/>
    <w:rsid w:val="00087FF6"/>
    <w:rsid w:val="00090191"/>
    <w:rsid w:val="00090311"/>
    <w:rsid w:val="00090323"/>
    <w:rsid w:val="0009035E"/>
    <w:rsid w:val="00090684"/>
    <w:rsid w:val="00090932"/>
    <w:rsid w:val="00090AF3"/>
    <w:rsid w:val="00090E36"/>
    <w:rsid w:val="00090F78"/>
    <w:rsid w:val="0009108A"/>
    <w:rsid w:val="0009109C"/>
    <w:rsid w:val="000912DC"/>
    <w:rsid w:val="00091328"/>
    <w:rsid w:val="00091356"/>
    <w:rsid w:val="0009153E"/>
    <w:rsid w:val="00091546"/>
    <w:rsid w:val="0009164E"/>
    <w:rsid w:val="000916DF"/>
    <w:rsid w:val="00091807"/>
    <w:rsid w:val="00091925"/>
    <w:rsid w:val="0009198F"/>
    <w:rsid w:val="00091AFD"/>
    <w:rsid w:val="00091B30"/>
    <w:rsid w:val="00091B3C"/>
    <w:rsid w:val="00091BBB"/>
    <w:rsid w:val="00091C30"/>
    <w:rsid w:val="00091D61"/>
    <w:rsid w:val="00091D6D"/>
    <w:rsid w:val="00091DD3"/>
    <w:rsid w:val="00091E8D"/>
    <w:rsid w:val="00091F32"/>
    <w:rsid w:val="00091F69"/>
    <w:rsid w:val="00091FB4"/>
    <w:rsid w:val="0009207C"/>
    <w:rsid w:val="0009228A"/>
    <w:rsid w:val="000922C7"/>
    <w:rsid w:val="0009231F"/>
    <w:rsid w:val="0009236E"/>
    <w:rsid w:val="000923A8"/>
    <w:rsid w:val="000923B1"/>
    <w:rsid w:val="00092437"/>
    <w:rsid w:val="00092713"/>
    <w:rsid w:val="000929E8"/>
    <w:rsid w:val="00092C9C"/>
    <w:rsid w:val="00092D15"/>
    <w:rsid w:val="00092DD0"/>
    <w:rsid w:val="0009310C"/>
    <w:rsid w:val="00093141"/>
    <w:rsid w:val="000931F2"/>
    <w:rsid w:val="00093245"/>
    <w:rsid w:val="00093395"/>
    <w:rsid w:val="000936CF"/>
    <w:rsid w:val="00093742"/>
    <w:rsid w:val="0009380A"/>
    <w:rsid w:val="00093BD2"/>
    <w:rsid w:val="00093C5A"/>
    <w:rsid w:val="00093D65"/>
    <w:rsid w:val="00093ED8"/>
    <w:rsid w:val="00093F3D"/>
    <w:rsid w:val="00093FA2"/>
    <w:rsid w:val="000940C2"/>
    <w:rsid w:val="0009416C"/>
    <w:rsid w:val="00094329"/>
    <w:rsid w:val="0009449B"/>
    <w:rsid w:val="00094556"/>
    <w:rsid w:val="00094781"/>
    <w:rsid w:val="000948CC"/>
    <w:rsid w:val="00094969"/>
    <w:rsid w:val="000949E9"/>
    <w:rsid w:val="00094B00"/>
    <w:rsid w:val="00094DB4"/>
    <w:rsid w:val="00094E6D"/>
    <w:rsid w:val="00094F4F"/>
    <w:rsid w:val="00095031"/>
    <w:rsid w:val="000950B6"/>
    <w:rsid w:val="00095109"/>
    <w:rsid w:val="0009511E"/>
    <w:rsid w:val="0009520D"/>
    <w:rsid w:val="0009530F"/>
    <w:rsid w:val="00095374"/>
    <w:rsid w:val="00095401"/>
    <w:rsid w:val="0009560B"/>
    <w:rsid w:val="0009563C"/>
    <w:rsid w:val="00095727"/>
    <w:rsid w:val="0009576B"/>
    <w:rsid w:val="00095814"/>
    <w:rsid w:val="00095901"/>
    <w:rsid w:val="0009599B"/>
    <w:rsid w:val="00095E6B"/>
    <w:rsid w:val="00095EDD"/>
    <w:rsid w:val="00095FF7"/>
    <w:rsid w:val="0009609F"/>
    <w:rsid w:val="00096190"/>
    <w:rsid w:val="00096212"/>
    <w:rsid w:val="000962EB"/>
    <w:rsid w:val="000963CF"/>
    <w:rsid w:val="000963DC"/>
    <w:rsid w:val="0009687F"/>
    <w:rsid w:val="00096903"/>
    <w:rsid w:val="00096E1C"/>
    <w:rsid w:val="00096E59"/>
    <w:rsid w:val="00096FFC"/>
    <w:rsid w:val="0009701C"/>
    <w:rsid w:val="0009716D"/>
    <w:rsid w:val="00097230"/>
    <w:rsid w:val="0009728C"/>
    <w:rsid w:val="0009734C"/>
    <w:rsid w:val="000975F1"/>
    <w:rsid w:val="000977FA"/>
    <w:rsid w:val="000979E0"/>
    <w:rsid w:val="00097C2F"/>
    <w:rsid w:val="00097D33"/>
    <w:rsid w:val="00097D4F"/>
    <w:rsid w:val="00097E7B"/>
    <w:rsid w:val="000A01ED"/>
    <w:rsid w:val="000A077F"/>
    <w:rsid w:val="000A08C0"/>
    <w:rsid w:val="000A0B76"/>
    <w:rsid w:val="000A0B90"/>
    <w:rsid w:val="000A0CF5"/>
    <w:rsid w:val="000A0D64"/>
    <w:rsid w:val="000A0F64"/>
    <w:rsid w:val="000A121F"/>
    <w:rsid w:val="000A1221"/>
    <w:rsid w:val="000A1282"/>
    <w:rsid w:val="000A12AC"/>
    <w:rsid w:val="000A12C5"/>
    <w:rsid w:val="000A13AF"/>
    <w:rsid w:val="000A158E"/>
    <w:rsid w:val="000A163D"/>
    <w:rsid w:val="000A1653"/>
    <w:rsid w:val="000A16E9"/>
    <w:rsid w:val="000A1A2E"/>
    <w:rsid w:val="000A1B6E"/>
    <w:rsid w:val="000A1B86"/>
    <w:rsid w:val="000A1BD1"/>
    <w:rsid w:val="000A1C67"/>
    <w:rsid w:val="000A1CC1"/>
    <w:rsid w:val="000A1E2F"/>
    <w:rsid w:val="000A1EED"/>
    <w:rsid w:val="000A1F0D"/>
    <w:rsid w:val="000A1F60"/>
    <w:rsid w:val="000A20B7"/>
    <w:rsid w:val="000A2142"/>
    <w:rsid w:val="000A2186"/>
    <w:rsid w:val="000A2410"/>
    <w:rsid w:val="000A2525"/>
    <w:rsid w:val="000A2526"/>
    <w:rsid w:val="000A275D"/>
    <w:rsid w:val="000A2825"/>
    <w:rsid w:val="000A2B42"/>
    <w:rsid w:val="000A2C25"/>
    <w:rsid w:val="000A2C36"/>
    <w:rsid w:val="000A2CD4"/>
    <w:rsid w:val="000A2D9E"/>
    <w:rsid w:val="000A33EE"/>
    <w:rsid w:val="000A3408"/>
    <w:rsid w:val="000A34E6"/>
    <w:rsid w:val="000A35E7"/>
    <w:rsid w:val="000A38D9"/>
    <w:rsid w:val="000A393B"/>
    <w:rsid w:val="000A3A4B"/>
    <w:rsid w:val="000A3B9B"/>
    <w:rsid w:val="000A3BDF"/>
    <w:rsid w:val="000A3C57"/>
    <w:rsid w:val="000A3D5C"/>
    <w:rsid w:val="000A40C5"/>
    <w:rsid w:val="000A4223"/>
    <w:rsid w:val="000A427D"/>
    <w:rsid w:val="000A432F"/>
    <w:rsid w:val="000A4455"/>
    <w:rsid w:val="000A451D"/>
    <w:rsid w:val="000A4538"/>
    <w:rsid w:val="000A4550"/>
    <w:rsid w:val="000A45C1"/>
    <w:rsid w:val="000A45EB"/>
    <w:rsid w:val="000A47AA"/>
    <w:rsid w:val="000A4A29"/>
    <w:rsid w:val="000A4A7E"/>
    <w:rsid w:val="000A4B03"/>
    <w:rsid w:val="000A4BE2"/>
    <w:rsid w:val="000A4BE4"/>
    <w:rsid w:val="000A4D04"/>
    <w:rsid w:val="000A4D49"/>
    <w:rsid w:val="000A4D74"/>
    <w:rsid w:val="000A4DF3"/>
    <w:rsid w:val="000A4EC1"/>
    <w:rsid w:val="000A4FB7"/>
    <w:rsid w:val="000A544C"/>
    <w:rsid w:val="000A5480"/>
    <w:rsid w:val="000A5950"/>
    <w:rsid w:val="000A596C"/>
    <w:rsid w:val="000A5999"/>
    <w:rsid w:val="000A599D"/>
    <w:rsid w:val="000A59F9"/>
    <w:rsid w:val="000A5A04"/>
    <w:rsid w:val="000A5A6C"/>
    <w:rsid w:val="000A5BF6"/>
    <w:rsid w:val="000A5C38"/>
    <w:rsid w:val="000A5C77"/>
    <w:rsid w:val="000A5CA3"/>
    <w:rsid w:val="000A5CCB"/>
    <w:rsid w:val="000A5DE2"/>
    <w:rsid w:val="000A5F80"/>
    <w:rsid w:val="000A6065"/>
    <w:rsid w:val="000A607F"/>
    <w:rsid w:val="000A6211"/>
    <w:rsid w:val="000A62A8"/>
    <w:rsid w:val="000A62CA"/>
    <w:rsid w:val="000A6311"/>
    <w:rsid w:val="000A6378"/>
    <w:rsid w:val="000A657D"/>
    <w:rsid w:val="000A65BF"/>
    <w:rsid w:val="000A6621"/>
    <w:rsid w:val="000A6737"/>
    <w:rsid w:val="000A6BE9"/>
    <w:rsid w:val="000A6D1C"/>
    <w:rsid w:val="000A6D3E"/>
    <w:rsid w:val="000A700A"/>
    <w:rsid w:val="000A703D"/>
    <w:rsid w:val="000A7110"/>
    <w:rsid w:val="000A712B"/>
    <w:rsid w:val="000A7719"/>
    <w:rsid w:val="000A778E"/>
    <w:rsid w:val="000A77D5"/>
    <w:rsid w:val="000A7AF3"/>
    <w:rsid w:val="000A7CCA"/>
    <w:rsid w:val="000A7F5C"/>
    <w:rsid w:val="000B0117"/>
    <w:rsid w:val="000B0165"/>
    <w:rsid w:val="000B01D7"/>
    <w:rsid w:val="000B0461"/>
    <w:rsid w:val="000B046B"/>
    <w:rsid w:val="000B0576"/>
    <w:rsid w:val="000B08B0"/>
    <w:rsid w:val="000B0A1D"/>
    <w:rsid w:val="000B0BD5"/>
    <w:rsid w:val="000B0EC3"/>
    <w:rsid w:val="000B1035"/>
    <w:rsid w:val="000B11BE"/>
    <w:rsid w:val="000B11E5"/>
    <w:rsid w:val="000B1228"/>
    <w:rsid w:val="000B14BC"/>
    <w:rsid w:val="000B16DF"/>
    <w:rsid w:val="000B188C"/>
    <w:rsid w:val="000B1935"/>
    <w:rsid w:val="000B1983"/>
    <w:rsid w:val="000B1995"/>
    <w:rsid w:val="000B1A18"/>
    <w:rsid w:val="000B1A92"/>
    <w:rsid w:val="000B1DE2"/>
    <w:rsid w:val="000B1ED1"/>
    <w:rsid w:val="000B1FDB"/>
    <w:rsid w:val="000B2175"/>
    <w:rsid w:val="000B235F"/>
    <w:rsid w:val="000B23B4"/>
    <w:rsid w:val="000B23C2"/>
    <w:rsid w:val="000B2425"/>
    <w:rsid w:val="000B2923"/>
    <w:rsid w:val="000B2AC5"/>
    <w:rsid w:val="000B2B1D"/>
    <w:rsid w:val="000B2B71"/>
    <w:rsid w:val="000B2B74"/>
    <w:rsid w:val="000B2B80"/>
    <w:rsid w:val="000B2BCE"/>
    <w:rsid w:val="000B2BE8"/>
    <w:rsid w:val="000B2E2F"/>
    <w:rsid w:val="000B2FD3"/>
    <w:rsid w:val="000B3054"/>
    <w:rsid w:val="000B3064"/>
    <w:rsid w:val="000B32C5"/>
    <w:rsid w:val="000B32DC"/>
    <w:rsid w:val="000B3410"/>
    <w:rsid w:val="000B35F9"/>
    <w:rsid w:val="000B3604"/>
    <w:rsid w:val="000B3619"/>
    <w:rsid w:val="000B38B3"/>
    <w:rsid w:val="000B38C2"/>
    <w:rsid w:val="000B3A76"/>
    <w:rsid w:val="000B3A78"/>
    <w:rsid w:val="000B3B34"/>
    <w:rsid w:val="000B3BF4"/>
    <w:rsid w:val="000B3EA0"/>
    <w:rsid w:val="000B4265"/>
    <w:rsid w:val="000B4328"/>
    <w:rsid w:val="000B455B"/>
    <w:rsid w:val="000B4665"/>
    <w:rsid w:val="000B4723"/>
    <w:rsid w:val="000B4B81"/>
    <w:rsid w:val="000B4E2E"/>
    <w:rsid w:val="000B4E34"/>
    <w:rsid w:val="000B4E99"/>
    <w:rsid w:val="000B4ECB"/>
    <w:rsid w:val="000B5013"/>
    <w:rsid w:val="000B5019"/>
    <w:rsid w:val="000B5042"/>
    <w:rsid w:val="000B5281"/>
    <w:rsid w:val="000B53D9"/>
    <w:rsid w:val="000B54F5"/>
    <w:rsid w:val="000B565D"/>
    <w:rsid w:val="000B5773"/>
    <w:rsid w:val="000B578A"/>
    <w:rsid w:val="000B578D"/>
    <w:rsid w:val="000B58B7"/>
    <w:rsid w:val="000B59D8"/>
    <w:rsid w:val="000B5A1C"/>
    <w:rsid w:val="000B5B1E"/>
    <w:rsid w:val="000B5DFE"/>
    <w:rsid w:val="000B5E59"/>
    <w:rsid w:val="000B5F7B"/>
    <w:rsid w:val="000B613F"/>
    <w:rsid w:val="000B6198"/>
    <w:rsid w:val="000B61E4"/>
    <w:rsid w:val="000B621D"/>
    <w:rsid w:val="000B625B"/>
    <w:rsid w:val="000B62F5"/>
    <w:rsid w:val="000B67AD"/>
    <w:rsid w:val="000B67DB"/>
    <w:rsid w:val="000B69E3"/>
    <w:rsid w:val="000B6A17"/>
    <w:rsid w:val="000B6BD7"/>
    <w:rsid w:val="000B6EA6"/>
    <w:rsid w:val="000B6F44"/>
    <w:rsid w:val="000B6FB1"/>
    <w:rsid w:val="000B6FD0"/>
    <w:rsid w:val="000B7143"/>
    <w:rsid w:val="000B7228"/>
    <w:rsid w:val="000B7240"/>
    <w:rsid w:val="000B7310"/>
    <w:rsid w:val="000B7320"/>
    <w:rsid w:val="000B73ED"/>
    <w:rsid w:val="000B7401"/>
    <w:rsid w:val="000B7445"/>
    <w:rsid w:val="000B7633"/>
    <w:rsid w:val="000B7812"/>
    <w:rsid w:val="000B7817"/>
    <w:rsid w:val="000B7865"/>
    <w:rsid w:val="000B78D9"/>
    <w:rsid w:val="000B79C8"/>
    <w:rsid w:val="000B79E6"/>
    <w:rsid w:val="000B7A3F"/>
    <w:rsid w:val="000B7C13"/>
    <w:rsid w:val="000B7C82"/>
    <w:rsid w:val="000B7D1A"/>
    <w:rsid w:val="000B7F76"/>
    <w:rsid w:val="000C01F7"/>
    <w:rsid w:val="000C05CE"/>
    <w:rsid w:val="000C06F4"/>
    <w:rsid w:val="000C07C7"/>
    <w:rsid w:val="000C08DA"/>
    <w:rsid w:val="000C090B"/>
    <w:rsid w:val="000C093D"/>
    <w:rsid w:val="000C0AA7"/>
    <w:rsid w:val="000C0B99"/>
    <w:rsid w:val="000C0BFC"/>
    <w:rsid w:val="000C0CF5"/>
    <w:rsid w:val="000C0CF7"/>
    <w:rsid w:val="000C0EDE"/>
    <w:rsid w:val="000C0F30"/>
    <w:rsid w:val="000C0FB2"/>
    <w:rsid w:val="000C11BD"/>
    <w:rsid w:val="000C1208"/>
    <w:rsid w:val="000C12B8"/>
    <w:rsid w:val="000C1399"/>
    <w:rsid w:val="000C149A"/>
    <w:rsid w:val="000C14ED"/>
    <w:rsid w:val="000C14F8"/>
    <w:rsid w:val="000C1687"/>
    <w:rsid w:val="000C1796"/>
    <w:rsid w:val="000C181D"/>
    <w:rsid w:val="000C18A3"/>
    <w:rsid w:val="000C18AD"/>
    <w:rsid w:val="000C1930"/>
    <w:rsid w:val="000C1936"/>
    <w:rsid w:val="000C1B4C"/>
    <w:rsid w:val="000C1BF1"/>
    <w:rsid w:val="000C1CB6"/>
    <w:rsid w:val="000C1CCD"/>
    <w:rsid w:val="000C1ECF"/>
    <w:rsid w:val="000C1F85"/>
    <w:rsid w:val="000C1F95"/>
    <w:rsid w:val="000C2031"/>
    <w:rsid w:val="000C2070"/>
    <w:rsid w:val="000C211A"/>
    <w:rsid w:val="000C235A"/>
    <w:rsid w:val="000C23D2"/>
    <w:rsid w:val="000C256A"/>
    <w:rsid w:val="000C26D9"/>
    <w:rsid w:val="000C2817"/>
    <w:rsid w:val="000C285D"/>
    <w:rsid w:val="000C289A"/>
    <w:rsid w:val="000C2993"/>
    <w:rsid w:val="000C2A16"/>
    <w:rsid w:val="000C2A88"/>
    <w:rsid w:val="000C2ADA"/>
    <w:rsid w:val="000C2B29"/>
    <w:rsid w:val="000C2CA7"/>
    <w:rsid w:val="000C2CD8"/>
    <w:rsid w:val="000C2E1B"/>
    <w:rsid w:val="000C2ED6"/>
    <w:rsid w:val="000C2FCF"/>
    <w:rsid w:val="000C32C7"/>
    <w:rsid w:val="000C3377"/>
    <w:rsid w:val="000C3542"/>
    <w:rsid w:val="000C3549"/>
    <w:rsid w:val="000C395E"/>
    <w:rsid w:val="000C3A44"/>
    <w:rsid w:val="000C3B5A"/>
    <w:rsid w:val="000C3CC3"/>
    <w:rsid w:val="000C3DBD"/>
    <w:rsid w:val="000C3F6D"/>
    <w:rsid w:val="000C40EE"/>
    <w:rsid w:val="000C420C"/>
    <w:rsid w:val="000C4259"/>
    <w:rsid w:val="000C44A8"/>
    <w:rsid w:val="000C4542"/>
    <w:rsid w:val="000C45E8"/>
    <w:rsid w:val="000C4759"/>
    <w:rsid w:val="000C4AE4"/>
    <w:rsid w:val="000C4B89"/>
    <w:rsid w:val="000C4C3A"/>
    <w:rsid w:val="000C4E34"/>
    <w:rsid w:val="000C4E69"/>
    <w:rsid w:val="000C4EA5"/>
    <w:rsid w:val="000C541B"/>
    <w:rsid w:val="000C573A"/>
    <w:rsid w:val="000C5790"/>
    <w:rsid w:val="000C583E"/>
    <w:rsid w:val="000C594D"/>
    <w:rsid w:val="000C5C03"/>
    <w:rsid w:val="000C5C1C"/>
    <w:rsid w:val="000C5D92"/>
    <w:rsid w:val="000C5DE8"/>
    <w:rsid w:val="000C5F5F"/>
    <w:rsid w:val="000C6090"/>
    <w:rsid w:val="000C60E1"/>
    <w:rsid w:val="000C61E0"/>
    <w:rsid w:val="000C6215"/>
    <w:rsid w:val="000C62BB"/>
    <w:rsid w:val="000C645C"/>
    <w:rsid w:val="000C6496"/>
    <w:rsid w:val="000C650E"/>
    <w:rsid w:val="000C653E"/>
    <w:rsid w:val="000C655C"/>
    <w:rsid w:val="000C656C"/>
    <w:rsid w:val="000C657E"/>
    <w:rsid w:val="000C6725"/>
    <w:rsid w:val="000C6749"/>
    <w:rsid w:val="000C68D2"/>
    <w:rsid w:val="000C69F0"/>
    <w:rsid w:val="000C6AFB"/>
    <w:rsid w:val="000C6C37"/>
    <w:rsid w:val="000C6C81"/>
    <w:rsid w:val="000C6F3B"/>
    <w:rsid w:val="000C7001"/>
    <w:rsid w:val="000C70B5"/>
    <w:rsid w:val="000C710E"/>
    <w:rsid w:val="000C730C"/>
    <w:rsid w:val="000C7603"/>
    <w:rsid w:val="000C770F"/>
    <w:rsid w:val="000C77BE"/>
    <w:rsid w:val="000C796A"/>
    <w:rsid w:val="000C7C15"/>
    <w:rsid w:val="000C7CE2"/>
    <w:rsid w:val="000C7E23"/>
    <w:rsid w:val="000D0326"/>
    <w:rsid w:val="000D0340"/>
    <w:rsid w:val="000D037A"/>
    <w:rsid w:val="000D0441"/>
    <w:rsid w:val="000D0663"/>
    <w:rsid w:val="000D06B8"/>
    <w:rsid w:val="000D07E2"/>
    <w:rsid w:val="000D0D79"/>
    <w:rsid w:val="000D0DA7"/>
    <w:rsid w:val="000D0E7B"/>
    <w:rsid w:val="000D0FB7"/>
    <w:rsid w:val="000D11EF"/>
    <w:rsid w:val="000D13A4"/>
    <w:rsid w:val="000D1676"/>
    <w:rsid w:val="000D167C"/>
    <w:rsid w:val="000D1763"/>
    <w:rsid w:val="000D1842"/>
    <w:rsid w:val="000D1881"/>
    <w:rsid w:val="000D1999"/>
    <w:rsid w:val="000D1A26"/>
    <w:rsid w:val="000D1D50"/>
    <w:rsid w:val="000D1D74"/>
    <w:rsid w:val="000D1E39"/>
    <w:rsid w:val="000D1FEA"/>
    <w:rsid w:val="000D220C"/>
    <w:rsid w:val="000D2325"/>
    <w:rsid w:val="000D2588"/>
    <w:rsid w:val="000D26FF"/>
    <w:rsid w:val="000D275A"/>
    <w:rsid w:val="000D27B0"/>
    <w:rsid w:val="000D292E"/>
    <w:rsid w:val="000D2958"/>
    <w:rsid w:val="000D2967"/>
    <w:rsid w:val="000D2C3E"/>
    <w:rsid w:val="000D2D84"/>
    <w:rsid w:val="000D2DCF"/>
    <w:rsid w:val="000D2E9F"/>
    <w:rsid w:val="000D2EC5"/>
    <w:rsid w:val="000D31D7"/>
    <w:rsid w:val="000D3232"/>
    <w:rsid w:val="000D32A3"/>
    <w:rsid w:val="000D356E"/>
    <w:rsid w:val="000D38BD"/>
    <w:rsid w:val="000D38E8"/>
    <w:rsid w:val="000D3A4B"/>
    <w:rsid w:val="000D3C56"/>
    <w:rsid w:val="000D3FC4"/>
    <w:rsid w:val="000D4100"/>
    <w:rsid w:val="000D41CB"/>
    <w:rsid w:val="000D44D0"/>
    <w:rsid w:val="000D4547"/>
    <w:rsid w:val="000D4694"/>
    <w:rsid w:val="000D47CD"/>
    <w:rsid w:val="000D48E6"/>
    <w:rsid w:val="000D49E4"/>
    <w:rsid w:val="000D4B5F"/>
    <w:rsid w:val="000D4D86"/>
    <w:rsid w:val="000D4D8B"/>
    <w:rsid w:val="000D4DDE"/>
    <w:rsid w:val="000D5001"/>
    <w:rsid w:val="000D519C"/>
    <w:rsid w:val="000D53F1"/>
    <w:rsid w:val="000D5429"/>
    <w:rsid w:val="000D547A"/>
    <w:rsid w:val="000D547C"/>
    <w:rsid w:val="000D554A"/>
    <w:rsid w:val="000D57AE"/>
    <w:rsid w:val="000D58B8"/>
    <w:rsid w:val="000D59F0"/>
    <w:rsid w:val="000D5A86"/>
    <w:rsid w:val="000D5AB4"/>
    <w:rsid w:val="000D5B5C"/>
    <w:rsid w:val="000D5DBD"/>
    <w:rsid w:val="000D5E77"/>
    <w:rsid w:val="000D6011"/>
    <w:rsid w:val="000D6099"/>
    <w:rsid w:val="000D60BE"/>
    <w:rsid w:val="000D634E"/>
    <w:rsid w:val="000D6452"/>
    <w:rsid w:val="000D64AD"/>
    <w:rsid w:val="000D6626"/>
    <w:rsid w:val="000D6A3B"/>
    <w:rsid w:val="000D6B91"/>
    <w:rsid w:val="000D6D1F"/>
    <w:rsid w:val="000D6E5D"/>
    <w:rsid w:val="000D6EAA"/>
    <w:rsid w:val="000D6F36"/>
    <w:rsid w:val="000D6F7A"/>
    <w:rsid w:val="000D6F9F"/>
    <w:rsid w:val="000D703B"/>
    <w:rsid w:val="000D708A"/>
    <w:rsid w:val="000D711F"/>
    <w:rsid w:val="000D7236"/>
    <w:rsid w:val="000D7500"/>
    <w:rsid w:val="000D7575"/>
    <w:rsid w:val="000D762E"/>
    <w:rsid w:val="000D769A"/>
    <w:rsid w:val="000D7940"/>
    <w:rsid w:val="000D7A01"/>
    <w:rsid w:val="000D7A9B"/>
    <w:rsid w:val="000D7BB7"/>
    <w:rsid w:val="000D7BF5"/>
    <w:rsid w:val="000D7C7F"/>
    <w:rsid w:val="000D7F86"/>
    <w:rsid w:val="000E02B5"/>
    <w:rsid w:val="000E0328"/>
    <w:rsid w:val="000E039D"/>
    <w:rsid w:val="000E058F"/>
    <w:rsid w:val="000E0590"/>
    <w:rsid w:val="000E0619"/>
    <w:rsid w:val="000E069A"/>
    <w:rsid w:val="000E0917"/>
    <w:rsid w:val="000E0B36"/>
    <w:rsid w:val="000E0CDB"/>
    <w:rsid w:val="000E0E12"/>
    <w:rsid w:val="000E0F30"/>
    <w:rsid w:val="000E0F73"/>
    <w:rsid w:val="000E0F8E"/>
    <w:rsid w:val="000E105B"/>
    <w:rsid w:val="000E1106"/>
    <w:rsid w:val="000E112F"/>
    <w:rsid w:val="000E12A3"/>
    <w:rsid w:val="000E14DA"/>
    <w:rsid w:val="000E1623"/>
    <w:rsid w:val="000E168C"/>
    <w:rsid w:val="000E16DD"/>
    <w:rsid w:val="000E17CF"/>
    <w:rsid w:val="000E1975"/>
    <w:rsid w:val="000E19C5"/>
    <w:rsid w:val="000E1A08"/>
    <w:rsid w:val="000E1A86"/>
    <w:rsid w:val="000E1A9D"/>
    <w:rsid w:val="000E1B5F"/>
    <w:rsid w:val="000E1B88"/>
    <w:rsid w:val="000E1BFC"/>
    <w:rsid w:val="000E1DE2"/>
    <w:rsid w:val="000E1E6A"/>
    <w:rsid w:val="000E203E"/>
    <w:rsid w:val="000E2067"/>
    <w:rsid w:val="000E2121"/>
    <w:rsid w:val="000E2173"/>
    <w:rsid w:val="000E2626"/>
    <w:rsid w:val="000E2970"/>
    <w:rsid w:val="000E2984"/>
    <w:rsid w:val="000E2A1E"/>
    <w:rsid w:val="000E2B85"/>
    <w:rsid w:val="000E2C21"/>
    <w:rsid w:val="000E2C84"/>
    <w:rsid w:val="000E2CFB"/>
    <w:rsid w:val="000E2EAD"/>
    <w:rsid w:val="000E3164"/>
    <w:rsid w:val="000E34C0"/>
    <w:rsid w:val="000E3559"/>
    <w:rsid w:val="000E360D"/>
    <w:rsid w:val="000E362C"/>
    <w:rsid w:val="000E3660"/>
    <w:rsid w:val="000E3690"/>
    <w:rsid w:val="000E372C"/>
    <w:rsid w:val="000E387D"/>
    <w:rsid w:val="000E3B13"/>
    <w:rsid w:val="000E3BF6"/>
    <w:rsid w:val="000E3D65"/>
    <w:rsid w:val="000E3E0C"/>
    <w:rsid w:val="000E4089"/>
    <w:rsid w:val="000E4321"/>
    <w:rsid w:val="000E43CE"/>
    <w:rsid w:val="000E43E5"/>
    <w:rsid w:val="000E442A"/>
    <w:rsid w:val="000E44F2"/>
    <w:rsid w:val="000E45E8"/>
    <w:rsid w:val="000E4773"/>
    <w:rsid w:val="000E47EF"/>
    <w:rsid w:val="000E4849"/>
    <w:rsid w:val="000E4896"/>
    <w:rsid w:val="000E49FB"/>
    <w:rsid w:val="000E4A06"/>
    <w:rsid w:val="000E4AA7"/>
    <w:rsid w:val="000E4C5C"/>
    <w:rsid w:val="000E4C71"/>
    <w:rsid w:val="000E4C9E"/>
    <w:rsid w:val="000E4DFD"/>
    <w:rsid w:val="000E4FF2"/>
    <w:rsid w:val="000E504C"/>
    <w:rsid w:val="000E52D7"/>
    <w:rsid w:val="000E541C"/>
    <w:rsid w:val="000E54C8"/>
    <w:rsid w:val="000E573A"/>
    <w:rsid w:val="000E57B8"/>
    <w:rsid w:val="000E5925"/>
    <w:rsid w:val="000E59FA"/>
    <w:rsid w:val="000E5A1B"/>
    <w:rsid w:val="000E5A5C"/>
    <w:rsid w:val="000E5B27"/>
    <w:rsid w:val="000E5BA7"/>
    <w:rsid w:val="000E5BC8"/>
    <w:rsid w:val="000E5EAB"/>
    <w:rsid w:val="000E5EE0"/>
    <w:rsid w:val="000E5EFA"/>
    <w:rsid w:val="000E6112"/>
    <w:rsid w:val="000E6265"/>
    <w:rsid w:val="000E6323"/>
    <w:rsid w:val="000E6363"/>
    <w:rsid w:val="000E639D"/>
    <w:rsid w:val="000E64A4"/>
    <w:rsid w:val="000E65E3"/>
    <w:rsid w:val="000E67AB"/>
    <w:rsid w:val="000E6865"/>
    <w:rsid w:val="000E68BA"/>
    <w:rsid w:val="000E69B2"/>
    <w:rsid w:val="000E7077"/>
    <w:rsid w:val="000E722F"/>
    <w:rsid w:val="000E74E4"/>
    <w:rsid w:val="000E76C2"/>
    <w:rsid w:val="000E7A5F"/>
    <w:rsid w:val="000E7C72"/>
    <w:rsid w:val="000E7D25"/>
    <w:rsid w:val="000E7E3D"/>
    <w:rsid w:val="000E7E41"/>
    <w:rsid w:val="000E7E56"/>
    <w:rsid w:val="000F00C4"/>
    <w:rsid w:val="000F0125"/>
    <w:rsid w:val="000F0185"/>
    <w:rsid w:val="000F02B6"/>
    <w:rsid w:val="000F0371"/>
    <w:rsid w:val="000F0437"/>
    <w:rsid w:val="000F05CD"/>
    <w:rsid w:val="000F0619"/>
    <w:rsid w:val="000F086E"/>
    <w:rsid w:val="000F08C2"/>
    <w:rsid w:val="000F0B18"/>
    <w:rsid w:val="000F0B69"/>
    <w:rsid w:val="000F0CF6"/>
    <w:rsid w:val="000F0D43"/>
    <w:rsid w:val="000F0FDD"/>
    <w:rsid w:val="000F1172"/>
    <w:rsid w:val="000F1415"/>
    <w:rsid w:val="000F1473"/>
    <w:rsid w:val="000F1788"/>
    <w:rsid w:val="000F19A5"/>
    <w:rsid w:val="000F19D2"/>
    <w:rsid w:val="000F1A33"/>
    <w:rsid w:val="000F1A6A"/>
    <w:rsid w:val="000F1C8F"/>
    <w:rsid w:val="000F1D68"/>
    <w:rsid w:val="000F1EB2"/>
    <w:rsid w:val="000F2013"/>
    <w:rsid w:val="000F2066"/>
    <w:rsid w:val="000F2197"/>
    <w:rsid w:val="000F234F"/>
    <w:rsid w:val="000F2359"/>
    <w:rsid w:val="000F239D"/>
    <w:rsid w:val="000F287C"/>
    <w:rsid w:val="000F28D0"/>
    <w:rsid w:val="000F2AD5"/>
    <w:rsid w:val="000F2B18"/>
    <w:rsid w:val="000F2B61"/>
    <w:rsid w:val="000F2CA1"/>
    <w:rsid w:val="000F2DD0"/>
    <w:rsid w:val="000F307E"/>
    <w:rsid w:val="000F30F2"/>
    <w:rsid w:val="000F321F"/>
    <w:rsid w:val="000F3256"/>
    <w:rsid w:val="000F350C"/>
    <w:rsid w:val="000F35C0"/>
    <w:rsid w:val="000F3675"/>
    <w:rsid w:val="000F3679"/>
    <w:rsid w:val="000F3684"/>
    <w:rsid w:val="000F3704"/>
    <w:rsid w:val="000F37AD"/>
    <w:rsid w:val="000F396A"/>
    <w:rsid w:val="000F3BAA"/>
    <w:rsid w:val="000F3C3E"/>
    <w:rsid w:val="000F3CD2"/>
    <w:rsid w:val="000F3E43"/>
    <w:rsid w:val="000F3F79"/>
    <w:rsid w:val="000F3FF1"/>
    <w:rsid w:val="000F410A"/>
    <w:rsid w:val="000F48EB"/>
    <w:rsid w:val="000F49CD"/>
    <w:rsid w:val="000F4E74"/>
    <w:rsid w:val="000F4E7D"/>
    <w:rsid w:val="000F4FB8"/>
    <w:rsid w:val="000F512B"/>
    <w:rsid w:val="000F522C"/>
    <w:rsid w:val="000F523F"/>
    <w:rsid w:val="000F5252"/>
    <w:rsid w:val="000F5291"/>
    <w:rsid w:val="000F5633"/>
    <w:rsid w:val="000F5660"/>
    <w:rsid w:val="000F5764"/>
    <w:rsid w:val="000F5777"/>
    <w:rsid w:val="000F589D"/>
    <w:rsid w:val="000F58CA"/>
    <w:rsid w:val="000F5903"/>
    <w:rsid w:val="000F5A01"/>
    <w:rsid w:val="000F5A75"/>
    <w:rsid w:val="000F5C07"/>
    <w:rsid w:val="000F5D03"/>
    <w:rsid w:val="000F5EBC"/>
    <w:rsid w:val="000F5F19"/>
    <w:rsid w:val="000F5F70"/>
    <w:rsid w:val="000F5F71"/>
    <w:rsid w:val="000F63F5"/>
    <w:rsid w:val="000F641F"/>
    <w:rsid w:val="000F6439"/>
    <w:rsid w:val="000F6868"/>
    <w:rsid w:val="000F6890"/>
    <w:rsid w:val="000F68ED"/>
    <w:rsid w:val="000F6945"/>
    <w:rsid w:val="000F69DC"/>
    <w:rsid w:val="000F6D04"/>
    <w:rsid w:val="000F6D44"/>
    <w:rsid w:val="000F6D89"/>
    <w:rsid w:val="000F6F1E"/>
    <w:rsid w:val="000F7211"/>
    <w:rsid w:val="000F7237"/>
    <w:rsid w:val="000F7305"/>
    <w:rsid w:val="000F733B"/>
    <w:rsid w:val="000F734B"/>
    <w:rsid w:val="000F7633"/>
    <w:rsid w:val="000F7671"/>
    <w:rsid w:val="000F771F"/>
    <w:rsid w:val="000F7854"/>
    <w:rsid w:val="000F7999"/>
    <w:rsid w:val="000F7B3C"/>
    <w:rsid w:val="000F7B6E"/>
    <w:rsid w:val="000F7F33"/>
    <w:rsid w:val="000F7F3F"/>
    <w:rsid w:val="000F7FF5"/>
    <w:rsid w:val="001001DB"/>
    <w:rsid w:val="001003F4"/>
    <w:rsid w:val="00100448"/>
    <w:rsid w:val="001005B0"/>
    <w:rsid w:val="001006C7"/>
    <w:rsid w:val="0010070A"/>
    <w:rsid w:val="0010074E"/>
    <w:rsid w:val="001007F2"/>
    <w:rsid w:val="00100A32"/>
    <w:rsid w:val="00100A5E"/>
    <w:rsid w:val="00100DE2"/>
    <w:rsid w:val="00100E2E"/>
    <w:rsid w:val="00100EB0"/>
    <w:rsid w:val="00100EB6"/>
    <w:rsid w:val="001010A3"/>
    <w:rsid w:val="0010148C"/>
    <w:rsid w:val="001014FB"/>
    <w:rsid w:val="00101772"/>
    <w:rsid w:val="001017A2"/>
    <w:rsid w:val="00101A05"/>
    <w:rsid w:val="00101A33"/>
    <w:rsid w:val="00101B3D"/>
    <w:rsid w:val="00101B85"/>
    <w:rsid w:val="00101C0C"/>
    <w:rsid w:val="00101C26"/>
    <w:rsid w:val="00101CCE"/>
    <w:rsid w:val="00101E1C"/>
    <w:rsid w:val="00101F12"/>
    <w:rsid w:val="00102044"/>
    <w:rsid w:val="001022E5"/>
    <w:rsid w:val="001023DD"/>
    <w:rsid w:val="0010252D"/>
    <w:rsid w:val="0010264E"/>
    <w:rsid w:val="001027CF"/>
    <w:rsid w:val="0010289E"/>
    <w:rsid w:val="001029E1"/>
    <w:rsid w:val="00102AA4"/>
    <w:rsid w:val="00102CB4"/>
    <w:rsid w:val="00102CFD"/>
    <w:rsid w:val="00102D4A"/>
    <w:rsid w:val="00102DE7"/>
    <w:rsid w:val="00102E30"/>
    <w:rsid w:val="00102E87"/>
    <w:rsid w:val="00103375"/>
    <w:rsid w:val="001035FC"/>
    <w:rsid w:val="00103757"/>
    <w:rsid w:val="0010380A"/>
    <w:rsid w:val="001038F8"/>
    <w:rsid w:val="001039DA"/>
    <w:rsid w:val="00103A04"/>
    <w:rsid w:val="00103A77"/>
    <w:rsid w:val="00103AB8"/>
    <w:rsid w:val="00103B02"/>
    <w:rsid w:val="00103CCF"/>
    <w:rsid w:val="00103F40"/>
    <w:rsid w:val="00103FB2"/>
    <w:rsid w:val="0010406A"/>
    <w:rsid w:val="001040B2"/>
    <w:rsid w:val="0010413B"/>
    <w:rsid w:val="00104168"/>
    <w:rsid w:val="00104297"/>
    <w:rsid w:val="00104366"/>
    <w:rsid w:val="0010437B"/>
    <w:rsid w:val="0010479F"/>
    <w:rsid w:val="001049C0"/>
    <w:rsid w:val="00104B25"/>
    <w:rsid w:val="00104B74"/>
    <w:rsid w:val="00104CCD"/>
    <w:rsid w:val="00104F0D"/>
    <w:rsid w:val="00105096"/>
    <w:rsid w:val="001050A1"/>
    <w:rsid w:val="001050B2"/>
    <w:rsid w:val="00105173"/>
    <w:rsid w:val="001051AD"/>
    <w:rsid w:val="00105324"/>
    <w:rsid w:val="001053E5"/>
    <w:rsid w:val="00105515"/>
    <w:rsid w:val="00105599"/>
    <w:rsid w:val="00105674"/>
    <w:rsid w:val="001056D5"/>
    <w:rsid w:val="00105747"/>
    <w:rsid w:val="00105789"/>
    <w:rsid w:val="001057EA"/>
    <w:rsid w:val="00105929"/>
    <w:rsid w:val="0010593B"/>
    <w:rsid w:val="00105A5E"/>
    <w:rsid w:val="00105AD7"/>
    <w:rsid w:val="00105B01"/>
    <w:rsid w:val="00105B75"/>
    <w:rsid w:val="00105E22"/>
    <w:rsid w:val="00105E49"/>
    <w:rsid w:val="00105E64"/>
    <w:rsid w:val="00105E8D"/>
    <w:rsid w:val="00105EB9"/>
    <w:rsid w:val="00105F40"/>
    <w:rsid w:val="00105F65"/>
    <w:rsid w:val="00106102"/>
    <w:rsid w:val="0010613A"/>
    <w:rsid w:val="00106187"/>
    <w:rsid w:val="001061B4"/>
    <w:rsid w:val="00106298"/>
    <w:rsid w:val="001062BF"/>
    <w:rsid w:val="0010632A"/>
    <w:rsid w:val="00106400"/>
    <w:rsid w:val="0010646A"/>
    <w:rsid w:val="00106543"/>
    <w:rsid w:val="0010680D"/>
    <w:rsid w:val="00106872"/>
    <w:rsid w:val="00106935"/>
    <w:rsid w:val="001069A8"/>
    <w:rsid w:val="001069BC"/>
    <w:rsid w:val="00106AA2"/>
    <w:rsid w:val="00106B1E"/>
    <w:rsid w:val="00106B3E"/>
    <w:rsid w:val="00106D44"/>
    <w:rsid w:val="00106DFB"/>
    <w:rsid w:val="00106ECA"/>
    <w:rsid w:val="00106F16"/>
    <w:rsid w:val="00107015"/>
    <w:rsid w:val="001071C3"/>
    <w:rsid w:val="00107346"/>
    <w:rsid w:val="00107612"/>
    <w:rsid w:val="00107613"/>
    <w:rsid w:val="00107694"/>
    <w:rsid w:val="00107ABA"/>
    <w:rsid w:val="00107B0A"/>
    <w:rsid w:val="00107B5F"/>
    <w:rsid w:val="00107BC8"/>
    <w:rsid w:val="00107C67"/>
    <w:rsid w:val="00107D10"/>
    <w:rsid w:val="00110006"/>
    <w:rsid w:val="0011007C"/>
    <w:rsid w:val="0011019B"/>
    <w:rsid w:val="001101CB"/>
    <w:rsid w:val="00110209"/>
    <w:rsid w:val="00110259"/>
    <w:rsid w:val="00110422"/>
    <w:rsid w:val="001105BF"/>
    <w:rsid w:val="00110662"/>
    <w:rsid w:val="001108D6"/>
    <w:rsid w:val="00110907"/>
    <w:rsid w:val="0011095A"/>
    <w:rsid w:val="00110A9D"/>
    <w:rsid w:val="00110ABD"/>
    <w:rsid w:val="00110BB1"/>
    <w:rsid w:val="00110F03"/>
    <w:rsid w:val="00111103"/>
    <w:rsid w:val="0011117F"/>
    <w:rsid w:val="001113F7"/>
    <w:rsid w:val="001115F6"/>
    <w:rsid w:val="00111670"/>
    <w:rsid w:val="00111691"/>
    <w:rsid w:val="001117F8"/>
    <w:rsid w:val="00111832"/>
    <w:rsid w:val="00111892"/>
    <w:rsid w:val="00111929"/>
    <w:rsid w:val="00111999"/>
    <w:rsid w:val="00111A56"/>
    <w:rsid w:val="00111A5C"/>
    <w:rsid w:val="00111A75"/>
    <w:rsid w:val="00111AB7"/>
    <w:rsid w:val="00111BA8"/>
    <w:rsid w:val="00111D04"/>
    <w:rsid w:val="00111DBF"/>
    <w:rsid w:val="00111E03"/>
    <w:rsid w:val="00111FE6"/>
    <w:rsid w:val="00112168"/>
    <w:rsid w:val="0011246E"/>
    <w:rsid w:val="00112560"/>
    <w:rsid w:val="001125A2"/>
    <w:rsid w:val="00112651"/>
    <w:rsid w:val="001126FB"/>
    <w:rsid w:val="0011270E"/>
    <w:rsid w:val="001128A1"/>
    <w:rsid w:val="001129A1"/>
    <w:rsid w:val="00112ABB"/>
    <w:rsid w:val="00112AFD"/>
    <w:rsid w:val="00112B13"/>
    <w:rsid w:val="00112B74"/>
    <w:rsid w:val="00112BF2"/>
    <w:rsid w:val="00112CFB"/>
    <w:rsid w:val="00112DC8"/>
    <w:rsid w:val="00112FE7"/>
    <w:rsid w:val="0011305C"/>
    <w:rsid w:val="00113173"/>
    <w:rsid w:val="00113267"/>
    <w:rsid w:val="00113342"/>
    <w:rsid w:val="001133C7"/>
    <w:rsid w:val="001135AB"/>
    <w:rsid w:val="0011365F"/>
    <w:rsid w:val="001136C9"/>
    <w:rsid w:val="001136E3"/>
    <w:rsid w:val="001137ED"/>
    <w:rsid w:val="00113898"/>
    <w:rsid w:val="00113E63"/>
    <w:rsid w:val="00113F8F"/>
    <w:rsid w:val="0011408C"/>
    <w:rsid w:val="00114577"/>
    <w:rsid w:val="001146F2"/>
    <w:rsid w:val="00114737"/>
    <w:rsid w:val="0011477E"/>
    <w:rsid w:val="00114841"/>
    <w:rsid w:val="00114929"/>
    <w:rsid w:val="00114D7A"/>
    <w:rsid w:val="00114DEE"/>
    <w:rsid w:val="00114E25"/>
    <w:rsid w:val="00114E28"/>
    <w:rsid w:val="00114EBB"/>
    <w:rsid w:val="00114FD7"/>
    <w:rsid w:val="00115085"/>
    <w:rsid w:val="001152EB"/>
    <w:rsid w:val="00115355"/>
    <w:rsid w:val="0011539E"/>
    <w:rsid w:val="0011551E"/>
    <w:rsid w:val="0011574E"/>
    <w:rsid w:val="00115761"/>
    <w:rsid w:val="001158F7"/>
    <w:rsid w:val="001159C9"/>
    <w:rsid w:val="00115AA4"/>
    <w:rsid w:val="00116069"/>
    <w:rsid w:val="001160AD"/>
    <w:rsid w:val="00116170"/>
    <w:rsid w:val="00116349"/>
    <w:rsid w:val="00116422"/>
    <w:rsid w:val="0011644C"/>
    <w:rsid w:val="001164DF"/>
    <w:rsid w:val="00116523"/>
    <w:rsid w:val="0011664B"/>
    <w:rsid w:val="001167BF"/>
    <w:rsid w:val="0011680D"/>
    <w:rsid w:val="001169DE"/>
    <w:rsid w:val="00116B71"/>
    <w:rsid w:val="00116BBF"/>
    <w:rsid w:val="00116CF6"/>
    <w:rsid w:val="00116DA4"/>
    <w:rsid w:val="00116E51"/>
    <w:rsid w:val="00116EE0"/>
    <w:rsid w:val="00117210"/>
    <w:rsid w:val="0011756D"/>
    <w:rsid w:val="00117B32"/>
    <w:rsid w:val="00117EBB"/>
    <w:rsid w:val="00117F41"/>
    <w:rsid w:val="00117F5B"/>
    <w:rsid w:val="00117F65"/>
    <w:rsid w:val="0012002A"/>
    <w:rsid w:val="0012026D"/>
    <w:rsid w:val="001202DB"/>
    <w:rsid w:val="001206AC"/>
    <w:rsid w:val="00120784"/>
    <w:rsid w:val="001207CA"/>
    <w:rsid w:val="001208B5"/>
    <w:rsid w:val="0012096D"/>
    <w:rsid w:val="00120A39"/>
    <w:rsid w:val="00120BA8"/>
    <w:rsid w:val="00120BC8"/>
    <w:rsid w:val="00120C18"/>
    <w:rsid w:val="00120CF3"/>
    <w:rsid w:val="00120E6A"/>
    <w:rsid w:val="00121125"/>
    <w:rsid w:val="0012113E"/>
    <w:rsid w:val="0012121F"/>
    <w:rsid w:val="0012129F"/>
    <w:rsid w:val="00121394"/>
    <w:rsid w:val="001214B1"/>
    <w:rsid w:val="00121564"/>
    <w:rsid w:val="00121595"/>
    <w:rsid w:val="001215BC"/>
    <w:rsid w:val="001215F1"/>
    <w:rsid w:val="00121673"/>
    <w:rsid w:val="00121679"/>
    <w:rsid w:val="0012190E"/>
    <w:rsid w:val="00121C9D"/>
    <w:rsid w:val="00121D4D"/>
    <w:rsid w:val="00121D61"/>
    <w:rsid w:val="00121D62"/>
    <w:rsid w:val="00121D8C"/>
    <w:rsid w:val="00121DA1"/>
    <w:rsid w:val="00121DA5"/>
    <w:rsid w:val="00121DF9"/>
    <w:rsid w:val="00121FD8"/>
    <w:rsid w:val="00122167"/>
    <w:rsid w:val="00122323"/>
    <w:rsid w:val="0012241F"/>
    <w:rsid w:val="00122476"/>
    <w:rsid w:val="001224A8"/>
    <w:rsid w:val="001224B1"/>
    <w:rsid w:val="0012275A"/>
    <w:rsid w:val="00122760"/>
    <w:rsid w:val="00122AA4"/>
    <w:rsid w:val="00122CA7"/>
    <w:rsid w:val="00122E28"/>
    <w:rsid w:val="00122E3C"/>
    <w:rsid w:val="00122E81"/>
    <w:rsid w:val="00122F01"/>
    <w:rsid w:val="00123054"/>
    <w:rsid w:val="00123173"/>
    <w:rsid w:val="00123183"/>
    <w:rsid w:val="00123341"/>
    <w:rsid w:val="0012337E"/>
    <w:rsid w:val="001237EF"/>
    <w:rsid w:val="00123826"/>
    <w:rsid w:val="0012391C"/>
    <w:rsid w:val="001239C3"/>
    <w:rsid w:val="00123F47"/>
    <w:rsid w:val="0012418A"/>
    <w:rsid w:val="0012429C"/>
    <w:rsid w:val="001243D6"/>
    <w:rsid w:val="001244F8"/>
    <w:rsid w:val="00124526"/>
    <w:rsid w:val="00124554"/>
    <w:rsid w:val="001246B2"/>
    <w:rsid w:val="00124804"/>
    <w:rsid w:val="001249A8"/>
    <w:rsid w:val="00124A75"/>
    <w:rsid w:val="00124C8E"/>
    <w:rsid w:val="00124CCF"/>
    <w:rsid w:val="00124D5A"/>
    <w:rsid w:val="00124E4E"/>
    <w:rsid w:val="00124E7D"/>
    <w:rsid w:val="00124FA8"/>
    <w:rsid w:val="00125106"/>
    <w:rsid w:val="0012514D"/>
    <w:rsid w:val="0012530A"/>
    <w:rsid w:val="001255B7"/>
    <w:rsid w:val="00125618"/>
    <w:rsid w:val="001257A4"/>
    <w:rsid w:val="001258F1"/>
    <w:rsid w:val="0012591D"/>
    <w:rsid w:val="0012592E"/>
    <w:rsid w:val="001259F9"/>
    <w:rsid w:val="00125ABC"/>
    <w:rsid w:val="00125C0C"/>
    <w:rsid w:val="00125D53"/>
    <w:rsid w:val="00125F9B"/>
    <w:rsid w:val="00126198"/>
    <w:rsid w:val="001261EA"/>
    <w:rsid w:val="0012622C"/>
    <w:rsid w:val="00126290"/>
    <w:rsid w:val="00126335"/>
    <w:rsid w:val="001263C0"/>
    <w:rsid w:val="00126429"/>
    <w:rsid w:val="001266B4"/>
    <w:rsid w:val="001266F8"/>
    <w:rsid w:val="0012671B"/>
    <w:rsid w:val="001267D1"/>
    <w:rsid w:val="001267D8"/>
    <w:rsid w:val="001269FA"/>
    <w:rsid w:val="00126A52"/>
    <w:rsid w:val="00126AB0"/>
    <w:rsid w:val="00126B16"/>
    <w:rsid w:val="00126B87"/>
    <w:rsid w:val="00126BE2"/>
    <w:rsid w:val="00126D82"/>
    <w:rsid w:val="00126DE0"/>
    <w:rsid w:val="001271E5"/>
    <w:rsid w:val="00127589"/>
    <w:rsid w:val="00127671"/>
    <w:rsid w:val="00127716"/>
    <w:rsid w:val="001278C2"/>
    <w:rsid w:val="00127C6F"/>
    <w:rsid w:val="00127ECE"/>
    <w:rsid w:val="00130125"/>
    <w:rsid w:val="00130169"/>
    <w:rsid w:val="001304F0"/>
    <w:rsid w:val="001306B7"/>
    <w:rsid w:val="001306C0"/>
    <w:rsid w:val="001307A4"/>
    <w:rsid w:val="00130B13"/>
    <w:rsid w:val="00130CD3"/>
    <w:rsid w:val="00130F09"/>
    <w:rsid w:val="00130F64"/>
    <w:rsid w:val="001311D0"/>
    <w:rsid w:val="00131239"/>
    <w:rsid w:val="00131240"/>
    <w:rsid w:val="00131270"/>
    <w:rsid w:val="00131448"/>
    <w:rsid w:val="00131451"/>
    <w:rsid w:val="0013148F"/>
    <w:rsid w:val="00131722"/>
    <w:rsid w:val="00131903"/>
    <w:rsid w:val="00131986"/>
    <w:rsid w:val="00131999"/>
    <w:rsid w:val="00131B12"/>
    <w:rsid w:val="00131E01"/>
    <w:rsid w:val="00131E1E"/>
    <w:rsid w:val="00131E40"/>
    <w:rsid w:val="0013225B"/>
    <w:rsid w:val="0013229C"/>
    <w:rsid w:val="001322D8"/>
    <w:rsid w:val="001323BD"/>
    <w:rsid w:val="001323BE"/>
    <w:rsid w:val="001325F9"/>
    <w:rsid w:val="001326C9"/>
    <w:rsid w:val="001327D4"/>
    <w:rsid w:val="00132880"/>
    <w:rsid w:val="001329B4"/>
    <w:rsid w:val="00132F4B"/>
    <w:rsid w:val="00132F9D"/>
    <w:rsid w:val="00132FFE"/>
    <w:rsid w:val="00133023"/>
    <w:rsid w:val="001331AB"/>
    <w:rsid w:val="0013328C"/>
    <w:rsid w:val="001333D6"/>
    <w:rsid w:val="0013391B"/>
    <w:rsid w:val="00133A0C"/>
    <w:rsid w:val="00133A9C"/>
    <w:rsid w:val="00133BE5"/>
    <w:rsid w:val="00133D1A"/>
    <w:rsid w:val="00133E98"/>
    <w:rsid w:val="00133F0F"/>
    <w:rsid w:val="00133F3B"/>
    <w:rsid w:val="00134182"/>
    <w:rsid w:val="00134236"/>
    <w:rsid w:val="00134245"/>
    <w:rsid w:val="00134331"/>
    <w:rsid w:val="001344E1"/>
    <w:rsid w:val="0013466F"/>
    <w:rsid w:val="00134A26"/>
    <w:rsid w:val="00134A40"/>
    <w:rsid w:val="00134A4B"/>
    <w:rsid w:val="00134A76"/>
    <w:rsid w:val="00134BAA"/>
    <w:rsid w:val="00134C0A"/>
    <w:rsid w:val="00134CAC"/>
    <w:rsid w:val="00134DC6"/>
    <w:rsid w:val="00134DF2"/>
    <w:rsid w:val="00134E7B"/>
    <w:rsid w:val="00134F46"/>
    <w:rsid w:val="00134FB6"/>
    <w:rsid w:val="00134FFE"/>
    <w:rsid w:val="0013511F"/>
    <w:rsid w:val="001352B8"/>
    <w:rsid w:val="001352C2"/>
    <w:rsid w:val="001354ED"/>
    <w:rsid w:val="001355FB"/>
    <w:rsid w:val="0013566D"/>
    <w:rsid w:val="001357C4"/>
    <w:rsid w:val="0013590A"/>
    <w:rsid w:val="00135964"/>
    <w:rsid w:val="00135973"/>
    <w:rsid w:val="00135A35"/>
    <w:rsid w:val="00135A73"/>
    <w:rsid w:val="00135A8C"/>
    <w:rsid w:val="00135AB7"/>
    <w:rsid w:val="00135B55"/>
    <w:rsid w:val="00135C08"/>
    <w:rsid w:val="00135C84"/>
    <w:rsid w:val="00135E86"/>
    <w:rsid w:val="0013604C"/>
    <w:rsid w:val="001361C1"/>
    <w:rsid w:val="0013623E"/>
    <w:rsid w:val="00136265"/>
    <w:rsid w:val="0013635D"/>
    <w:rsid w:val="0013647B"/>
    <w:rsid w:val="001364FD"/>
    <w:rsid w:val="00136817"/>
    <w:rsid w:val="00136C39"/>
    <w:rsid w:val="00136D52"/>
    <w:rsid w:val="00136DC1"/>
    <w:rsid w:val="00136ECD"/>
    <w:rsid w:val="00136EE5"/>
    <w:rsid w:val="00136F6E"/>
    <w:rsid w:val="00136FA8"/>
    <w:rsid w:val="00137023"/>
    <w:rsid w:val="001371CC"/>
    <w:rsid w:val="00137250"/>
    <w:rsid w:val="00137264"/>
    <w:rsid w:val="001372BB"/>
    <w:rsid w:val="001374AA"/>
    <w:rsid w:val="0013757C"/>
    <w:rsid w:val="001377B9"/>
    <w:rsid w:val="00137897"/>
    <w:rsid w:val="00137A53"/>
    <w:rsid w:val="00137AD8"/>
    <w:rsid w:val="00137B44"/>
    <w:rsid w:val="00137D63"/>
    <w:rsid w:val="00137DF1"/>
    <w:rsid w:val="00137DF4"/>
    <w:rsid w:val="00137E82"/>
    <w:rsid w:val="00140113"/>
    <w:rsid w:val="001401FF"/>
    <w:rsid w:val="001402C1"/>
    <w:rsid w:val="0014057A"/>
    <w:rsid w:val="001405EB"/>
    <w:rsid w:val="001408BC"/>
    <w:rsid w:val="00140B57"/>
    <w:rsid w:val="00140C54"/>
    <w:rsid w:val="00140D3F"/>
    <w:rsid w:val="00140F46"/>
    <w:rsid w:val="001410CA"/>
    <w:rsid w:val="0014113E"/>
    <w:rsid w:val="001412EA"/>
    <w:rsid w:val="0014145A"/>
    <w:rsid w:val="00141472"/>
    <w:rsid w:val="00141522"/>
    <w:rsid w:val="00141E02"/>
    <w:rsid w:val="00141E3A"/>
    <w:rsid w:val="00141F3B"/>
    <w:rsid w:val="00141F41"/>
    <w:rsid w:val="0014206B"/>
    <w:rsid w:val="001420CF"/>
    <w:rsid w:val="001421F7"/>
    <w:rsid w:val="0014242D"/>
    <w:rsid w:val="001424B0"/>
    <w:rsid w:val="00142540"/>
    <w:rsid w:val="00142584"/>
    <w:rsid w:val="0014263E"/>
    <w:rsid w:val="001427A2"/>
    <w:rsid w:val="001427FA"/>
    <w:rsid w:val="00142A5A"/>
    <w:rsid w:val="00142B06"/>
    <w:rsid w:val="00142C05"/>
    <w:rsid w:val="00143416"/>
    <w:rsid w:val="00143535"/>
    <w:rsid w:val="001435F5"/>
    <w:rsid w:val="0014360F"/>
    <w:rsid w:val="0014364C"/>
    <w:rsid w:val="001436C5"/>
    <w:rsid w:val="001438FE"/>
    <w:rsid w:val="00143915"/>
    <w:rsid w:val="00143BA9"/>
    <w:rsid w:val="00143D24"/>
    <w:rsid w:val="00143E53"/>
    <w:rsid w:val="00143EBD"/>
    <w:rsid w:val="00143F1E"/>
    <w:rsid w:val="00144157"/>
    <w:rsid w:val="001441D7"/>
    <w:rsid w:val="00144213"/>
    <w:rsid w:val="0014427E"/>
    <w:rsid w:val="0014449B"/>
    <w:rsid w:val="00144562"/>
    <w:rsid w:val="001445B5"/>
    <w:rsid w:val="001445CD"/>
    <w:rsid w:val="001445DA"/>
    <w:rsid w:val="00144843"/>
    <w:rsid w:val="001448B2"/>
    <w:rsid w:val="00144950"/>
    <w:rsid w:val="00145188"/>
    <w:rsid w:val="00145247"/>
    <w:rsid w:val="00145639"/>
    <w:rsid w:val="001457F0"/>
    <w:rsid w:val="00145AB7"/>
    <w:rsid w:val="00145B5C"/>
    <w:rsid w:val="00145CFB"/>
    <w:rsid w:val="00145D55"/>
    <w:rsid w:val="00145DE9"/>
    <w:rsid w:val="00145E3A"/>
    <w:rsid w:val="00145E43"/>
    <w:rsid w:val="00145F36"/>
    <w:rsid w:val="00146124"/>
    <w:rsid w:val="00146657"/>
    <w:rsid w:val="001466FC"/>
    <w:rsid w:val="00146716"/>
    <w:rsid w:val="0014672D"/>
    <w:rsid w:val="0014683E"/>
    <w:rsid w:val="001469DA"/>
    <w:rsid w:val="00146AA0"/>
    <w:rsid w:val="00146B04"/>
    <w:rsid w:val="00146C39"/>
    <w:rsid w:val="00146C4D"/>
    <w:rsid w:val="00146E4B"/>
    <w:rsid w:val="00146E52"/>
    <w:rsid w:val="00146EC4"/>
    <w:rsid w:val="00146F9A"/>
    <w:rsid w:val="00147177"/>
    <w:rsid w:val="0014726F"/>
    <w:rsid w:val="00147523"/>
    <w:rsid w:val="00147553"/>
    <w:rsid w:val="001478AB"/>
    <w:rsid w:val="00147A1F"/>
    <w:rsid w:val="00147A31"/>
    <w:rsid w:val="00147A33"/>
    <w:rsid w:val="00147D56"/>
    <w:rsid w:val="001502F5"/>
    <w:rsid w:val="001504E8"/>
    <w:rsid w:val="0015052F"/>
    <w:rsid w:val="00150618"/>
    <w:rsid w:val="00150684"/>
    <w:rsid w:val="00150690"/>
    <w:rsid w:val="001506C2"/>
    <w:rsid w:val="00150791"/>
    <w:rsid w:val="00150896"/>
    <w:rsid w:val="00150BFE"/>
    <w:rsid w:val="00150C0D"/>
    <w:rsid w:val="00150C40"/>
    <w:rsid w:val="00150C85"/>
    <w:rsid w:val="00150D03"/>
    <w:rsid w:val="00150E6A"/>
    <w:rsid w:val="00150EB8"/>
    <w:rsid w:val="001514EB"/>
    <w:rsid w:val="0015152D"/>
    <w:rsid w:val="0015156B"/>
    <w:rsid w:val="00151675"/>
    <w:rsid w:val="001517C5"/>
    <w:rsid w:val="00151D46"/>
    <w:rsid w:val="00151E10"/>
    <w:rsid w:val="00151E76"/>
    <w:rsid w:val="00151F3E"/>
    <w:rsid w:val="00151FAD"/>
    <w:rsid w:val="0015297F"/>
    <w:rsid w:val="001529BB"/>
    <w:rsid w:val="00152A46"/>
    <w:rsid w:val="00152A97"/>
    <w:rsid w:val="00152AED"/>
    <w:rsid w:val="00152D3C"/>
    <w:rsid w:val="00152D69"/>
    <w:rsid w:val="00152E9D"/>
    <w:rsid w:val="00152F5B"/>
    <w:rsid w:val="00152F65"/>
    <w:rsid w:val="00153021"/>
    <w:rsid w:val="00153105"/>
    <w:rsid w:val="001531C4"/>
    <w:rsid w:val="00153592"/>
    <w:rsid w:val="00153727"/>
    <w:rsid w:val="0015397F"/>
    <w:rsid w:val="001539FB"/>
    <w:rsid w:val="00153A17"/>
    <w:rsid w:val="00153C3B"/>
    <w:rsid w:val="00153C4B"/>
    <w:rsid w:val="00153CDC"/>
    <w:rsid w:val="00153D15"/>
    <w:rsid w:val="00153DE9"/>
    <w:rsid w:val="00153E0B"/>
    <w:rsid w:val="00154207"/>
    <w:rsid w:val="00154317"/>
    <w:rsid w:val="001543B7"/>
    <w:rsid w:val="00154984"/>
    <w:rsid w:val="00154A04"/>
    <w:rsid w:val="00154AE5"/>
    <w:rsid w:val="00154BCD"/>
    <w:rsid w:val="00154C5E"/>
    <w:rsid w:val="00154C79"/>
    <w:rsid w:val="00155269"/>
    <w:rsid w:val="00155312"/>
    <w:rsid w:val="001553DF"/>
    <w:rsid w:val="001554C3"/>
    <w:rsid w:val="0015568E"/>
    <w:rsid w:val="001556F1"/>
    <w:rsid w:val="00155700"/>
    <w:rsid w:val="001557C3"/>
    <w:rsid w:val="001557FB"/>
    <w:rsid w:val="00155845"/>
    <w:rsid w:val="001559FE"/>
    <w:rsid w:val="00155AFE"/>
    <w:rsid w:val="00155CD5"/>
    <w:rsid w:val="00155DBE"/>
    <w:rsid w:val="00155DCC"/>
    <w:rsid w:val="00155E02"/>
    <w:rsid w:val="00155E49"/>
    <w:rsid w:val="00155F3C"/>
    <w:rsid w:val="00156187"/>
    <w:rsid w:val="0015633C"/>
    <w:rsid w:val="001563CE"/>
    <w:rsid w:val="001563E9"/>
    <w:rsid w:val="00156485"/>
    <w:rsid w:val="00156768"/>
    <w:rsid w:val="001567A3"/>
    <w:rsid w:val="00156848"/>
    <w:rsid w:val="001569E7"/>
    <w:rsid w:val="00156A39"/>
    <w:rsid w:val="00156B4D"/>
    <w:rsid w:val="00156CFF"/>
    <w:rsid w:val="00156D29"/>
    <w:rsid w:val="00156D5A"/>
    <w:rsid w:val="00156DDE"/>
    <w:rsid w:val="00156E0C"/>
    <w:rsid w:val="00157077"/>
    <w:rsid w:val="00157117"/>
    <w:rsid w:val="0015714B"/>
    <w:rsid w:val="001571B8"/>
    <w:rsid w:val="00157476"/>
    <w:rsid w:val="00157487"/>
    <w:rsid w:val="001576A1"/>
    <w:rsid w:val="001576A6"/>
    <w:rsid w:val="00157746"/>
    <w:rsid w:val="00157902"/>
    <w:rsid w:val="001579D3"/>
    <w:rsid w:val="00157A8D"/>
    <w:rsid w:val="00157D48"/>
    <w:rsid w:val="00157D6A"/>
    <w:rsid w:val="00157F58"/>
    <w:rsid w:val="00157FE4"/>
    <w:rsid w:val="001600A4"/>
    <w:rsid w:val="001601D8"/>
    <w:rsid w:val="001601E3"/>
    <w:rsid w:val="001602FE"/>
    <w:rsid w:val="00160327"/>
    <w:rsid w:val="00160374"/>
    <w:rsid w:val="001603DA"/>
    <w:rsid w:val="00160402"/>
    <w:rsid w:val="001607D1"/>
    <w:rsid w:val="0016099F"/>
    <w:rsid w:val="00160B3F"/>
    <w:rsid w:val="00160BCB"/>
    <w:rsid w:val="00160F87"/>
    <w:rsid w:val="001610FF"/>
    <w:rsid w:val="001611BC"/>
    <w:rsid w:val="00161325"/>
    <w:rsid w:val="001613D9"/>
    <w:rsid w:val="00161666"/>
    <w:rsid w:val="00161806"/>
    <w:rsid w:val="00161889"/>
    <w:rsid w:val="0016195D"/>
    <w:rsid w:val="00161982"/>
    <w:rsid w:val="00161B0B"/>
    <w:rsid w:val="00161B83"/>
    <w:rsid w:val="00161C6D"/>
    <w:rsid w:val="00161D9D"/>
    <w:rsid w:val="00161FA1"/>
    <w:rsid w:val="001621D3"/>
    <w:rsid w:val="001621D9"/>
    <w:rsid w:val="001622B8"/>
    <w:rsid w:val="001623AE"/>
    <w:rsid w:val="00162431"/>
    <w:rsid w:val="001624D6"/>
    <w:rsid w:val="001624DD"/>
    <w:rsid w:val="00162517"/>
    <w:rsid w:val="0016281A"/>
    <w:rsid w:val="001628F6"/>
    <w:rsid w:val="00162B24"/>
    <w:rsid w:val="00162BE2"/>
    <w:rsid w:val="00162C62"/>
    <w:rsid w:val="00162E93"/>
    <w:rsid w:val="00162ECD"/>
    <w:rsid w:val="00162F41"/>
    <w:rsid w:val="00162FDC"/>
    <w:rsid w:val="00163024"/>
    <w:rsid w:val="001632DD"/>
    <w:rsid w:val="00163305"/>
    <w:rsid w:val="001633F4"/>
    <w:rsid w:val="001634B1"/>
    <w:rsid w:val="001634E4"/>
    <w:rsid w:val="001636F0"/>
    <w:rsid w:val="00163B28"/>
    <w:rsid w:val="00163F06"/>
    <w:rsid w:val="00164021"/>
    <w:rsid w:val="0016411C"/>
    <w:rsid w:val="0016426B"/>
    <w:rsid w:val="00164295"/>
    <w:rsid w:val="0016435A"/>
    <w:rsid w:val="00164389"/>
    <w:rsid w:val="0016444F"/>
    <w:rsid w:val="0016448E"/>
    <w:rsid w:val="00164506"/>
    <w:rsid w:val="001645DA"/>
    <w:rsid w:val="0016464F"/>
    <w:rsid w:val="00164844"/>
    <w:rsid w:val="00164B5F"/>
    <w:rsid w:val="00164C1B"/>
    <w:rsid w:val="00164D50"/>
    <w:rsid w:val="0016529D"/>
    <w:rsid w:val="001653AB"/>
    <w:rsid w:val="00165577"/>
    <w:rsid w:val="001655BB"/>
    <w:rsid w:val="00165702"/>
    <w:rsid w:val="001657A4"/>
    <w:rsid w:val="001658A1"/>
    <w:rsid w:val="001658D7"/>
    <w:rsid w:val="00165988"/>
    <w:rsid w:val="001659B2"/>
    <w:rsid w:val="00165AB0"/>
    <w:rsid w:val="00165BA5"/>
    <w:rsid w:val="00165BA8"/>
    <w:rsid w:val="00165C16"/>
    <w:rsid w:val="00165E0F"/>
    <w:rsid w:val="00165E89"/>
    <w:rsid w:val="00165F4F"/>
    <w:rsid w:val="00165F94"/>
    <w:rsid w:val="0016602D"/>
    <w:rsid w:val="00166212"/>
    <w:rsid w:val="00166290"/>
    <w:rsid w:val="00166413"/>
    <w:rsid w:val="00166488"/>
    <w:rsid w:val="001664AE"/>
    <w:rsid w:val="001669FB"/>
    <w:rsid w:val="00166B44"/>
    <w:rsid w:val="00166B6E"/>
    <w:rsid w:val="00166BE1"/>
    <w:rsid w:val="00166C16"/>
    <w:rsid w:val="00166DAC"/>
    <w:rsid w:val="00166DD2"/>
    <w:rsid w:val="00166ECD"/>
    <w:rsid w:val="001670F1"/>
    <w:rsid w:val="00167194"/>
    <w:rsid w:val="00167264"/>
    <w:rsid w:val="0016739F"/>
    <w:rsid w:val="00167470"/>
    <w:rsid w:val="00167504"/>
    <w:rsid w:val="001675DF"/>
    <w:rsid w:val="00167624"/>
    <w:rsid w:val="001676E6"/>
    <w:rsid w:val="00167714"/>
    <w:rsid w:val="00167B33"/>
    <w:rsid w:val="00167CB2"/>
    <w:rsid w:val="00167CFD"/>
    <w:rsid w:val="00167D0B"/>
    <w:rsid w:val="00167D38"/>
    <w:rsid w:val="00167DC8"/>
    <w:rsid w:val="00167ED2"/>
    <w:rsid w:val="00170040"/>
    <w:rsid w:val="00170053"/>
    <w:rsid w:val="0017012F"/>
    <w:rsid w:val="001701C9"/>
    <w:rsid w:val="0017037A"/>
    <w:rsid w:val="001703D0"/>
    <w:rsid w:val="0017042E"/>
    <w:rsid w:val="00170750"/>
    <w:rsid w:val="0017077A"/>
    <w:rsid w:val="00170B35"/>
    <w:rsid w:val="00170E18"/>
    <w:rsid w:val="00170E71"/>
    <w:rsid w:val="00170FC1"/>
    <w:rsid w:val="00170FEC"/>
    <w:rsid w:val="00171118"/>
    <w:rsid w:val="001712FE"/>
    <w:rsid w:val="00171305"/>
    <w:rsid w:val="001713C0"/>
    <w:rsid w:val="00171425"/>
    <w:rsid w:val="001715FA"/>
    <w:rsid w:val="0017161C"/>
    <w:rsid w:val="001716EA"/>
    <w:rsid w:val="00171721"/>
    <w:rsid w:val="0017188C"/>
    <w:rsid w:val="00171993"/>
    <w:rsid w:val="00171A74"/>
    <w:rsid w:val="00171C91"/>
    <w:rsid w:val="00171C99"/>
    <w:rsid w:val="00171CE8"/>
    <w:rsid w:val="00171DE4"/>
    <w:rsid w:val="00171E0A"/>
    <w:rsid w:val="0017201B"/>
    <w:rsid w:val="00172029"/>
    <w:rsid w:val="0017209F"/>
    <w:rsid w:val="00172151"/>
    <w:rsid w:val="00172438"/>
    <w:rsid w:val="00172658"/>
    <w:rsid w:val="001726BE"/>
    <w:rsid w:val="00172793"/>
    <w:rsid w:val="0017286C"/>
    <w:rsid w:val="00172995"/>
    <w:rsid w:val="001729A1"/>
    <w:rsid w:val="00172A32"/>
    <w:rsid w:val="00172A3E"/>
    <w:rsid w:val="00172BDA"/>
    <w:rsid w:val="00172BE4"/>
    <w:rsid w:val="00172C1A"/>
    <w:rsid w:val="00172C54"/>
    <w:rsid w:val="00172EF9"/>
    <w:rsid w:val="001730C2"/>
    <w:rsid w:val="0017320F"/>
    <w:rsid w:val="00173346"/>
    <w:rsid w:val="00173828"/>
    <w:rsid w:val="00173B09"/>
    <w:rsid w:val="00173D0C"/>
    <w:rsid w:val="00173E8D"/>
    <w:rsid w:val="00174045"/>
    <w:rsid w:val="0017422F"/>
    <w:rsid w:val="00174288"/>
    <w:rsid w:val="001742D8"/>
    <w:rsid w:val="00174370"/>
    <w:rsid w:val="001743D0"/>
    <w:rsid w:val="00174453"/>
    <w:rsid w:val="001744C1"/>
    <w:rsid w:val="001745CF"/>
    <w:rsid w:val="0017469F"/>
    <w:rsid w:val="00174743"/>
    <w:rsid w:val="0017475F"/>
    <w:rsid w:val="0017479E"/>
    <w:rsid w:val="001747B8"/>
    <w:rsid w:val="001747C0"/>
    <w:rsid w:val="00174D50"/>
    <w:rsid w:val="00174E34"/>
    <w:rsid w:val="00174E51"/>
    <w:rsid w:val="00174F80"/>
    <w:rsid w:val="001751FE"/>
    <w:rsid w:val="00175694"/>
    <w:rsid w:val="001757AA"/>
    <w:rsid w:val="001757E5"/>
    <w:rsid w:val="0017583A"/>
    <w:rsid w:val="001758E8"/>
    <w:rsid w:val="00175938"/>
    <w:rsid w:val="00175949"/>
    <w:rsid w:val="0017597E"/>
    <w:rsid w:val="00175AF5"/>
    <w:rsid w:val="00175B35"/>
    <w:rsid w:val="00175D57"/>
    <w:rsid w:val="00175D95"/>
    <w:rsid w:val="00175E09"/>
    <w:rsid w:val="00175F7C"/>
    <w:rsid w:val="00176034"/>
    <w:rsid w:val="001760C3"/>
    <w:rsid w:val="001760F6"/>
    <w:rsid w:val="00176284"/>
    <w:rsid w:val="00176287"/>
    <w:rsid w:val="00176765"/>
    <w:rsid w:val="001768CA"/>
    <w:rsid w:val="00176952"/>
    <w:rsid w:val="001769B6"/>
    <w:rsid w:val="00176AF2"/>
    <w:rsid w:val="00176C37"/>
    <w:rsid w:val="00176D79"/>
    <w:rsid w:val="00176E7C"/>
    <w:rsid w:val="0017706D"/>
    <w:rsid w:val="00177071"/>
    <w:rsid w:val="00177087"/>
    <w:rsid w:val="00177139"/>
    <w:rsid w:val="00177189"/>
    <w:rsid w:val="001772D4"/>
    <w:rsid w:val="001774BE"/>
    <w:rsid w:val="00177566"/>
    <w:rsid w:val="00177652"/>
    <w:rsid w:val="001777E2"/>
    <w:rsid w:val="0017789C"/>
    <w:rsid w:val="00177980"/>
    <w:rsid w:val="00177A61"/>
    <w:rsid w:val="001800E4"/>
    <w:rsid w:val="001803EF"/>
    <w:rsid w:val="00180457"/>
    <w:rsid w:val="001804F7"/>
    <w:rsid w:val="0018052D"/>
    <w:rsid w:val="0018056C"/>
    <w:rsid w:val="00180573"/>
    <w:rsid w:val="0018072E"/>
    <w:rsid w:val="00180774"/>
    <w:rsid w:val="001807D0"/>
    <w:rsid w:val="0018090D"/>
    <w:rsid w:val="00180A70"/>
    <w:rsid w:val="00180B0D"/>
    <w:rsid w:val="00180C97"/>
    <w:rsid w:val="00180CA7"/>
    <w:rsid w:val="00180FEE"/>
    <w:rsid w:val="00181069"/>
    <w:rsid w:val="00181111"/>
    <w:rsid w:val="00181274"/>
    <w:rsid w:val="0018141E"/>
    <w:rsid w:val="001814E4"/>
    <w:rsid w:val="00181736"/>
    <w:rsid w:val="001818E5"/>
    <w:rsid w:val="00181A49"/>
    <w:rsid w:val="00181A6E"/>
    <w:rsid w:val="00181BD5"/>
    <w:rsid w:val="00181BEB"/>
    <w:rsid w:val="00181BF1"/>
    <w:rsid w:val="00181CB5"/>
    <w:rsid w:val="00181CE3"/>
    <w:rsid w:val="00181D03"/>
    <w:rsid w:val="00181D11"/>
    <w:rsid w:val="00181E98"/>
    <w:rsid w:val="00181E9D"/>
    <w:rsid w:val="0018207C"/>
    <w:rsid w:val="00182130"/>
    <w:rsid w:val="001821DB"/>
    <w:rsid w:val="00182400"/>
    <w:rsid w:val="0018250F"/>
    <w:rsid w:val="00182579"/>
    <w:rsid w:val="00182688"/>
    <w:rsid w:val="0018269D"/>
    <w:rsid w:val="001829E9"/>
    <w:rsid w:val="00182CEE"/>
    <w:rsid w:val="00182D7B"/>
    <w:rsid w:val="00182DB2"/>
    <w:rsid w:val="00182EDF"/>
    <w:rsid w:val="001831E2"/>
    <w:rsid w:val="00183392"/>
    <w:rsid w:val="00183898"/>
    <w:rsid w:val="00183965"/>
    <w:rsid w:val="0018396E"/>
    <w:rsid w:val="001839BB"/>
    <w:rsid w:val="00183A0B"/>
    <w:rsid w:val="00183CF7"/>
    <w:rsid w:val="00183D22"/>
    <w:rsid w:val="00183D5D"/>
    <w:rsid w:val="00183E88"/>
    <w:rsid w:val="00183E89"/>
    <w:rsid w:val="00183F9A"/>
    <w:rsid w:val="00184081"/>
    <w:rsid w:val="00184186"/>
    <w:rsid w:val="001841BF"/>
    <w:rsid w:val="00184534"/>
    <w:rsid w:val="0018456F"/>
    <w:rsid w:val="001845BB"/>
    <w:rsid w:val="0018464E"/>
    <w:rsid w:val="00184681"/>
    <w:rsid w:val="00184705"/>
    <w:rsid w:val="001847F9"/>
    <w:rsid w:val="00184A16"/>
    <w:rsid w:val="00184B04"/>
    <w:rsid w:val="00184B7A"/>
    <w:rsid w:val="00184B9D"/>
    <w:rsid w:val="00184C50"/>
    <w:rsid w:val="00184CC4"/>
    <w:rsid w:val="00184CED"/>
    <w:rsid w:val="00184E22"/>
    <w:rsid w:val="00185016"/>
    <w:rsid w:val="00185109"/>
    <w:rsid w:val="001852E0"/>
    <w:rsid w:val="00185587"/>
    <w:rsid w:val="00185607"/>
    <w:rsid w:val="001857A9"/>
    <w:rsid w:val="00185842"/>
    <w:rsid w:val="001858E8"/>
    <w:rsid w:val="00185DD1"/>
    <w:rsid w:val="00185E15"/>
    <w:rsid w:val="00185EFA"/>
    <w:rsid w:val="00185F18"/>
    <w:rsid w:val="00186211"/>
    <w:rsid w:val="001862F4"/>
    <w:rsid w:val="001863D0"/>
    <w:rsid w:val="0018649B"/>
    <w:rsid w:val="001864A6"/>
    <w:rsid w:val="001864C6"/>
    <w:rsid w:val="0018652E"/>
    <w:rsid w:val="0018653F"/>
    <w:rsid w:val="00186584"/>
    <w:rsid w:val="00186637"/>
    <w:rsid w:val="00186777"/>
    <w:rsid w:val="001867C8"/>
    <w:rsid w:val="001868F2"/>
    <w:rsid w:val="00186979"/>
    <w:rsid w:val="00186AE8"/>
    <w:rsid w:val="00186C46"/>
    <w:rsid w:val="00186C65"/>
    <w:rsid w:val="00186D95"/>
    <w:rsid w:val="00187091"/>
    <w:rsid w:val="001870E9"/>
    <w:rsid w:val="0018716B"/>
    <w:rsid w:val="001871D8"/>
    <w:rsid w:val="00187378"/>
    <w:rsid w:val="0018744B"/>
    <w:rsid w:val="0018747C"/>
    <w:rsid w:val="0018751A"/>
    <w:rsid w:val="0018751B"/>
    <w:rsid w:val="00187996"/>
    <w:rsid w:val="00187BE0"/>
    <w:rsid w:val="00187ECA"/>
    <w:rsid w:val="00187F39"/>
    <w:rsid w:val="0019021B"/>
    <w:rsid w:val="0019025C"/>
    <w:rsid w:val="001903E1"/>
    <w:rsid w:val="00190750"/>
    <w:rsid w:val="001907F3"/>
    <w:rsid w:val="00190903"/>
    <w:rsid w:val="0019098E"/>
    <w:rsid w:val="00190B0D"/>
    <w:rsid w:val="00190C46"/>
    <w:rsid w:val="00190E97"/>
    <w:rsid w:val="00190F82"/>
    <w:rsid w:val="0019105D"/>
    <w:rsid w:val="00191267"/>
    <w:rsid w:val="0019130D"/>
    <w:rsid w:val="0019139D"/>
    <w:rsid w:val="001914DD"/>
    <w:rsid w:val="00191647"/>
    <w:rsid w:val="00191649"/>
    <w:rsid w:val="00191674"/>
    <w:rsid w:val="001916F5"/>
    <w:rsid w:val="00191719"/>
    <w:rsid w:val="00191743"/>
    <w:rsid w:val="0019179A"/>
    <w:rsid w:val="00191905"/>
    <w:rsid w:val="001919AB"/>
    <w:rsid w:val="00191A80"/>
    <w:rsid w:val="00191AE3"/>
    <w:rsid w:val="00191B44"/>
    <w:rsid w:val="00191E4C"/>
    <w:rsid w:val="00191EAB"/>
    <w:rsid w:val="00191EF1"/>
    <w:rsid w:val="00191EF6"/>
    <w:rsid w:val="0019202F"/>
    <w:rsid w:val="001921D1"/>
    <w:rsid w:val="0019220B"/>
    <w:rsid w:val="0019222D"/>
    <w:rsid w:val="001924A3"/>
    <w:rsid w:val="001925D6"/>
    <w:rsid w:val="00192639"/>
    <w:rsid w:val="001929FF"/>
    <w:rsid w:val="00192BD3"/>
    <w:rsid w:val="00192C9C"/>
    <w:rsid w:val="00192CDF"/>
    <w:rsid w:val="00192CEB"/>
    <w:rsid w:val="00192D52"/>
    <w:rsid w:val="00192EA2"/>
    <w:rsid w:val="00192F3A"/>
    <w:rsid w:val="00193042"/>
    <w:rsid w:val="00193084"/>
    <w:rsid w:val="00193112"/>
    <w:rsid w:val="00193405"/>
    <w:rsid w:val="00193600"/>
    <w:rsid w:val="0019379A"/>
    <w:rsid w:val="001938C5"/>
    <w:rsid w:val="001938E3"/>
    <w:rsid w:val="00193941"/>
    <w:rsid w:val="00193BC5"/>
    <w:rsid w:val="00193C2B"/>
    <w:rsid w:val="00193CE7"/>
    <w:rsid w:val="00193F06"/>
    <w:rsid w:val="001940E1"/>
    <w:rsid w:val="001940F6"/>
    <w:rsid w:val="001940F7"/>
    <w:rsid w:val="0019417C"/>
    <w:rsid w:val="00194435"/>
    <w:rsid w:val="00194448"/>
    <w:rsid w:val="001944CA"/>
    <w:rsid w:val="00194500"/>
    <w:rsid w:val="00194605"/>
    <w:rsid w:val="00194651"/>
    <w:rsid w:val="00194680"/>
    <w:rsid w:val="00194716"/>
    <w:rsid w:val="00194B04"/>
    <w:rsid w:val="00194B70"/>
    <w:rsid w:val="00194C6C"/>
    <w:rsid w:val="00194DC4"/>
    <w:rsid w:val="00194EED"/>
    <w:rsid w:val="00194F5C"/>
    <w:rsid w:val="00195017"/>
    <w:rsid w:val="001951CC"/>
    <w:rsid w:val="001954C0"/>
    <w:rsid w:val="0019559E"/>
    <w:rsid w:val="00195690"/>
    <w:rsid w:val="001957CC"/>
    <w:rsid w:val="00195862"/>
    <w:rsid w:val="00195988"/>
    <w:rsid w:val="00195BE1"/>
    <w:rsid w:val="00195C78"/>
    <w:rsid w:val="00195DA8"/>
    <w:rsid w:val="00195DBA"/>
    <w:rsid w:val="00195DDE"/>
    <w:rsid w:val="00195F3B"/>
    <w:rsid w:val="0019612A"/>
    <w:rsid w:val="0019612F"/>
    <w:rsid w:val="0019614E"/>
    <w:rsid w:val="00196276"/>
    <w:rsid w:val="001962DD"/>
    <w:rsid w:val="00196388"/>
    <w:rsid w:val="00196549"/>
    <w:rsid w:val="001966B0"/>
    <w:rsid w:val="00196786"/>
    <w:rsid w:val="001968B3"/>
    <w:rsid w:val="0019696D"/>
    <w:rsid w:val="00196972"/>
    <w:rsid w:val="0019697C"/>
    <w:rsid w:val="001969E3"/>
    <w:rsid w:val="00196A01"/>
    <w:rsid w:val="00196A22"/>
    <w:rsid w:val="00196C17"/>
    <w:rsid w:val="00196C80"/>
    <w:rsid w:val="00196D16"/>
    <w:rsid w:val="00196E71"/>
    <w:rsid w:val="00196EDB"/>
    <w:rsid w:val="00196F4E"/>
    <w:rsid w:val="00196F70"/>
    <w:rsid w:val="0019706F"/>
    <w:rsid w:val="001970A5"/>
    <w:rsid w:val="0019743F"/>
    <w:rsid w:val="00197624"/>
    <w:rsid w:val="00197718"/>
    <w:rsid w:val="001979BA"/>
    <w:rsid w:val="00197A26"/>
    <w:rsid w:val="00197B74"/>
    <w:rsid w:val="00197C8B"/>
    <w:rsid w:val="00197DC5"/>
    <w:rsid w:val="00197E28"/>
    <w:rsid w:val="00197EBE"/>
    <w:rsid w:val="00197F87"/>
    <w:rsid w:val="001A031A"/>
    <w:rsid w:val="001A05E1"/>
    <w:rsid w:val="001A0740"/>
    <w:rsid w:val="001A0958"/>
    <w:rsid w:val="001A0969"/>
    <w:rsid w:val="001A0A03"/>
    <w:rsid w:val="001A0BC1"/>
    <w:rsid w:val="001A0BD6"/>
    <w:rsid w:val="001A0D52"/>
    <w:rsid w:val="001A0DD2"/>
    <w:rsid w:val="001A0F19"/>
    <w:rsid w:val="001A0FEE"/>
    <w:rsid w:val="001A1031"/>
    <w:rsid w:val="001A1088"/>
    <w:rsid w:val="001A1153"/>
    <w:rsid w:val="001A1196"/>
    <w:rsid w:val="001A11A4"/>
    <w:rsid w:val="001A12A6"/>
    <w:rsid w:val="001A13BC"/>
    <w:rsid w:val="001A13CD"/>
    <w:rsid w:val="001A1589"/>
    <w:rsid w:val="001A1651"/>
    <w:rsid w:val="001A168C"/>
    <w:rsid w:val="001A16BA"/>
    <w:rsid w:val="001A16E9"/>
    <w:rsid w:val="001A172C"/>
    <w:rsid w:val="001A183E"/>
    <w:rsid w:val="001A19BD"/>
    <w:rsid w:val="001A1ADA"/>
    <w:rsid w:val="001A1B35"/>
    <w:rsid w:val="001A1B90"/>
    <w:rsid w:val="001A1D6F"/>
    <w:rsid w:val="001A1E13"/>
    <w:rsid w:val="001A1E8E"/>
    <w:rsid w:val="001A1EC5"/>
    <w:rsid w:val="001A1F59"/>
    <w:rsid w:val="001A2057"/>
    <w:rsid w:val="001A2194"/>
    <w:rsid w:val="001A2225"/>
    <w:rsid w:val="001A229D"/>
    <w:rsid w:val="001A22FB"/>
    <w:rsid w:val="001A24F1"/>
    <w:rsid w:val="001A24FA"/>
    <w:rsid w:val="001A2562"/>
    <w:rsid w:val="001A260D"/>
    <w:rsid w:val="001A260E"/>
    <w:rsid w:val="001A2679"/>
    <w:rsid w:val="001A293A"/>
    <w:rsid w:val="001A29D5"/>
    <w:rsid w:val="001A2A1D"/>
    <w:rsid w:val="001A2A64"/>
    <w:rsid w:val="001A2CD0"/>
    <w:rsid w:val="001A2D41"/>
    <w:rsid w:val="001A2FA2"/>
    <w:rsid w:val="001A3115"/>
    <w:rsid w:val="001A3132"/>
    <w:rsid w:val="001A3223"/>
    <w:rsid w:val="001A3505"/>
    <w:rsid w:val="001A353A"/>
    <w:rsid w:val="001A3768"/>
    <w:rsid w:val="001A39BE"/>
    <w:rsid w:val="001A39E7"/>
    <w:rsid w:val="001A3AD5"/>
    <w:rsid w:val="001A3C8F"/>
    <w:rsid w:val="001A3CF1"/>
    <w:rsid w:val="001A3CF5"/>
    <w:rsid w:val="001A3E05"/>
    <w:rsid w:val="001A3E60"/>
    <w:rsid w:val="001A3E62"/>
    <w:rsid w:val="001A3F31"/>
    <w:rsid w:val="001A4055"/>
    <w:rsid w:val="001A4157"/>
    <w:rsid w:val="001A420B"/>
    <w:rsid w:val="001A4310"/>
    <w:rsid w:val="001A4AAA"/>
    <w:rsid w:val="001A4CBB"/>
    <w:rsid w:val="001A4D2B"/>
    <w:rsid w:val="001A4FCB"/>
    <w:rsid w:val="001A5003"/>
    <w:rsid w:val="001A50F9"/>
    <w:rsid w:val="001A555B"/>
    <w:rsid w:val="001A5586"/>
    <w:rsid w:val="001A563C"/>
    <w:rsid w:val="001A5684"/>
    <w:rsid w:val="001A56E9"/>
    <w:rsid w:val="001A584D"/>
    <w:rsid w:val="001A5896"/>
    <w:rsid w:val="001A5AC9"/>
    <w:rsid w:val="001A5DD4"/>
    <w:rsid w:val="001A5F31"/>
    <w:rsid w:val="001A6037"/>
    <w:rsid w:val="001A614D"/>
    <w:rsid w:val="001A6215"/>
    <w:rsid w:val="001A6397"/>
    <w:rsid w:val="001A63BC"/>
    <w:rsid w:val="001A64FC"/>
    <w:rsid w:val="001A6657"/>
    <w:rsid w:val="001A666B"/>
    <w:rsid w:val="001A6689"/>
    <w:rsid w:val="001A67CF"/>
    <w:rsid w:val="001A681E"/>
    <w:rsid w:val="001A6B54"/>
    <w:rsid w:val="001A6BBD"/>
    <w:rsid w:val="001A6C9D"/>
    <w:rsid w:val="001A6CC4"/>
    <w:rsid w:val="001A6D0C"/>
    <w:rsid w:val="001A6DE5"/>
    <w:rsid w:val="001A6E12"/>
    <w:rsid w:val="001A703D"/>
    <w:rsid w:val="001A705E"/>
    <w:rsid w:val="001A72AA"/>
    <w:rsid w:val="001A7369"/>
    <w:rsid w:val="001A7512"/>
    <w:rsid w:val="001A7537"/>
    <w:rsid w:val="001A75FE"/>
    <w:rsid w:val="001A7655"/>
    <w:rsid w:val="001A76DE"/>
    <w:rsid w:val="001A789C"/>
    <w:rsid w:val="001A78B1"/>
    <w:rsid w:val="001A7920"/>
    <w:rsid w:val="001A7968"/>
    <w:rsid w:val="001A79CC"/>
    <w:rsid w:val="001A7AC4"/>
    <w:rsid w:val="001A7BA2"/>
    <w:rsid w:val="001A7C15"/>
    <w:rsid w:val="001A7C70"/>
    <w:rsid w:val="001A7CB1"/>
    <w:rsid w:val="001A7F37"/>
    <w:rsid w:val="001B007E"/>
    <w:rsid w:val="001B0325"/>
    <w:rsid w:val="001B054F"/>
    <w:rsid w:val="001B05AD"/>
    <w:rsid w:val="001B0662"/>
    <w:rsid w:val="001B0687"/>
    <w:rsid w:val="001B06E6"/>
    <w:rsid w:val="001B088B"/>
    <w:rsid w:val="001B0AAA"/>
    <w:rsid w:val="001B0AD4"/>
    <w:rsid w:val="001B0C50"/>
    <w:rsid w:val="001B0E89"/>
    <w:rsid w:val="001B0EB9"/>
    <w:rsid w:val="001B0EF5"/>
    <w:rsid w:val="001B0F1F"/>
    <w:rsid w:val="001B0F77"/>
    <w:rsid w:val="001B1167"/>
    <w:rsid w:val="001B1197"/>
    <w:rsid w:val="001B11F0"/>
    <w:rsid w:val="001B121D"/>
    <w:rsid w:val="001B1391"/>
    <w:rsid w:val="001B14F0"/>
    <w:rsid w:val="001B1518"/>
    <w:rsid w:val="001B17A9"/>
    <w:rsid w:val="001B17D9"/>
    <w:rsid w:val="001B1B7C"/>
    <w:rsid w:val="001B1BDA"/>
    <w:rsid w:val="001B1F0C"/>
    <w:rsid w:val="001B1F30"/>
    <w:rsid w:val="001B2023"/>
    <w:rsid w:val="001B21C0"/>
    <w:rsid w:val="001B2302"/>
    <w:rsid w:val="001B2376"/>
    <w:rsid w:val="001B2422"/>
    <w:rsid w:val="001B245B"/>
    <w:rsid w:val="001B2694"/>
    <w:rsid w:val="001B2953"/>
    <w:rsid w:val="001B2ABA"/>
    <w:rsid w:val="001B2ACD"/>
    <w:rsid w:val="001B2B51"/>
    <w:rsid w:val="001B2BF7"/>
    <w:rsid w:val="001B2C87"/>
    <w:rsid w:val="001B2CAF"/>
    <w:rsid w:val="001B2CBB"/>
    <w:rsid w:val="001B2E01"/>
    <w:rsid w:val="001B2F75"/>
    <w:rsid w:val="001B3071"/>
    <w:rsid w:val="001B31DA"/>
    <w:rsid w:val="001B3477"/>
    <w:rsid w:val="001B361E"/>
    <w:rsid w:val="001B3973"/>
    <w:rsid w:val="001B3ABB"/>
    <w:rsid w:val="001B3B72"/>
    <w:rsid w:val="001B3C9E"/>
    <w:rsid w:val="001B3E5F"/>
    <w:rsid w:val="001B3EFA"/>
    <w:rsid w:val="001B4307"/>
    <w:rsid w:val="001B445B"/>
    <w:rsid w:val="001B44E2"/>
    <w:rsid w:val="001B465C"/>
    <w:rsid w:val="001B469B"/>
    <w:rsid w:val="001B46A0"/>
    <w:rsid w:val="001B4730"/>
    <w:rsid w:val="001B4870"/>
    <w:rsid w:val="001B48A1"/>
    <w:rsid w:val="001B49F3"/>
    <w:rsid w:val="001B4DC9"/>
    <w:rsid w:val="001B4E20"/>
    <w:rsid w:val="001B4FB9"/>
    <w:rsid w:val="001B4FDF"/>
    <w:rsid w:val="001B5040"/>
    <w:rsid w:val="001B504A"/>
    <w:rsid w:val="001B50D0"/>
    <w:rsid w:val="001B50DD"/>
    <w:rsid w:val="001B5133"/>
    <w:rsid w:val="001B51CF"/>
    <w:rsid w:val="001B5430"/>
    <w:rsid w:val="001B5457"/>
    <w:rsid w:val="001B553C"/>
    <w:rsid w:val="001B55A8"/>
    <w:rsid w:val="001B56F1"/>
    <w:rsid w:val="001B58D9"/>
    <w:rsid w:val="001B59A9"/>
    <w:rsid w:val="001B59F3"/>
    <w:rsid w:val="001B5A07"/>
    <w:rsid w:val="001B5A54"/>
    <w:rsid w:val="001B5B22"/>
    <w:rsid w:val="001B5BA3"/>
    <w:rsid w:val="001B5C0C"/>
    <w:rsid w:val="001B5D1A"/>
    <w:rsid w:val="001B6028"/>
    <w:rsid w:val="001B621A"/>
    <w:rsid w:val="001B62C6"/>
    <w:rsid w:val="001B6391"/>
    <w:rsid w:val="001B64AB"/>
    <w:rsid w:val="001B6749"/>
    <w:rsid w:val="001B6974"/>
    <w:rsid w:val="001B6A7E"/>
    <w:rsid w:val="001B6C88"/>
    <w:rsid w:val="001B6DBF"/>
    <w:rsid w:val="001B6E82"/>
    <w:rsid w:val="001B6F4D"/>
    <w:rsid w:val="001B6FEB"/>
    <w:rsid w:val="001B70FA"/>
    <w:rsid w:val="001B7251"/>
    <w:rsid w:val="001B72A4"/>
    <w:rsid w:val="001B7396"/>
    <w:rsid w:val="001B7567"/>
    <w:rsid w:val="001B772D"/>
    <w:rsid w:val="001B7A7B"/>
    <w:rsid w:val="001B7AF6"/>
    <w:rsid w:val="001B7BC5"/>
    <w:rsid w:val="001B7DD1"/>
    <w:rsid w:val="001B7E08"/>
    <w:rsid w:val="001B7FFB"/>
    <w:rsid w:val="001C00C9"/>
    <w:rsid w:val="001C030E"/>
    <w:rsid w:val="001C039A"/>
    <w:rsid w:val="001C03B7"/>
    <w:rsid w:val="001C03E0"/>
    <w:rsid w:val="001C045E"/>
    <w:rsid w:val="001C05D0"/>
    <w:rsid w:val="001C061F"/>
    <w:rsid w:val="001C0704"/>
    <w:rsid w:val="001C0727"/>
    <w:rsid w:val="001C08FD"/>
    <w:rsid w:val="001C09E6"/>
    <w:rsid w:val="001C0A73"/>
    <w:rsid w:val="001C0ABF"/>
    <w:rsid w:val="001C0D2A"/>
    <w:rsid w:val="001C0F9B"/>
    <w:rsid w:val="001C109D"/>
    <w:rsid w:val="001C10B1"/>
    <w:rsid w:val="001C10D8"/>
    <w:rsid w:val="001C116C"/>
    <w:rsid w:val="001C11A0"/>
    <w:rsid w:val="001C12A3"/>
    <w:rsid w:val="001C13BF"/>
    <w:rsid w:val="001C165C"/>
    <w:rsid w:val="001C16BB"/>
    <w:rsid w:val="001C1A97"/>
    <w:rsid w:val="001C1AC4"/>
    <w:rsid w:val="001C1E23"/>
    <w:rsid w:val="001C1F2D"/>
    <w:rsid w:val="001C2024"/>
    <w:rsid w:val="001C229D"/>
    <w:rsid w:val="001C247F"/>
    <w:rsid w:val="001C26D4"/>
    <w:rsid w:val="001C26E6"/>
    <w:rsid w:val="001C272C"/>
    <w:rsid w:val="001C283F"/>
    <w:rsid w:val="001C2BD0"/>
    <w:rsid w:val="001C2CAD"/>
    <w:rsid w:val="001C2DB3"/>
    <w:rsid w:val="001C2F48"/>
    <w:rsid w:val="001C30A8"/>
    <w:rsid w:val="001C31E0"/>
    <w:rsid w:val="001C323F"/>
    <w:rsid w:val="001C326E"/>
    <w:rsid w:val="001C333C"/>
    <w:rsid w:val="001C3400"/>
    <w:rsid w:val="001C346E"/>
    <w:rsid w:val="001C369D"/>
    <w:rsid w:val="001C3878"/>
    <w:rsid w:val="001C3913"/>
    <w:rsid w:val="001C3962"/>
    <w:rsid w:val="001C3AA7"/>
    <w:rsid w:val="001C3B09"/>
    <w:rsid w:val="001C3BEC"/>
    <w:rsid w:val="001C3CFD"/>
    <w:rsid w:val="001C3E3D"/>
    <w:rsid w:val="001C3EBB"/>
    <w:rsid w:val="001C3F56"/>
    <w:rsid w:val="001C3FC7"/>
    <w:rsid w:val="001C3FFD"/>
    <w:rsid w:val="001C408E"/>
    <w:rsid w:val="001C4250"/>
    <w:rsid w:val="001C4267"/>
    <w:rsid w:val="001C4324"/>
    <w:rsid w:val="001C433D"/>
    <w:rsid w:val="001C4362"/>
    <w:rsid w:val="001C4504"/>
    <w:rsid w:val="001C45A8"/>
    <w:rsid w:val="001C45AD"/>
    <w:rsid w:val="001C4713"/>
    <w:rsid w:val="001C4736"/>
    <w:rsid w:val="001C47EC"/>
    <w:rsid w:val="001C492E"/>
    <w:rsid w:val="001C4A70"/>
    <w:rsid w:val="001C4AA2"/>
    <w:rsid w:val="001C4B22"/>
    <w:rsid w:val="001C4BA1"/>
    <w:rsid w:val="001C4E37"/>
    <w:rsid w:val="001C52D8"/>
    <w:rsid w:val="001C549C"/>
    <w:rsid w:val="001C5532"/>
    <w:rsid w:val="001C5661"/>
    <w:rsid w:val="001C5677"/>
    <w:rsid w:val="001C5885"/>
    <w:rsid w:val="001C58D6"/>
    <w:rsid w:val="001C5B57"/>
    <w:rsid w:val="001C5D82"/>
    <w:rsid w:val="001C5E64"/>
    <w:rsid w:val="001C608E"/>
    <w:rsid w:val="001C62E1"/>
    <w:rsid w:val="001C635A"/>
    <w:rsid w:val="001C6407"/>
    <w:rsid w:val="001C6903"/>
    <w:rsid w:val="001C6A94"/>
    <w:rsid w:val="001C6D08"/>
    <w:rsid w:val="001C6ED3"/>
    <w:rsid w:val="001C6FE6"/>
    <w:rsid w:val="001C734E"/>
    <w:rsid w:val="001C73BD"/>
    <w:rsid w:val="001C751F"/>
    <w:rsid w:val="001C7667"/>
    <w:rsid w:val="001C76C1"/>
    <w:rsid w:val="001C775D"/>
    <w:rsid w:val="001C795C"/>
    <w:rsid w:val="001C7960"/>
    <w:rsid w:val="001C79D3"/>
    <w:rsid w:val="001C7AD0"/>
    <w:rsid w:val="001C7BF5"/>
    <w:rsid w:val="001C7D55"/>
    <w:rsid w:val="001C7D83"/>
    <w:rsid w:val="001C7FB2"/>
    <w:rsid w:val="001D03B5"/>
    <w:rsid w:val="001D06AF"/>
    <w:rsid w:val="001D07CA"/>
    <w:rsid w:val="001D0B0C"/>
    <w:rsid w:val="001D0B5A"/>
    <w:rsid w:val="001D0BA3"/>
    <w:rsid w:val="001D0DE5"/>
    <w:rsid w:val="001D0DE8"/>
    <w:rsid w:val="001D0E93"/>
    <w:rsid w:val="001D1017"/>
    <w:rsid w:val="001D11E4"/>
    <w:rsid w:val="001D14A8"/>
    <w:rsid w:val="001D14FD"/>
    <w:rsid w:val="001D1506"/>
    <w:rsid w:val="001D1519"/>
    <w:rsid w:val="001D157C"/>
    <w:rsid w:val="001D16B0"/>
    <w:rsid w:val="001D17ED"/>
    <w:rsid w:val="001D1802"/>
    <w:rsid w:val="001D187B"/>
    <w:rsid w:val="001D18EC"/>
    <w:rsid w:val="001D1987"/>
    <w:rsid w:val="001D1AC5"/>
    <w:rsid w:val="001D1BB3"/>
    <w:rsid w:val="001D1D1A"/>
    <w:rsid w:val="001D1DA9"/>
    <w:rsid w:val="001D1E5B"/>
    <w:rsid w:val="001D1F2E"/>
    <w:rsid w:val="001D1FB1"/>
    <w:rsid w:val="001D1FC4"/>
    <w:rsid w:val="001D22CB"/>
    <w:rsid w:val="001D23D1"/>
    <w:rsid w:val="001D244F"/>
    <w:rsid w:val="001D2479"/>
    <w:rsid w:val="001D25C6"/>
    <w:rsid w:val="001D25CE"/>
    <w:rsid w:val="001D25DF"/>
    <w:rsid w:val="001D2679"/>
    <w:rsid w:val="001D28D8"/>
    <w:rsid w:val="001D2A23"/>
    <w:rsid w:val="001D2A92"/>
    <w:rsid w:val="001D2F5D"/>
    <w:rsid w:val="001D2F6A"/>
    <w:rsid w:val="001D30BB"/>
    <w:rsid w:val="001D31C5"/>
    <w:rsid w:val="001D330C"/>
    <w:rsid w:val="001D3400"/>
    <w:rsid w:val="001D3425"/>
    <w:rsid w:val="001D3591"/>
    <w:rsid w:val="001D381A"/>
    <w:rsid w:val="001D38A7"/>
    <w:rsid w:val="001D3A91"/>
    <w:rsid w:val="001D3E53"/>
    <w:rsid w:val="001D3F1F"/>
    <w:rsid w:val="001D40DD"/>
    <w:rsid w:val="001D41BC"/>
    <w:rsid w:val="001D4242"/>
    <w:rsid w:val="001D42A3"/>
    <w:rsid w:val="001D4354"/>
    <w:rsid w:val="001D4386"/>
    <w:rsid w:val="001D43A9"/>
    <w:rsid w:val="001D43F0"/>
    <w:rsid w:val="001D4430"/>
    <w:rsid w:val="001D461B"/>
    <w:rsid w:val="001D46E0"/>
    <w:rsid w:val="001D46F1"/>
    <w:rsid w:val="001D471D"/>
    <w:rsid w:val="001D47B4"/>
    <w:rsid w:val="001D4875"/>
    <w:rsid w:val="001D4A53"/>
    <w:rsid w:val="001D4AFE"/>
    <w:rsid w:val="001D4BC4"/>
    <w:rsid w:val="001D4CBC"/>
    <w:rsid w:val="001D4CE7"/>
    <w:rsid w:val="001D5026"/>
    <w:rsid w:val="001D50C2"/>
    <w:rsid w:val="001D521A"/>
    <w:rsid w:val="001D5315"/>
    <w:rsid w:val="001D543D"/>
    <w:rsid w:val="001D54DA"/>
    <w:rsid w:val="001D57DA"/>
    <w:rsid w:val="001D58B4"/>
    <w:rsid w:val="001D5925"/>
    <w:rsid w:val="001D597C"/>
    <w:rsid w:val="001D5A89"/>
    <w:rsid w:val="001D5E9C"/>
    <w:rsid w:val="001D5EE0"/>
    <w:rsid w:val="001D5F5F"/>
    <w:rsid w:val="001D653E"/>
    <w:rsid w:val="001D66F2"/>
    <w:rsid w:val="001D6776"/>
    <w:rsid w:val="001D677E"/>
    <w:rsid w:val="001D678D"/>
    <w:rsid w:val="001D6A78"/>
    <w:rsid w:val="001D6ABF"/>
    <w:rsid w:val="001D6AD5"/>
    <w:rsid w:val="001D6CFC"/>
    <w:rsid w:val="001D6E12"/>
    <w:rsid w:val="001D6F2C"/>
    <w:rsid w:val="001D6F8C"/>
    <w:rsid w:val="001D712F"/>
    <w:rsid w:val="001D7130"/>
    <w:rsid w:val="001D721E"/>
    <w:rsid w:val="001D745A"/>
    <w:rsid w:val="001D74E8"/>
    <w:rsid w:val="001D756C"/>
    <w:rsid w:val="001D7738"/>
    <w:rsid w:val="001D798C"/>
    <w:rsid w:val="001D7BD9"/>
    <w:rsid w:val="001D7C33"/>
    <w:rsid w:val="001D7EA6"/>
    <w:rsid w:val="001E0051"/>
    <w:rsid w:val="001E010B"/>
    <w:rsid w:val="001E0299"/>
    <w:rsid w:val="001E0489"/>
    <w:rsid w:val="001E0554"/>
    <w:rsid w:val="001E0558"/>
    <w:rsid w:val="001E059F"/>
    <w:rsid w:val="001E0754"/>
    <w:rsid w:val="001E07C3"/>
    <w:rsid w:val="001E07DC"/>
    <w:rsid w:val="001E08B2"/>
    <w:rsid w:val="001E0976"/>
    <w:rsid w:val="001E0A07"/>
    <w:rsid w:val="001E0B88"/>
    <w:rsid w:val="001E0C6E"/>
    <w:rsid w:val="001E0E71"/>
    <w:rsid w:val="001E0FF7"/>
    <w:rsid w:val="001E1261"/>
    <w:rsid w:val="001E13C4"/>
    <w:rsid w:val="001E15D8"/>
    <w:rsid w:val="001E16FC"/>
    <w:rsid w:val="001E170B"/>
    <w:rsid w:val="001E1881"/>
    <w:rsid w:val="001E18B1"/>
    <w:rsid w:val="001E18C9"/>
    <w:rsid w:val="001E19D9"/>
    <w:rsid w:val="001E1AB4"/>
    <w:rsid w:val="001E1B1E"/>
    <w:rsid w:val="001E1BF3"/>
    <w:rsid w:val="001E1D59"/>
    <w:rsid w:val="001E2006"/>
    <w:rsid w:val="001E200B"/>
    <w:rsid w:val="001E2208"/>
    <w:rsid w:val="001E228B"/>
    <w:rsid w:val="001E238F"/>
    <w:rsid w:val="001E2482"/>
    <w:rsid w:val="001E254F"/>
    <w:rsid w:val="001E25F9"/>
    <w:rsid w:val="001E2616"/>
    <w:rsid w:val="001E26D5"/>
    <w:rsid w:val="001E283A"/>
    <w:rsid w:val="001E2869"/>
    <w:rsid w:val="001E29F5"/>
    <w:rsid w:val="001E2AE8"/>
    <w:rsid w:val="001E2C34"/>
    <w:rsid w:val="001E31D0"/>
    <w:rsid w:val="001E32E3"/>
    <w:rsid w:val="001E3416"/>
    <w:rsid w:val="001E366F"/>
    <w:rsid w:val="001E3785"/>
    <w:rsid w:val="001E3787"/>
    <w:rsid w:val="001E37BB"/>
    <w:rsid w:val="001E38B1"/>
    <w:rsid w:val="001E397F"/>
    <w:rsid w:val="001E39D8"/>
    <w:rsid w:val="001E3B01"/>
    <w:rsid w:val="001E3B27"/>
    <w:rsid w:val="001E3E24"/>
    <w:rsid w:val="001E3ED9"/>
    <w:rsid w:val="001E3FBB"/>
    <w:rsid w:val="001E3FBF"/>
    <w:rsid w:val="001E4041"/>
    <w:rsid w:val="001E41E0"/>
    <w:rsid w:val="001E4301"/>
    <w:rsid w:val="001E4384"/>
    <w:rsid w:val="001E43A1"/>
    <w:rsid w:val="001E4517"/>
    <w:rsid w:val="001E499E"/>
    <w:rsid w:val="001E4A6E"/>
    <w:rsid w:val="001E4B14"/>
    <w:rsid w:val="001E4B2B"/>
    <w:rsid w:val="001E4C27"/>
    <w:rsid w:val="001E4C2D"/>
    <w:rsid w:val="001E4D1D"/>
    <w:rsid w:val="001E4E3C"/>
    <w:rsid w:val="001E4E49"/>
    <w:rsid w:val="001E4F2B"/>
    <w:rsid w:val="001E4F7D"/>
    <w:rsid w:val="001E524A"/>
    <w:rsid w:val="001E53CF"/>
    <w:rsid w:val="001E543F"/>
    <w:rsid w:val="001E5469"/>
    <w:rsid w:val="001E54BD"/>
    <w:rsid w:val="001E550B"/>
    <w:rsid w:val="001E5596"/>
    <w:rsid w:val="001E5912"/>
    <w:rsid w:val="001E5A7A"/>
    <w:rsid w:val="001E5C68"/>
    <w:rsid w:val="001E5ECF"/>
    <w:rsid w:val="001E5EDD"/>
    <w:rsid w:val="001E5EEC"/>
    <w:rsid w:val="001E5F5E"/>
    <w:rsid w:val="001E5FD0"/>
    <w:rsid w:val="001E607B"/>
    <w:rsid w:val="001E6084"/>
    <w:rsid w:val="001E60F9"/>
    <w:rsid w:val="001E6140"/>
    <w:rsid w:val="001E652D"/>
    <w:rsid w:val="001E65DA"/>
    <w:rsid w:val="001E673A"/>
    <w:rsid w:val="001E6857"/>
    <w:rsid w:val="001E6882"/>
    <w:rsid w:val="001E691E"/>
    <w:rsid w:val="001E6DFA"/>
    <w:rsid w:val="001E742B"/>
    <w:rsid w:val="001E7771"/>
    <w:rsid w:val="001E7871"/>
    <w:rsid w:val="001E7949"/>
    <w:rsid w:val="001E795D"/>
    <w:rsid w:val="001E7AE8"/>
    <w:rsid w:val="001E7C75"/>
    <w:rsid w:val="001E7DFB"/>
    <w:rsid w:val="001E7E58"/>
    <w:rsid w:val="001E7ED7"/>
    <w:rsid w:val="001E7FC7"/>
    <w:rsid w:val="001E7FF1"/>
    <w:rsid w:val="001E7FF3"/>
    <w:rsid w:val="001F0024"/>
    <w:rsid w:val="001F00B3"/>
    <w:rsid w:val="001F0179"/>
    <w:rsid w:val="001F024D"/>
    <w:rsid w:val="001F02FC"/>
    <w:rsid w:val="001F03AD"/>
    <w:rsid w:val="001F0548"/>
    <w:rsid w:val="001F05D5"/>
    <w:rsid w:val="001F07A7"/>
    <w:rsid w:val="001F07B5"/>
    <w:rsid w:val="001F099F"/>
    <w:rsid w:val="001F0A5F"/>
    <w:rsid w:val="001F0AEE"/>
    <w:rsid w:val="001F0B91"/>
    <w:rsid w:val="001F0BE2"/>
    <w:rsid w:val="001F0D20"/>
    <w:rsid w:val="001F0DCE"/>
    <w:rsid w:val="001F0EAD"/>
    <w:rsid w:val="001F1038"/>
    <w:rsid w:val="001F10D8"/>
    <w:rsid w:val="001F1104"/>
    <w:rsid w:val="001F11E7"/>
    <w:rsid w:val="001F15C1"/>
    <w:rsid w:val="001F15CF"/>
    <w:rsid w:val="001F1863"/>
    <w:rsid w:val="001F187F"/>
    <w:rsid w:val="001F18A8"/>
    <w:rsid w:val="001F19E9"/>
    <w:rsid w:val="001F1AE1"/>
    <w:rsid w:val="001F1DE6"/>
    <w:rsid w:val="001F1E47"/>
    <w:rsid w:val="001F2011"/>
    <w:rsid w:val="001F202C"/>
    <w:rsid w:val="001F2184"/>
    <w:rsid w:val="001F2312"/>
    <w:rsid w:val="001F25FF"/>
    <w:rsid w:val="001F26C9"/>
    <w:rsid w:val="001F26FF"/>
    <w:rsid w:val="001F282F"/>
    <w:rsid w:val="001F28A7"/>
    <w:rsid w:val="001F298B"/>
    <w:rsid w:val="001F29BB"/>
    <w:rsid w:val="001F29D8"/>
    <w:rsid w:val="001F2BE9"/>
    <w:rsid w:val="001F2D3A"/>
    <w:rsid w:val="001F2D5D"/>
    <w:rsid w:val="001F2DFC"/>
    <w:rsid w:val="001F2F85"/>
    <w:rsid w:val="001F3000"/>
    <w:rsid w:val="001F359C"/>
    <w:rsid w:val="001F364F"/>
    <w:rsid w:val="001F36CD"/>
    <w:rsid w:val="001F36CF"/>
    <w:rsid w:val="001F375B"/>
    <w:rsid w:val="001F37B1"/>
    <w:rsid w:val="001F3924"/>
    <w:rsid w:val="001F3996"/>
    <w:rsid w:val="001F39EB"/>
    <w:rsid w:val="001F3B60"/>
    <w:rsid w:val="001F3C5A"/>
    <w:rsid w:val="001F3D41"/>
    <w:rsid w:val="001F3F81"/>
    <w:rsid w:val="001F40A7"/>
    <w:rsid w:val="001F42AD"/>
    <w:rsid w:val="001F4390"/>
    <w:rsid w:val="001F4514"/>
    <w:rsid w:val="001F454E"/>
    <w:rsid w:val="001F46E7"/>
    <w:rsid w:val="001F4743"/>
    <w:rsid w:val="001F4805"/>
    <w:rsid w:val="001F485F"/>
    <w:rsid w:val="001F4982"/>
    <w:rsid w:val="001F4B42"/>
    <w:rsid w:val="001F4D50"/>
    <w:rsid w:val="001F4DF7"/>
    <w:rsid w:val="001F4E72"/>
    <w:rsid w:val="001F4E74"/>
    <w:rsid w:val="001F4FB4"/>
    <w:rsid w:val="001F50AF"/>
    <w:rsid w:val="001F50D6"/>
    <w:rsid w:val="001F520A"/>
    <w:rsid w:val="001F5505"/>
    <w:rsid w:val="001F551E"/>
    <w:rsid w:val="001F556A"/>
    <w:rsid w:val="001F5616"/>
    <w:rsid w:val="001F5741"/>
    <w:rsid w:val="001F5765"/>
    <w:rsid w:val="001F5812"/>
    <w:rsid w:val="001F5A88"/>
    <w:rsid w:val="001F5ADB"/>
    <w:rsid w:val="001F5B66"/>
    <w:rsid w:val="001F6006"/>
    <w:rsid w:val="001F60C4"/>
    <w:rsid w:val="001F6140"/>
    <w:rsid w:val="001F626D"/>
    <w:rsid w:val="001F6285"/>
    <w:rsid w:val="001F6311"/>
    <w:rsid w:val="001F661F"/>
    <w:rsid w:val="001F66A9"/>
    <w:rsid w:val="001F68C9"/>
    <w:rsid w:val="001F6A66"/>
    <w:rsid w:val="001F6A89"/>
    <w:rsid w:val="001F6C2D"/>
    <w:rsid w:val="001F6CB4"/>
    <w:rsid w:val="001F6F76"/>
    <w:rsid w:val="001F6FDE"/>
    <w:rsid w:val="001F70B6"/>
    <w:rsid w:val="001F711C"/>
    <w:rsid w:val="001F71BF"/>
    <w:rsid w:val="001F71EB"/>
    <w:rsid w:val="001F7243"/>
    <w:rsid w:val="001F7317"/>
    <w:rsid w:val="001F73B3"/>
    <w:rsid w:val="001F7806"/>
    <w:rsid w:val="001F7945"/>
    <w:rsid w:val="001F7959"/>
    <w:rsid w:val="001F7B6E"/>
    <w:rsid w:val="001F7D75"/>
    <w:rsid w:val="001F7E1A"/>
    <w:rsid w:val="001F7E86"/>
    <w:rsid w:val="001F7EC3"/>
    <w:rsid w:val="0020007E"/>
    <w:rsid w:val="00200491"/>
    <w:rsid w:val="00200532"/>
    <w:rsid w:val="002005E7"/>
    <w:rsid w:val="00200667"/>
    <w:rsid w:val="00200684"/>
    <w:rsid w:val="002006B4"/>
    <w:rsid w:val="00200762"/>
    <w:rsid w:val="002007E2"/>
    <w:rsid w:val="002008E7"/>
    <w:rsid w:val="002009F1"/>
    <w:rsid w:val="00200B23"/>
    <w:rsid w:val="00200B65"/>
    <w:rsid w:val="00200D34"/>
    <w:rsid w:val="00200E25"/>
    <w:rsid w:val="00200E5D"/>
    <w:rsid w:val="00200E91"/>
    <w:rsid w:val="00200F96"/>
    <w:rsid w:val="00200F9E"/>
    <w:rsid w:val="00200FA3"/>
    <w:rsid w:val="00201003"/>
    <w:rsid w:val="00201200"/>
    <w:rsid w:val="00201323"/>
    <w:rsid w:val="00201392"/>
    <w:rsid w:val="00201438"/>
    <w:rsid w:val="00201607"/>
    <w:rsid w:val="00201662"/>
    <w:rsid w:val="00201764"/>
    <w:rsid w:val="002017D0"/>
    <w:rsid w:val="0020180A"/>
    <w:rsid w:val="00201AD2"/>
    <w:rsid w:val="00201BB3"/>
    <w:rsid w:val="00201E6D"/>
    <w:rsid w:val="00201FB5"/>
    <w:rsid w:val="00202017"/>
    <w:rsid w:val="00202301"/>
    <w:rsid w:val="00202382"/>
    <w:rsid w:val="002024B2"/>
    <w:rsid w:val="00202B02"/>
    <w:rsid w:val="00202B11"/>
    <w:rsid w:val="00202B94"/>
    <w:rsid w:val="00202CB7"/>
    <w:rsid w:val="00202CEF"/>
    <w:rsid w:val="00202D75"/>
    <w:rsid w:val="00202F87"/>
    <w:rsid w:val="00202FE9"/>
    <w:rsid w:val="0020313D"/>
    <w:rsid w:val="00203157"/>
    <w:rsid w:val="00203235"/>
    <w:rsid w:val="00203823"/>
    <w:rsid w:val="002038CD"/>
    <w:rsid w:val="00203A26"/>
    <w:rsid w:val="00203AFA"/>
    <w:rsid w:val="00203B0A"/>
    <w:rsid w:val="00203CFA"/>
    <w:rsid w:val="00203E63"/>
    <w:rsid w:val="00203ED0"/>
    <w:rsid w:val="00203F77"/>
    <w:rsid w:val="00204060"/>
    <w:rsid w:val="002041EC"/>
    <w:rsid w:val="002044D0"/>
    <w:rsid w:val="002045DF"/>
    <w:rsid w:val="0020464C"/>
    <w:rsid w:val="002046FE"/>
    <w:rsid w:val="00204722"/>
    <w:rsid w:val="002048C9"/>
    <w:rsid w:val="002049DD"/>
    <w:rsid w:val="00204DB3"/>
    <w:rsid w:val="00204E44"/>
    <w:rsid w:val="00204EFB"/>
    <w:rsid w:val="00205082"/>
    <w:rsid w:val="002053A4"/>
    <w:rsid w:val="0020543C"/>
    <w:rsid w:val="00205539"/>
    <w:rsid w:val="00205838"/>
    <w:rsid w:val="00205C67"/>
    <w:rsid w:val="00205D81"/>
    <w:rsid w:val="002060D6"/>
    <w:rsid w:val="00206260"/>
    <w:rsid w:val="0020627A"/>
    <w:rsid w:val="002063CF"/>
    <w:rsid w:val="00206438"/>
    <w:rsid w:val="00206479"/>
    <w:rsid w:val="00206518"/>
    <w:rsid w:val="002065A8"/>
    <w:rsid w:val="00206602"/>
    <w:rsid w:val="00206607"/>
    <w:rsid w:val="00206B7E"/>
    <w:rsid w:val="00206BA8"/>
    <w:rsid w:val="00206C96"/>
    <w:rsid w:val="00206EC0"/>
    <w:rsid w:val="00206ECD"/>
    <w:rsid w:val="00206FC7"/>
    <w:rsid w:val="0020714F"/>
    <w:rsid w:val="00207181"/>
    <w:rsid w:val="00207270"/>
    <w:rsid w:val="00207303"/>
    <w:rsid w:val="002073F0"/>
    <w:rsid w:val="00207430"/>
    <w:rsid w:val="00207494"/>
    <w:rsid w:val="00207517"/>
    <w:rsid w:val="0020767D"/>
    <w:rsid w:val="00207799"/>
    <w:rsid w:val="00207805"/>
    <w:rsid w:val="00207849"/>
    <w:rsid w:val="00207862"/>
    <w:rsid w:val="002078A0"/>
    <w:rsid w:val="00207A74"/>
    <w:rsid w:val="00207B6B"/>
    <w:rsid w:val="00207B8E"/>
    <w:rsid w:val="00207D10"/>
    <w:rsid w:val="00207EF5"/>
    <w:rsid w:val="00207FB5"/>
    <w:rsid w:val="00210025"/>
    <w:rsid w:val="00210047"/>
    <w:rsid w:val="00210383"/>
    <w:rsid w:val="0021040E"/>
    <w:rsid w:val="00210411"/>
    <w:rsid w:val="002104BC"/>
    <w:rsid w:val="0021054B"/>
    <w:rsid w:val="00210561"/>
    <w:rsid w:val="00210578"/>
    <w:rsid w:val="002108D2"/>
    <w:rsid w:val="00210C4B"/>
    <w:rsid w:val="00210CDE"/>
    <w:rsid w:val="00210DD9"/>
    <w:rsid w:val="00210EEB"/>
    <w:rsid w:val="00210F69"/>
    <w:rsid w:val="00210F7C"/>
    <w:rsid w:val="00211126"/>
    <w:rsid w:val="0021126F"/>
    <w:rsid w:val="002115A1"/>
    <w:rsid w:val="00211616"/>
    <w:rsid w:val="00211652"/>
    <w:rsid w:val="00211EA1"/>
    <w:rsid w:val="00211F1D"/>
    <w:rsid w:val="002120DD"/>
    <w:rsid w:val="002122CC"/>
    <w:rsid w:val="002125DF"/>
    <w:rsid w:val="00212803"/>
    <w:rsid w:val="00212828"/>
    <w:rsid w:val="00212899"/>
    <w:rsid w:val="00212981"/>
    <w:rsid w:val="002129DA"/>
    <w:rsid w:val="002129E9"/>
    <w:rsid w:val="00212B40"/>
    <w:rsid w:val="00212BE2"/>
    <w:rsid w:val="00212C88"/>
    <w:rsid w:val="00212CED"/>
    <w:rsid w:val="00212D12"/>
    <w:rsid w:val="00212DEF"/>
    <w:rsid w:val="00213081"/>
    <w:rsid w:val="002131DE"/>
    <w:rsid w:val="00213222"/>
    <w:rsid w:val="00213333"/>
    <w:rsid w:val="00213479"/>
    <w:rsid w:val="0021372F"/>
    <w:rsid w:val="002139C2"/>
    <w:rsid w:val="00213AF7"/>
    <w:rsid w:val="00213B51"/>
    <w:rsid w:val="00213F60"/>
    <w:rsid w:val="00214241"/>
    <w:rsid w:val="00214254"/>
    <w:rsid w:val="002142F4"/>
    <w:rsid w:val="0021441A"/>
    <w:rsid w:val="0021453A"/>
    <w:rsid w:val="00214612"/>
    <w:rsid w:val="002146D7"/>
    <w:rsid w:val="00214744"/>
    <w:rsid w:val="002147C2"/>
    <w:rsid w:val="002147DE"/>
    <w:rsid w:val="00214892"/>
    <w:rsid w:val="00214BD2"/>
    <w:rsid w:val="00214BD9"/>
    <w:rsid w:val="00214CFC"/>
    <w:rsid w:val="00214D49"/>
    <w:rsid w:val="00214E3F"/>
    <w:rsid w:val="0021502A"/>
    <w:rsid w:val="00215078"/>
    <w:rsid w:val="00215081"/>
    <w:rsid w:val="00215246"/>
    <w:rsid w:val="002154AA"/>
    <w:rsid w:val="00215649"/>
    <w:rsid w:val="00215745"/>
    <w:rsid w:val="0021597D"/>
    <w:rsid w:val="002159A4"/>
    <w:rsid w:val="00215A55"/>
    <w:rsid w:val="00215A79"/>
    <w:rsid w:val="00215ABC"/>
    <w:rsid w:val="00215C14"/>
    <w:rsid w:val="00215CF5"/>
    <w:rsid w:val="00215CF9"/>
    <w:rsid w:val="00215DC4"/>
    <w:rsid w:val="00215FE0"/>
    <w:rsid w:val="00215FE3"/>
    <w:rsid w:val="00215FEF"/>
    <w:rsid w:val="002160C2"/>
    <w:rsid w:val="002161EA"/>
    <w:rsid w:val="00216232"/>
    <w:rsid w:val="002162E0"/>
    <w:rsid w:val="00216A58"/>
    <w:rsid w:val="00216B49"/>
    <w:rsid w:val="00216D74"/>
    <w:rsid w:val="00216E01"/>
    <w:rsid w:val="00216F0E"/>
    <w:rsid w:val="002170D4"/>
    <w:rsid w:val="0021718A"/>
    <w:rsid w:val="002172BB"/>
    <w:rsid w:val="00217504"/>
    <w:rsid w:val="0021754A"/>
    <w:rsid w:val="00217691"/>
    <w:rsid w:val="0021780D"/>
    <w:rsid w:val="002178A9"/>
    <w:rsid w:val="00217986"/>
    <w:rsid w:val="00217A4B"/>
    <w:rsid w:val="00217A6A"/>
    <w:rsid w:val="00217B2D"/>
    <w:rsid w:val="00217E7A"/>
    <w:rsid w:val="00220127"/>
    <w:rsid w:val="002204CF"/>
    <w:rsid w:val="00220656"/>
    <w:rsid w:val="002206B4"/>
    <w:rsid w:val="00220804"/>
    <w:rsid w:val="002209A0"/>
    <w:rsid w:val="002209C3"/>
    <w:rsid w:val="00220C0E"/>
    <w:rsid w:val="00220DE6"/>
    <w:rsid w:val="00220DF1"/>
    <w:rsid w:val="00220E1D"/>
    <w:rsid w:val="00220E91"/>
    <w:rsid w:val="00220F4C"/>
    <w:rsid w:val="0022108B"/>
    <w:rsid w:val="002212BB"/>
    <w:rsid w:val="0022134E"/>
    <w:rsid w:val="00221384"/>
    <w:rsid w:val="002213B3"/>
    <w:rsid w:val="002213BC"/>
    <w:rsid w:val="00221516"/>
    <w:rsid w:val="00221708"/>
    <w:rsid w:val="00221996"/>
    <w:rsid w:val="00221AEB"/>
    <w:rsid w:val="00221FE9"/>
    <w:rsid w:val="0022207D"/>
    <w:rsid w:val="002221F9"/>
    <w:rsid w:val="00222205"/>
    <w:rsid w:val="0022237D"/>
    <w:rsid w:val="002224DA"/>
    <w:rsid w:val="002225D5"/>
    <w:rsid w:val="002226D2"/>
    <w:rsid w:val="002228CD"/>
    <w:rsid w:val="00222B84"/>
    <w:rsid w:val="00222BBC"/>
    <w:rsid w:val="00222CE4"/>
    <w:rsid w:val="00222D9F"/>
    <w:rsid w:val="00222E82"/>
    <w:rsid w:val="00222EB4"/>
    <w:rsid w:val="00222F21"/>
    <w:rsid w:val="00222FC6"/>
    <w:rsid w:val="0022311B"/>
    <w:rsid w:val="00223291"/>
    <w:rsid w:val="002233CE"/>
    <w:rsid w:val="0022362C"/>
    <w:rsid w:val="00223739"/>
    <w:rsid w:val="00223787"/>
    <w:rsid w:val="002237E6"/>
    <w:rsid w:val="002237F7"/>
    <w:rsid w:val="002239EB"/>
    <w:rsid w:val="00223A17"/>
    <w:rsid w:val="00223AF6"/>
    <w:rsid w:val="00223D5C"/>
    <w:rsid w:val="00223DA4"/>
    <w:rsid w:val="00223DA7"/>
    <w:rsid w:val="00224278"/>
    <w:rsid w:val="00224432"/>
    <w:rsid w:val="002244A4"/>
    <w:rsid w:val="002244B0"/>
    <w:rsid w:val="002244C9"/>
    <w:rsid w:val="0022461F"/>
    <w:rsid w:val="00224642"/>
    <w:rsid w:val="002246ED"/>
    <w:rsid w:val="00224B25"/>
    <w:rsid w:val="00224D42"/>
    <w:rsid w:val="00224F04"/>
    <w:rsid w:val="00224F92"/>
    <w:rsid w:val="00224FC6"/>
    <w:rsid w:val="002251C4"/>
    <w:rsid w:val="0022523F"/>
    <w:rsid w:val="002253B8"/>
    <w:rsid w:val="0022543C"/>
    <w:rsid w:val="002254EA"/>
    <w:rsid w:val="00225568"/>
    <w:rsid w:val="0022558B"/>
    <w:rsid w:val="002256FC"/>
    <w:rsid w:val="00225843"/>
    <w:rsid w:val="002259FB"/>
    <w:rsid w:val="00225D17"/>
    <w:rsid w:val="00225E44"/>
    <w:rsid w:val="00225EA5"/>
    <w:rsid w:val="00225ED0"/>
    <w:rsid w:val="00225EDD"/>
    <w:rsid w:val="00225F9D"/>
    <w:rsid w:val="0022615D"/>
    <w:rsid w:val="00226179"/>
    <w:rsid w:val="002262B1"/>
    <w:rsid w:val="00226533"/>
    <w:rsid w:val="0022664D"/>
    <w:rsid w:val="0022668D"/>
    <w:rsid w:val="00226840"/>
    <w:rsid w:val="00226931"/>
    <w:rsid w:val="00226B6C"/>
    <w:rsid w:val="00226C62"/>
    <w:rsid w:val="00226C96"/>
    <w:rsid w:val="00226CAE"/>
    <w:rsid w:val="00226D3E"/>
    <w:rsid w:val="00226E13"/>
    <w:rsid w:val="00226E65"/>
    <w:rsid w:val="00226E8E"/>
    <w:rsid w:val="00227122"/>
    <w:rsid w:val="002273BD"/>
    <w:rsid w:val="002274B9"/>
    <w:rsid w:val="002275F2"/>
    <w:rsid w:val="00227636"/>
    <w:rsid w:val="00227697"/>
    <w:rsid w:val="0022776E"/>
    <w:rsid w:val="0022787E"/>
    <w:rsid w:val="0022794E"/>
    <w:rsid w:val="00227A86"/>
    <w:rsid w:val="00227B53"/>
    <w:rsid w:val="00227D7D"/>
    <w:rsid w:val="00227E27"/>
    <w:rsid w:val="00227F47"/>
    <w:rsid w:val="00227FEF"/>
    <w:rsid w:val="00230082"/>
    <w:rsid w:val="002302A4"/>
    <w:rsid w:val="002302CF"/>
    <w:rsid w:val="002304BD"/>
    <w:rsid w:val="002304ED"/>
    <w:rsid w:val="002305D1"/>
    <w:rsid w:val="002305FD"/>
    <w:rsid w:val="002308A2"/>
    <w:rsid w:val="002308BC"/>
    <w:rsid w:val="00230922"/>
    <w:rsid w:val="00230B4A"/>
    <w:rsid w:val="00230CAC"/>
    <w:rsid w:val="00230DFB"/>
    <w:rsid w:val="00230E03"/>
    <w:rsid w:val="00230EEB"/>
    <w:rsid w:val="00230F2A"/>
    <w:rsid w:val="0023110E"/>
    <w:rsid w:val="00231122"/>
    <w:rsid w:val="00231263"/>
    <w:rsid w:val="002312AE"/>
    <w:rsid w:val="0023131E"/>
    <w:rsid w:val="00231577"/>
    <w:rsid w:val="002319EB"/>
    <w:rsid w:val="00231AAA"/>
    <w:rsid w:val="00231B21"/>
    <w:rsid w:val="00231DD4"/>
    <w:rsid w:val="00231FB3"/>
    <w:rsid w:val="00232314"/>
    <w:rsid w:val="002324B9"/>
    <w:rsid w:val="00232551"/>
    <w:rsid w:val="002326B1"/>
    <w:rsid w:val="002328E7"/>
    <w:rsid w:val="00232907"/>
    <w:rsid w:val="00232AD1"/>
    <w:rsid w:val="00232EC7"/>
    <w:rsid w:val="00232F3B"/>
    <w:rsid w:val="00232F65"/>
    <w:rsid w:val="0023301D"/>
    <w:rsid w:val="00233065"/>
    <w:rsid w:val="0023316D"/>
    <w:rsid w:val="00233A02"/>
    <w:rsid w:val="00233B3C"/>
    <w:rsid w:val="00233BA4"/>
    <w:rsid w:val="00233BDD"/>
    <w:rsid w:val="00233DBB"/>
    <w:rsid w:val="00233E37"/>
    <w:rsid w:val="00233F93"/>
    <w:rsid w:val="00234144"/>
    <w:rsid w:val="0023416D"/>
    <w:rsid w:val="00234291"/>
    <w:rsid w:val="002342A7"/>
    <w:rsid w:val="002347BD"/>
    <w:rsid w:val="00234AD4"/>
    <w:rsid w:val="00234B1D"/>
    <w:rsid w:val="00234CE7"/>
    <w:rsid w:val="00234D95"/>
    <w:rsid w:val="00234DD5"/>
    <w:rsid w:val="00234E52"/>
    <w:rsid w:val="00234E73"/>
    <w:rsid w:val="00235172"/>
    <w:rsid w:val="00235227"/>
    <w:rsid w:val="002352D1"/>
    <w:rsid w:val="00235355"/>
    <w:rsid w:val="0023536B"/>
    <w:rsid w:val="002353CA"/>
    <w:rsid w:val="002353D5"/>
    <w:rsid w:val="00235451"/>
    <w:rsid w:val="002354C7"/>
    <w:rsid w:val="0023558A"/>
    <w:rsid w:val="0023571A"/>
    <w:rsid w:val="0023596B"/>
    <w:rsid w:val="002359A1"/>
    <w:rsid w:val="00235AB2"/>
    <w:rsid w:val="00235B1E"/>
    <w:rsid w:val="00235C07"/>
    <w:rsid w:val="00235CB3"/>
    <w:rsid w:val="00235D5B"/>
    <w:rsid w:val="00235DF7"/>
    <w:rsid w:val="00235E7D"/>
    <w:rsid w:val="00235EFE"/>
    <w:rsid w:val="00235FCF"/>
    <w:rsid w:val="00236207"/>
    <w:rsid w:val="0023622D"/>
    <w:rsid w:val="00236261"/>
    <w:rsid w:val="002362FA"/>
    <w:rsid w:val="0023632B"/>
    <w:rsid w:val="002364EC"/>
    <w:rsid w:val="00236587"/>
    <w:rsid w:val="00236592"/>
    <w:rsid w:val="00236681"/>
    <w:rsid w:val="002366ED"/>
    <w:rsid w:val="0023680D"/>
    <w:rsid w:val="00236A94"/>
    <w:rsid w:val="00236BA5"/>
    <w:rsid w:val="00236E37"/>
    <w:rsid w:val="00236EEC"/>
    <w:rsid w:val="00236FF5"/>
    <w:rsid w:val="0023714C"/>
    <w:rsid w:val="0023718D"/>
    <w:rsid w:val="00237281"/>
    <w:rsid w:val="00237299"/>
    <w:rsid w:val="002372AE"/>
    <w:rsid w:val="00237362"/>
    <w:rsid w:val="002373D4"/>
    <w:rsid w:val="00237535"/>
    <w:rsid w:val="002376A1"/>
    <w:rsid w:val="002376CD"/>
    <w:rsid w:val="002377E6"/>
    <w:rsid w:val="002379EF"/>
    <w:rsid w:val="00237B66"/>
    <w:rsid w:val="00237B6A"/>
    <w:rsid w:val="00237CB3"/>
    <w:rsid w:val="00237D80"/>
    <w:rsid w:val="00237DA6"/>
    <w:rsid w:val="00237E22"/>
    <w:rsid w:val="00240232"/>
    <w:rsid w:val="002402BD"/>
    <w:rsid w:val="002405E5"/>
    <w:rsid w:val="002406B5"/>
    <w:rsid w:val="0024075D"/>
    <w:rsid w:val="00240975"/>
    <w:rsid w:val="00240BF4"/>
    <w:rsid w:val="00240CCE"/>
    <w:rsid w:val="00240DD0"/>
    <w:rsid w:val="00240E78"/>
    <w:rsid w:val="00240FE6"/>
    <w:rsid w:val="00241085"/>
    <w:rsid w:val="002411FA"/>
    <w:rsid w:val="00241242"/>
    <w:rsid w:val="00241247"/>
    <w:rsid w:val="002412A3"/>
    <w:rsid w:val="00241596"/>
    <w:rsid w:val="00241614"/>
    <w:rsid w:val="002417D4"/>
    <w:rsid w:val="00241CF0"/>
    <w:rsid w:val="00241D4C"/>
    <w:rsid w:val="00241DAC"/>
    <w:rsid w:val="00241E8C"/>
    <w:rsid w:val="00241F86"/>
    <w:rsid w:val="00242141"/>
    <w:rsid w:val="002421C9"/>
    <w:rsid w:val="00242217"/>
    <w:rsid w:val="00242401"/>
    <w:rsid w:val="0024271C"/>
    <w:rsid w:val="002427DD"/>
    <w:rsid w:val="00242AE1"/>
    <w:rsid w:val="00242CC1"/>
    <w:rsid w:val="0024311D"/>
    <w:rsid w:val="0024318E"/>
    <w:rsid w:val="00243229"/>
    <w:rsid w:val="0024325B"/>
    <w:rsid w:val="00243275"/>
    <w:rsid w:val="002433D1"/>
    <w:rsid w:val="0024344B"/>
    <w:rsid w:val="00243488"/>
    <w:rsid w:val="0024354B"/>
    <w:rsid w:val="002437C6"/>
    <w:rsid w:val="0024389F"/>
    <w:rsid w:val="002438F4"/>
    <w:rsid w:val="0024396C"/>
    <w:rsid w:val="00243994"/>
    <w:rsid w:val="00243997"/>
    <w:rsid w:val="002439D6"/>
    <w:rsid w:val="00243A56"/>
    <w:rsid w:val="00243A97"/>
    <w:rsid w:val="00243C06"/>
    <w:rsid w:val="00243C97"/>
    <w:rsid w:val="00243CA5"/>
    <w:rsid w:val="00243D8B"/>
    <w:rsid w:val="00243EB5"/>
    <w:rsid w:val="0024404A"/>
    <w:rsid w:val="002440E7"/>
    <w:rsid w:val="0024414F"/>
    <w:rsid w:val="0024424A"/>
    <w:rsid w:val="002442EB"/>
    <w:rsid w:val="00244333"/>
    <w:rsid w:val="00244458"/>
    <w:rsid w:val="0024456A"/>
    <w:rsid w:val="0024465D"/>
    <w:rsid w:val="002447F0"/>
    <w:rsid w:val="00244B54"/>
    <w:rsid w:val="00244C02"/>
    <w:rsid w:val="00244C9E"/>
    <w:rsid w:val="00244CDE"/>
    <w:rsid w:val="00244CF4"/>
    <w:rsid w:val="00244E4A"/>
    <w:rsid w:val="002450D1"/>
    <w:rsid w:val="0024510E"/>
    <w:rsid w:val="002451E2"/>
    <w:rsid w:val="0024528F"/>
    <w:rsid w:val="002452A2"/>
    <w:rsid w:val="00245428"/>
    <w:rsid w:val="0024546D"/>
    <w:rsid w:val="002454C7"/>
    <w:rsid w:val="00245564"/>
    <w:rsid w:val="00245663"/>
    <w:rsid w:val="00245863"/>
    <w:rsid w:val="002459F5"/>
    <w:rsid w:val="00245B14"/>
    <w:rsid w:val="00245CB6"/>
    <w:rsid w:val="00245ECD"/>
    <w:rsid w:val="00245F3C"/>
    <w:rsid w:val="00245F82"/>
    <w:rsid w:val="0024600B"/>
    <w:rsid w:val="00246083"/>
    <w:rsid w:val="00246090"/>
    <w:rsid w:val="002460D7"/>
    <w:rsid w:val="00246187"/>
    <w:rsid w:val="002461F2"/>
    <w:rsid w:val="00246465"/>
    <w:rsid w:val="00246552"/>
    <w:rsid w:val="0024667A"/>
    <w:rsid w:val="0024673A"/>
    <w:rsid w:val="00246A0D"/>
    <w:rsid w:val="00246A3C"/>
    <w:rsid w:val="00246C5C"/>
    <w:rsid w:val="00246C6F"/>
    <w:rsid w:val="00246D71"/>
    <w:rsid w:val="00246FC6"/>
    <w:rsid w:val="0024711F"/>
    <w:rsid w:val="002473A2"/>
    <w:rsid w:val="0024755A"/>
    <w:rsid w:val="00247730"/>
    <w:rsid w:val="00247903"/>
    <w:rsid w:val="0024798E"/>
    <w:rsid w:val="00247EC2"/>
    <w:rsid w:val="0025007D"/>
    <w:rsid w:val="0025019B"/>
    <w:rsid w:val="002501D6"/>
    <w:rsid w:val="00250270"/>
    <w:rsid w:val="00250284"/>
    <w:rsid w:val="002502E9"/>
    <w:rsid w:val="0025038D"/>
    <w:rsid w:val="002505C7"/>
    <w:rsid w:val="002506BD"/>
    <w:rsid w:val="002506D5"/>
    <w:rsid w:val="002507F9"/>
    <w:rsid w:val="00250A45"/>
    <w:rsid w:val="00250B55"/>
    <w:rsid w:val="00250C89"/>
    <w:rsid w:val="00250C8D"/>
    <w:rsid w:val="00250D2C"/>
    <w:rsid w:val="00250ECA"/>
    <w:rsid w:val="00250FB9"/>
    <w:rsid w:val="00250FFE"/>
    <w:rsid w:val="00251078"/>
    <w:rsid w:val="002510D9"/>
    <w:rsid w:val="0025128E"/>
    <w:rsid w:val="00251406"/>
    <w:rsid w:val="002515AA"/>
    <w:rsid w:val="0025166C"/>
    <w:rsid w:val="00251730"/>
    <w:rsid w:val="0025180C"/>
    <w:rsid w:val="00251829"/>
    <w:rsid w:val="00251881"/>
    <w:rsid w:val="002519BF"/>
    <w:rsid w:val="00251A29"/>
    <w:rsid w:val="00251A99"/>
    <w:rsid w:val="00251C41"/>
    <w:rsid w:val="00251DE3"/>
    <w:rsid w:val="00251DE8"/>
    <w:rsid w:val="00251F94"/>
    <w:rsid w:val="002520BD"/>
    <w:rsid w:val="00252123"/>
    <w:rsid w:val="0025227B"/>
    <w:rsid w:val="00252367"/>
    <w:rsid w:val="002525E7"/>
    <w:rsid w:val="00252650"/>
    <w:rsid w:val="002526BB"/>
    <w:rsid w:val="002527BB"/>
    <w:rsid w:val="002528E8"/>
    <w:rsid w:val="00252AF1"/>
    <w:rsid w:val="00252E54"/>
    <w:rsid w:val="002530D0"/>
    <w:rsid w:val="0025310E"/>
    <w:rsid w:val="00253151"/>
    <w:rsid w:val="0025333E"/>
    <w:rsid w:val="0025334C"/>
    <w:rsid w:val="002535A6"/>
    <w:rsid w:val="0025366E"/>
    <w:rsid w:val="0025370E"/>
    <w:rsid w:val="002538BE"/>
    <w:rsid w:val="002538DA"/>
    <w:rsid w:val="0025396C"/>
    <w:rsid w:val="00253B21"/>
    <w:rsid w:val="00253BB3"/>
    <w:rsid w:val="00253C5D"/>
    <w:rsid w:val="00253C96"/>
    <w:rsid w:val="00254015"/>
    <w:rsid w:val="002540BF"/>
    <w:rsid w:val="00254223"/>
    <w:rsid w:val="0025425C"/>
    <w:rsid w:val="002545EB"/>
    <w:rsid w:val="002548A4"/>
    <w:rsid w:val="00254AF2"/>
    <w:rsid w:val="00254B88"/>
    <w:rsid w:val="0025514A"/>
    <w:rsid w:val="002551E6"/>
    <w:rsid w:val="002552DF"/>
    <w:rsid w:val="0025537B"/>
    <w:rsid w:val="002553BD"/>
    <w:rsid w:val="002554EF"/>
    <w:rsid w:val="002554F8"/>
    <w:rsid w:val="002556FC"/>
    <w:rsid w:val="00255AAD"/>
    <w:rsid w:val="00255C8D"/>
    <w:rsid w:val="00255D8E"/>
    <w:rsid w:val="00255E48"/>
    <w:rsid w:val="00255E57"/>
    <w:rsid w:val="00255EF9"/>
    <w:rsid w:val="00255FA4"/>
    <w:rsid w:val="0025601D"/>
    <w:rsid w:val="0025613B"/>
    <w:rsid w:val="00256180"/>
    <w:rsid w:val="002561F8"/>
    <w:rsid w:val="00256353"/>
    <w:rsid w:val="0025635B"/>
    <w:rsid w:val="00256395"/>
    <w:rsid w:val="00256477"/>
    <w:rsid w:val="002564FA"/>
    <w:rsid w:val="00256592"/>
    <w:rsid w:val="00256626"/>
    <w:rsid w:val="00256658"/>
    <w:rsid w:val="00256A9C"/>
    <w:rsid w:val="00256C8C"/>
    <w:rsid w:val="00256CDB"/>
    <w:rsid w:val="00256F27"/>
    <w:rsid w:val="00257174"/>
    <w:rsid w:val="0025729B"/>
    <w:rsid w:val="002572F2"/>
    <w:rsid w:val="002573C4"/>
    <w:rsid w:val="0025751B"/>
    <w:rsid w:val="00257703"/>
    <w:rsid w:val="002577A1"/>
    <w:rsid w:val="00257806"/>
    <w:rsid w:val="0025794A"/>
    <w:rsid w:val="00257AA2"/>
    <w:rsid w:val="00257B1A"/>
    <w:rsid w:val="00257E10"/>
    <w:rsid w:val="00257E96"/>
    <w:rsid w:val="00257EEB"/>
    <w:rsid w:val="00257F1D"/>
    <w:rsid w:val="0025DAA0"/>
    <w:rsid w:val="00260097"/>
    <w:rsid w:val="0026033D"/>
    <w:rsid w:val="002603FC"/>
    <w:rsid w:val="002604CB"/>
    <w:rsid w:val="00260545"/>
    <w:rsid w:val="00260785"/>
    <w:rsid w:val="002607B1"/>
    <w:rsid w:val="0026098B"/>
    <w:rsid w:val="002609A9"/>
    <w:rsid w:val="002609C8"/>
    <w:rsid w:val="00260AD9"/>
    <w:rsid w:val="00260B9A"/>
    <w:rsid w:val="00260CEC"/>
    <w:rsid w:val="00260D4A"/>
    <w:rsid w:val="0026148C"/>
    <w:rsid w:val="0026156D"/>
    <w:rsid w:val="00261637"/>
    <w:rsid w:val="002617C3"/>
    <w:rsid w:val="00261899"/>
    <w:rsid w:val="002619CA"/>
    <w:rsid w:val="00261A58"/>
    <w:rsid w:val="00261A70"/>
    <w:rsid w:val="00261BBA"/>
    <w:rsid w:val="00261BF4"/>
    <w:rsid w:val="00261CD5"/>
    <w:rsid w:val="00261D41"/>
    <w:rsid w:val="00261E57"/>
    <w:rsid w:val="00262025"/>
    <w:rsid w:val="0026223D"/>
    <w:rsid w:val="00262456"/>
    <w:rsid w:val="002626A2"/>
    <w:rsid w:val="002626DF"/>
    <w:rsid w:val="002626F4"/>
    <w:rsid w:val="0026270A"/>
    <w:rsid w:val="002628AE"/>
    <w:rsid w:val="002628DC"/>
    <w:rsid w:val="00262924"/>
    <w:rsid w:val="00262925"/>
    <w:rsid w:val="00262C31"/>
    <w:rsid w:val="00262CE4"/>
    <w:rsid w:val="00262E28"/>
    <w:rsid w:val="00262ECC"/>
    <w:rsid w:val="00262EF6"/>
    <w:rsid w:val="00262FC9"/>
    <w:rsid w:val="00263003"/>
    <w:rsid w:val="002630B5"/>
    <w:rsid w:val="00263263"/>
    <w:rsid w:val="002632C4"/>
    <w:rsid w:val="002632D9"/>
    <w:rsid w:val="0026343D"/>
    <w:rsid w:val="002636A4"/>
    <w:rsid w:val="00263713"/>
    <w:rsid w:val="00263AF9"/>
    <w:rsid w:val="00263B40"/>
    <w:rsid w:val="00263B80"/>
    <w:rsid w:val="00263CAE"/>
    <w:rsid w:val="00263E81"/>
    <w:rsid w:val="00263EB8"/>
    <w:rsid w:val="00263FB6"/>
    <w:rsid w:val="00263FD7"/>
    <w:rsid w:val="002640BE"/>
    <w:rsid w:val="0026438B"/>
    <w:rsid w:val="0026452C"/>
    <w:rsid w:val="002645E7"/>
    <w:rsid w:val="002646E4"/>
    <w:rsid w:val="00264758"/>
    <w:rsid w:val="002647C7"/>
    <w:rsid w:val="002648A4"/>
    <w:rsid w:val="002649F7"/>
    <w:rsid w:val="00264A11"/>
    <w:rsid w:val="00264B20"/>
    <w:rsid w:val="00264B59"/>
    <w:rsid w:val="00264CE5"/>
    <w:rsid w:val="00264D92"/>
    <w:rsid w:val="00264FBB"/>
    <w:rsid w:val="002651D7"/>
    <w:rsid w:val="002651E4"/>
    <w:rsid w:val="00265232"/>
    <w:rsid w:val="002655AB"/>
    <w:rsid w:val="00265864"/>
    <w:rsid w:val="002658C8"/>
    <w:rsid w:val="00265916"/>
    <w:rsid w:val="00265974"/>
    <w:rsid w:val="00265F0D"/>
    <w:rsid w:val="00265F92"/>
    <w:rsid w:val="00265FDD"/>
    <w:rsid w:val="00266213"/>
    <w:rsid w:val="00266214"/>
    <w:rsid w:val="002662EE"/>
    <w:rsid w:val="00266483"/>
    <w:rsid w:val="0026649B"/>
    <w:rsid w:val="00266620"/>
    <w:rsid w:val="00266659"/>
    <w:rsid w:val="002667AE"/>
    <w:rsid w:val="002667C7"/>
    <w:rsid w:val="00266847"/>
    <w:rsid w:val="002668A2"/>
    <w:rsid w:val="002668BA"/>
    <w:rsid w:val="002669B2"/>
    <w:rsid w:val="00266B11"/>
    <w:rsid w:val="00266DD2"/>
    <w:rsid w:val="00266DEC"/>
    <w:rsid w:val="00266F48"/>
    <w:rsid w:val="00267170"/>
    <w:rsid w:val="00267173"/>
    <w:rsid w:val="002671B4"/>
    <w:rsid w:val="00267390"/>
    <w:rsid w:val="00267533"/>
    <w:rsid w:val="002677CE"/>
    <w:rsid w:val="00267953"/>
    <w:rsid w:val="002679D5"/>
    <w:rsid w:val="00267BE0"/>
    <w:rsid w:val="00267D1E"/>
    <w:rsid w:val="00267DB5"/>
    <w:rsid w:val="00267EB6"/>
    <w:rsid w:val="00267EB9"/>
    <w:rsid w:val="00270075"/>
    <w:rsid w:val="002700D9"/>
    <w:rsid w:val="00270141"/>
    <w:rsid w:val="00270237"/>
    <w:rsid w:val="002703A8"/>
    <w:rsid w:val="00270468"/>
    <w:rsid w:val="0027059A"/>
    <w:rsid w:val="002705BA"/>
    <w:rsid w:val="00270878"/>
    <w:rsid w:val="00270909"/>
    <w:rsid w:val="00270957"/>
    <w:rsid w:val="0027095A"/>
    <w:rsid w:val="0027095F"/>
    <w:rsid w:val="002709D4"/>
    <w:rsid w:val="002709DB"/>
    <w:rsid w:val="00270A26"/>
    <w:rsid w:val="00270A41"/>
    <w:rsid w:val="00270AAF"/>
    <w:rsid w:val="00270AEB"/>
    <w:rsid w:val="00270AFB"/>
    <w:rsid w:val="00270B7A"/>
    <w:rsid w:val="00270C6C"/>
    <w:rsid w:val="00270D00"/>
    <w:rsid w:val="00270D63"/>
    <w:rsid w:val="00270DBB"/>
    <w:rsid w:val="00270E8C"/>
    <w:rsid w:val="00271118"/>
    <w:rsid w:val="00271175"/>
    <w:rsid w:val="002711D2"/>
    <w:rsid w:val="00271258"/>
    <w:rsid w:val="0027134B"/>
    <w:rsid w:val="00271678"/>
    <w:rsid w:val="00271696"/>
    <w:rsid w:val="002716AF"/>
    <w:rsid w:val="0027173E"/>
    <w:rsid w:val="002718A8"/>
    <w:rsid w:val="002719F1"/>
    <w:rsid w:val="00271C4C"/>
    <w:rsid w:val="00271E18"/>
    <w:rsid w:val="00271E35"/>
    <w:rsid w:val="00271EA4"/>
    <w:rsid w:val="00271FCC"/>
    <w:rsid w:val="00272235"/>
    <w:rsid w:val="002722B6"/>
    <w:rsid w:val="0027240E"/>
    <w:rsid w:val="0027247E"/>
    <w:rsid w:val="002724F8"/>
    <w:rsid w:val="002725A6"/>
    <w:rsid w:val="002728AB"/>
    <w:rsid w:val="002728DA"/>
    <w:rsid w:val="002728E3"/>
    <w:rsid w:val="00272B33"/>
    <w:rsid w:val="00272CB7"/>
    <w:rsid w:val="00272D63"/>
    <w:rsid w:val="00272D72"/>
    <w:rsid w:val="00272D8F"/>
    <w:rsid w:val="00272DBD"/>
    <w:rsid w:val="00272EEF"/>
    <w:rsid w:val="00272EF8"/>
    <w:rsid w:val="00273010"/>
    <w:rsid w:val="00273088"/>
    <w:rsid w:val="002730AB"/>
    <w:rsid w:val="002730D6"/>
    <w:rsid w:val="00273251"/>
    <w:rsid w:val="00273257"/>
    <w:rsid w:val="00273502"/>
    <w:rsid w:val="002739A4"/>
    <w:rsid w:val="00273A92"/>
    <w:rsid w:val="00273BF6"/>
    <w:rsid w:val="00273E2F"/>
    <w:rsid w:val="002742C0"/>
    <w:rsid w:val="002743B0"/>
    <w:rsid w:val="00274585"/>
    <w:rsid w:val="0027468F"/>
    <w:rsid w:val="0027470A"/>
    <w:rsid w:val="00274852"/>
    <w:rsid w:val="00274C10"/>
    <w:rsid w:val="00274C59"/>
    <w:rsid w:val="00274CD6"/>
    <w:rsid w:val="00274F18"/>
    <w:rsid w:val="0027506A"/>
    <w:rsid w:val="002751B5"/>
    <w:rsid w:val="002751BE"/>
    <w:rsid w:val="00275322"/>
    <w:rsid w:val="0027541D"/>
    <w:rsid w:val="0027542C"/>
    <w:rsid w:val="002754B3"/>
    <w:rsid w:val="00275521"/>
    <w:rsid w:val="0027570A"/>
    <w:rsid w:val="0027579B"/>
    <w:rsid w:val="00275887"/>
    <w:rsid w:val="002758DB"/>
    <w:rsid w:val="00275970"/>
    <w:rsid w:val="002759EC"/>
    <w:rsid w:val="00275A4D"/>
    <w:rsid w:val="00275A98"/>
    <w:rsid w:val="00275BE2"/>
    <w:rsid w:val="00275F56"/>
    <w:rsid w:val="002762C3"/>
    <w:rsid w:val="00276390"/>
    <w:rsid w:val="002763AC"/>
    <w:rsid w:val="0027645D"/>
    <w:rsid w:val="00276571"/>
    <w:rsid w:val="00276764"/>
    <w:rsid w:val="00276994"/>
    <w:rsid w:val="00276A50"/>
    <w:rsid w:val="00276AA8"/>
    <w:rsid w:val="00276AC4"/>
    <w:rsid w:val="00276C05"/>
    <w:rsid w:val="00276D64"/>
    <w:rsid w:val="00276DFB"/>
    <w:rsid w:val="00276EEB"/>
    <w:rsid w:val="00276FA9"/>
    <w:rsid w:val="00276FCA"/>
    <w:rsid w:val="00276FCB"/>
    <w:rsid w:val="00277000"/>
    <w:rsid w:val="002770B3"/>
    <w:rsid w:val="0027723A"/>
    <w:rsid w:val="0027724A"/>
    <w:rsid w:val="00277304"/>
    <w:rsid w:val="0027742F"/>
    <w:rsid w:val="002774EF"/>
    <w:rsid w:val="00277509"/>
    <w:rsid w:val="00277700"/>
    <w:rsid w:val="002777B3"/>
    <w:rsid w:val="00277831"/>
    <w:rsid w:val="00277A40"/>
    <w:rsid w:val="00277AC6"/>
    <w:rsid w:val="00277B1E"/>
    <w:rsid w:val="00277B83"/>
    <w:rsid w:val="00277C45"/>
    <w:rsid w:val="00277CD9"/>
    <w:rsid w:val="00277D04"/>
    <w:rsid w:val="00277E24"/>
    <w:rsid w:val="00277F94"/>
    <w:rsid w:val="002803FE"/>
    <w:rsid w:val="0028065F"/>
    <w:rsid w:val="00280725"/>
    <w:rsid w:val="002807A7"/>
    <w:rsid w:val="00280854"/>
    <w:rsid w:val="00280859"/>
    <w:rsid w:val="002808FF"/>
    <w:rsid w:val="00280945"/>
    <w:rsid w:val="002809E9"/>
    <w:rsid w:val="00280A03"/>
    <w:rsid w:val="00280AEE"/>
    <w:rsid w:val="00280B27"/>
    <w:rsid w:val="00280D54"/>
    <w:rsid w:val="00280FE6"/>
    <w:rsid w:val="00281059"/>
    <w:rsid w:val="00281081"/>
    <w:rsid w:val="00281240"/>
    <w:rsid w:val="002812FA"/>
    <w:rsid w:val="00281361"/>
    <w:rsid w:val="0028140C"/>
    <w:rsid w:val="002815FB"/>
    <w:rsid w:val="00281752"/>
    <w:rsid w:val="0028188E"/>
    <w:rsid w:val="002818A5"/>
    <w:rsid w:val="00281906"/>
    <w:rsid w:val="00281979"/>
    <w:rsid w:val="00281982"/>
    <w:rsid w:val="002819FE"/>
    <w:rsid w:val="00281A0C"/>
    <w:rsid w:val="00281A66"/>
    <w:rsid w:val="00281BC5"/>
    <w:rsid w:val="00281C76"/>
    <w:rsid w:val="00281E5C"/>
    <w:rsid w:val="00281E87"/>
    <w:rsid w:val="00282019"/>
    <w:rsid w:val="0028207B"/>
    <w:rsid w:val="002820DF"/>
    <w:rsid w:val="002821AA"/>
    <w:rsid w:val="002821BD"/>
    <w:rsid w:val="00282406"/>
    <w:rsid w:val="00282607"/>
    <w:rsid w:val="0028264E"/>
    <w:rsid w:val="00282769"/>
    <w:rsid w:val="002827A8"/>
    <w:rsid w:val="00282865"/>
    <w:rsid w:val="00282A11"/>
    <w:rsid w:val="00282A3A"/>
    <w:rsid w:val="00282BED"/>
    <w:rsid w:val="00282CB6"/>
    <w:rsid w:val="00282E2A"/>
    <w:rsid w:val="0028303F"/>
    <w:rsid w:val="002831F5"/>
    <w:rsid w:val="0028322E"/>
    <w:rsid w:val="00283372"/>
    <w:rsid w:val="002833A1"/>
    <w:rsid w:val="00283418"/>
    <w:rsid w:val="002836DA"/>
    <w:rsid w:val="00283813"/>
    <w:rsid w:val="00283A4C"/>
    <w:rsid w:val="00283A4D"/>
    <w:rsid w:val="00283A8F"/>
    <w:rsid w:val="00283B3A"/>
    <w:rsid w:val="00283B47"/>
    <w:rsid w:val="00283BAA"/>
    <w:rsid w:val="00283C1E"/>
    <w:rsid w:val="00283EB1"/>
    <w:rsid w:val="00283F17"/>
    <w:rsid w:val="00283F73"/>
    <w:rsid w:val="0028414C"/>
    <w:rsid w:val="002841C6"/>
    <w:rsid w:val="00284274"/>
    <w:rsid w:val="00284305"/>
    <w:rsid w:val="00284356"/>
    <w:rsid w:val="002845A2"/>
    <w:rsid w:val="002845DC"/>
    <w:rsid w:val="0028474D"/>
    <w:rsid w:val="002847AC"/>
    <w:rsid w:val="00284B0F"/>
    <w:rsid w:val="00284EBE"/>
    <w:rsid w:val="00284F7D"/>
    <w:rsid w:val="00284FE5"/>
    <w:rsid w:val="0028500D"/>
    <w:rsid w:val="002850B0"/>
    <w:rsid w:val="002850B7"/>
    <w:rsid w:val="00285214"/>
    <w:rsid w:val="0028538E"/>
    <w:rsid w:val="00285601"/>
    <w:rsid w:val="00285A47"/>
    <w:rsid w:val="00285A81"/>
    <w:rsid w:val="00285B4E"/>
    <w:rsid w:val="00285C55"/>
    <w:rsid w:val="002862CE"/>
    <w:rsid w:val="002863E5"/>
    <w:rsid w:val="0028658C"/>
    <w:rsid w:val="002865D1"/>
    <w:rsid w:val="002865E4"/>
    <w:rsid w:val="00286600"/>
    <w:rsid w:val="00286A4D"/>
    <w:rsid w:val="00286BDC"/>
    <w:rsid w:val="00286C06"/>
    <w:rsid w:val="00286C8F"/>
    <w:rsid w:val="00286DFA"/>
    <w:rsid w:val="00286F17"/>
    <w:rsid w:val="00286F4A"/>
    <w:rsid w:val="00287010"/>
    <w:rsid w:val="002870AE"/>
    <w:rsid w:val="00287106"/>
    <w:rsid w:val="00287165"/>
    <w:rsid w:val="002872E4"/>
    <w:rsid w:val="00287371"/>
    <w:rsid w:val="002873FD"/>
    <w:rsid w:val="0028757D"/>
    <w:rsid w:val="002875CF"/>
    <w:rsid w:val="00287718"/>
    <w:rsid w:val="002878BD"/>
    <w:rsid w:val="00287A04"/>
    <w:rsid w:val="00287B10"/>
    <w:rsid w:val="00287B3F"/>
    <w:rsid w:val="00287C6F"/>
    <w:rsid w:val="00287C85"/>
    <w:rsid w:val="002900F1"/>
    <w:rsid w:val="00290353"/>
    <w:rsid w:val="002904AD"/>
    <w:rsid w:val="0029096D"/>
    <w:rsid w:val="002909C2"/>
    <w:rsid w:val="002909F8"/>
    <w:rsid w:val="00290A70"/>
    <w:rsid w:val="00290B22"/>
    <w:rsid w:val="00290B3F"/>
    <w:rsid w:val="00290C01"/>
    <w:rsid w:val="00290EC0"/>
    <w:rsid w:val="00290ED0"/>
    <w:rsid w:val="00290EE7"/>
    <w:rsid w:val="002910D3"/>
    <w:rsid w:val="0029134B"/>
    <w:rsid w:val="0029136A"/>
    <w:rsid w:val="002913A4"/>
    <w:rsid w:val="00291506"/>
    <w:rsid w:val="002915DB"/>
    <w:rsid w:val="002915E8"/>
    <w:rsid w:val="00291A17"/>
    <w:rsid w:val="00291D4C"/>
    <w:rsid w:val="00291F07"/>
    <w:rsid w:val="00292337"/>
    <w:rsid w:val="00292461"/>
    <w:rsid w:val="00292579"/>
    <w:rsid w:val="0029268B"/>
    <w:rsid w:val="0029269B"/>
    <w:rsid w:val="00292828"/>
    <w:rsid w:val="0029288D"/>
    <w:rsid w:val="00292896"/>
    <w:rsid w:val="00292929"/>
    <w:rsid w:val="002929B6"/>
    <w:rsid w:val="00292BAA"/>
    <w:rsid w:val="00292BC7"/>
    <w:rsid w:val="00292C8E"/>
    <w:rsid w:val="00292D57"/>
    <w:rsid w:val="00292E42"/>
    <w:rsid w:val="00292F6A"/>
    <w:rsid w:val="00292FB9"/>
    <w:rsid w:val="002930DE"/>
    <w:rsid w:val="00293146"/>
    <w:rsid w:val="002931DA"/>
    <w:rsid w:val="0029356A"/>
    <w:rsid w:val="0029365F"/>
    <w:rsid w:val="002936E2"/>
    <w:rsid w:val="00293712"/>
    <w:rsid w:val="00293960"/>
    <w:rsid w:val="00293990"/>
    <w:rsid w:val="00293A16"/>
    <w:rsid w:val="00293BFE"/>
    <w:rsid w:val="00293CE7"/>
    <w:rsid w:val="00293D2E"/>
    <w:rsid w:val="00294059"/>
    <w:rsid w:val="002940EC"/>
    <w:rsid w:val="00294580"/>
    <w:rsid w:val="00294598"/>
    <w:rsid w:val="0029460E"/>
    <w:rsid w:val="0029463E"/>
    <w:rsid w:val="002946D9"/>
    <w:rsid w:val="002947E0"/>
    <w:rsid w:val="00294C4A"/>
    <w:rsid w:val="00294ED5"/>
    <w:rsid w:val="00295004"/>
    <w:rsid w:val="002950A9"/>
    <w:rsid w:val="00295128"/>
    <w:rsid w:val="0029512C"/>
    <w:rsid w:val="00295167"/>
    <w:rsid w:val="00295339"/>
    <w:rsid w:val="00295341"/>
    <w:rsid w:val="00295389"/>
    <w:rsid w:val="002953D9"/>
    <w:rsid w:val="00295429"/>
    <w:rsid w:val="00295433"/>
    <w:rsid w:val="002954C0"/>
    <w:rsid w:val="002956C8"/>
    <w:rsid w:val="002958EB"/>
    <w:rsid w:val="00295933"/>
    <w:rsid w:val="00295B48"/>
    <w:rsid w:val="00295C83"/>
    <w:rsid w:val="00295DFB"/>
    <w:rsid w:val="002963F2"/>
    <w:rsid w:val="00296646"/>
    <w:rsid w:val="00296695"/>
    <w:rsid w:val="002968D6"/>
    <w:rsid w:val="0029692C"/>
    <w:rsid w:val="00296943"/>
    <w:rsid w:val="002969FC"/>
    <w:rsid w:val="00296A43"/>
    <w:rsid w:val="00296AFE"/>
    <w:rsid w:val="00296B60"/>
    <w:rsid w:val="00296B8D"/>
    <w:rsid w:val="00296CE2"/>
    <w:rsid w:val="00296CF2"/>
    <w:rsid w:val="00296CFA"/>
    <w:rsid w:val="00296E05"/>
    <w:rsid w:val="00296E31"/>
    <w:rsid w:val="00296F57"/>
    <w:rsid w:val="00296F5C"/>
    <w:rsid w:val="00296F92"/>
    <w:rsid w:val="00296FCA"/>
    <w:rsid w:val="00297180"/>
    <w:rsid w:val="002973AD"/>
    <w:rsid w:val="002973C1"/>
    <w:rsid w:val="002974E1"/>
    <w:rsid w:val="00297610"/>
    <w:rsid w:val="0029762B"/>
    <w:rsid w:val="002979EF"/>
    <w:rsid w:val="00297A1A"/>
    <w:rsid w:val="00297A60"/>
    <w:rsid w:val="00297AED"/>
    <w:rsid w:val="00297BA6"/>
    <w:rsid w:val="00297BFA"/>
    <w:rsid w:val="00297C3A"/>
    <w:rsid w:val="00297C83"/>
    <w:rsid w:val="00297D11"/>
    <w:rsid w:val="00297D4D"/>
    <w:rsid w:val="002A01C4"/>
    <w:rsid w:val="002A0306"/>
    <w:rsid w:val="002A031F"/>
    <w:rsid w:val="002A03CB"/>
    <w:rsid w:val="002A0554"/>
    <w:rsid w:val="002A063D"/>
    <w:rsid w:val="002A0800"/>
    <w:rsid w:val="002A082A"/>
    <w:rsid w:val="002A0C1F"/>
    <w:rsid w:val="002A1143"/>
    <w:rsid w:val="002A1731"/>
    <w:rsid w:val="002A177E"/>
    <w:rsid w:val="002A1861"/>
    <w:rsid w:val="002A18F8"/>
    <w:rsid w:val="002A1A0B"/>
    <w:rsid w:val="002A1A50"/>
    <w:rsid w:val="002A1B3D"/>
    <w:rsid w:val="002A1BC0"/>
    <w:rsid w:val="002A1BD5"/>
    <w:rsid w:val="002A1C04"/>
    <w:rsid w:val="002A1D5D"/>
    <w:rsid w:val="002A1DF1"/>
    <w:rsid w:val="002A1EFB"/>
    <w:rsid w:val="002A1F03"/>
    <w:rsid w:val="002A1F2D"/>
    <w:rsid w:val="002A2094"/>
    <w:rsid w:val="002A2177"/>
    <w:rsid w:val="002A2212"/>
    <w:rsid w:val="002A2500"/>
    <w:rsid w:val="002A2758"/>
    <w:rsid w:val="002A27FC"/>
    <w:rsid w:val="002A2B35"/>
    <w:rsid w:val="002A2CEF"/>
    <w:rsid w:val="002A2E57"/>
    <w:rsid w:val="002A2F2F"/>
    <w:rsid w:val="002A2FA8"/>
    <w:rsid w:val="002A30B8"/>
    <w:rsid w:val="002A30C7"/>
    <w:rsid w:val="002A33E8"/>
    <w:rsid w:val="002A3413"/>
    <w:rsid w:val="002A3467"/>
    <w:rsid w:val="002A34CD"/>
    <w:rsid w:val="002A35E7"/>
    <w:rsid w:val="002A3754"/>
    <w:rsid w:val="002A3806"/>
    <w:rsid w:val="002A3C9C"/>
    <w:rsid w:val="002A3CA9"/>
    <w:rsid w:val="002A4135"/>
    <w:rsid w:val="002A426F"/>
    <w:rsid w:val="002A446C"/>
    <w:rsid w:val="002A45D2"/>
    <w:rsid w:val="002A4614"/>
    <w:rsid w:val="002A46E3"/>
    <w:rsid w:val="002A46EF"/>
    <w:rsid w:val="002A475C"/>
    <w:rsid w:val="002A4ED4"/>
    <w:rsid w:val="002A4ED5"/>
    <w:rsid w:val="002A531D"/>
    <w:rsid w:val="002A5452"/>
    <w:rsid w:val="002A551F"/>
    <w:rsid w:val="002A55BF"/>
    <w:rsid w:val="002A5633"/>
    <w:rsid w:val="002A5636"/>
    <w:rsid w:val="002A5682"/>
    <w:rsid w:val="002A5823"/>
    <w:rsid w:val="002A58A4"/>
    <w:rsid w:val="002A5B8C"/>
    <w:rsid w:val="002A5D80"/>
    <w:rsid w:val="002A5DAA"/>
    <w:rsid w:val="002A5E65"/>
    <w:rsid w:val="002A5F8E"/>
    <w:rsid w:val="002A61CC"/>
    <w:rsid w:val="002A633D"/>
    <w:rsid w:val="002A6467"/>
    <w:rsid w:val="002A66B1"/>
    <w:rsid w:val="002A69A4"/>
    <w:rsid w:val="002A6BDD"/>
    <w:rsid w:val="002A6BFD"/>
    <w:rsid w:val="002A6DB9"/>
    <w:rsid w:val="002A6E0F"/>
    <w:rsid w:val="002A6E17"/>
    <w:rsid w:val="002A6FC0"/>
    <w:rsid w:val="002A70F0"/>
    <w:rsid w:val="002A713B"/>
    <w:rsid w:val="002A72A3"/>
    <w:rsid w:val="002A73B0"/>
    <w:rsid w:val="002A7424"/>
    <w:rsid w:val="002A7609"/>
    <w:rsid w:val="002A7810"/>
    <w:rsid w:val="002A79F4"/>
    <w:rsid w:val="002A7A01"/>
    <w:rsid w:val="002A7C90"/>
    <w:rsid w:val="002A7E7F"/>
    <w:rsid w:val="002B0182"/>
    <w:rsid w:val="002B06E9"/>
    <w:rsid w:val="002B0729"/>
    <w:rsid w:val="002B0758"/>
    <w:rsid w:val="002B07E4"/>
    <w:rsid w:val="002B0A8A"/>
    <w:rsid w:val="002B0F5A"/>
    <w:rsid w:val="002B1079"/>
    <w:rsid w:val="002B118D"/>
    <w:rsid w:val="002B1249"/>
    <w:rsid w:val="002B1332"/>
    <w:rsid w:val="002B1389"/>
    <w:rsid w:val="002B1449"/>
    <w:rsid w:val="002B1563"/>
    <w:rsid w:val="002B15F0"/>
    <w:rsid w:val="002B1865"/>
    <w:rsid w:val="002B1C36"/>
    <w:rsid w:val="002B1C78"/>
    <w:rsid w:val="002B1CCD"/>
    <w:rsid w:val="002B1D5A"/>
    <w:rsid w:val="002B1E2F"/>
    <w:rsid w:val="002B1E8F"/>
    <w:rsid w:val="002B212A"/>
    <w:rsid w:val="002B2157"/>
    <w:rsid w:val="002B216F"/>
    <w:rsid w:val="002B2253"/>
    <w:rsid w:val="002B2254"/>
    <w:rsid w:val="002B22E8"/>
    <w:rsid w:val="002B2515"/>
    <w:rsid w:val="002B25A6"/>
    <w:rsid w:val="002B25CA"/>
    <w:rsid w:val="002B2690"/>
    <w:rsid w:val="002B269B"/>
    <w:rsid w:val="002B2829"/>
    <w:rsid w:val="002B28AC"/>
    <w:rsid w:val="002B28E7"/>
    <w:rsid w:val="002B2A75"/>
    <w:rsid w:val="002B2C50"/>
    <w:rsid w:val="002B2C64"/>
    <w:rsid w:val="002B2DB8"/>
    <w:rsid w:val="002B2F44"/>
    <w:rsid w:val="002B2FFF"/>
    <w:rsid w:val="002B301F"/>
    <w:rsid w:val="002B3033"/>
    <w:rsid w:val="002B3058"/>
    <w:rsid w:val="002B30C3"/>
    <w:rsid w:val="002B3106"/>
    <w:rsid w:val="002B32BA"/>
    <w:rsid w:val="002B3634"/>
    <w:rsid w:val="002B36C2"/>
    <w:rsid w:val="002B381C"/>
    <w:rsid w:val="002B3C10"/>
    <w:rsid w:val="002B3C3A"/>
    <w:rsid w:val="002B3D64"/>
    <w:rsid w:val="002B3D82"/>
    <w:rsid w:val="002B3E67"/>
    <w:rsid w:val="002B4155"/>
    <w:rsid w:val="002B41B1"/>
    <w:rsid w:val="002B41FF"/>
    <w:rsid w:val="002B4202"/>
    <w:rsid w:val="002B423D"/>
    <w:rsid w:val="002B432A"/>
    <w:rsid w:val="002B454C"/>
    <w:rsid w:val="002B4666"/>
    <w:rsid w:val="002B4C60"/>
    <w:rsid w:val="002B4C66"/>
    <w:rsid w:val="002B4E1A"/>
    <w:rsid w:val="002B4E27"/>
    <w:rsid w:val="002B525E"/>
    <w:rsid w:val="002B5314"/>
    <w:rsid w:val="002B544D"/>
    <w:rsid w:val="002B5483"/>
    <w:rsid w:val="002B5567"/>
    <w:rsid w:val="002B5701"/>
    <w:rsid w:val="002B57A1"/>
    <w:rsid w:val="002B5B22"/>
    <w:rsid w:val="002B5C48"/>
    <w:rsid w:val="002B5E85"/>
    <w:rsid w:val="002B5F4C"/>
    <w:rsid w:val="002B5FCD"/>
    <w:rsid w:val="002B60A7"/>
    <w:rsid w:val="002B60C4"/>
    <w:rsid w:val="002B643E"/>
    <w:rsid w:val="002B6441"/>
    <w:rsid w:val="002B6444"/>
    <w:rsid w:val="002B64B8"/>
    <w:rsid w:val="002B64DA"/>
    <w:rsid w:val="002B658C"/>
    <w:rsid w:val="002B6844"/>
    <w:rsid w:val="002B68E5"/>
    <w:rsid w:val="002B6AC3"/>
    <w:rsid w:val="002B6B0A"/>
    <w:rsid w:val="002B6C29"/>
    <w:rsid w:val="002B6F70"/>
    <w:rsid w:val="002B6FEF"/>
    <w:rsid w:val="002B7007"/>
    <w:rsid w:val="002B729B"/>
    <w:rsid w:val="002B72D9"/>
    <w:rsid w:val="002B7420"/>
    <w:rsid w:val="002B74D7"/>
    <w:rsid w:val="002B7571"/>
    <w:rsid w:val="002B76CB"/>
    <w:rsid w:val="002B7872"/>
    <w:rsid w:val="002B78EB"/>
    <w:rsid w:val="002B7954"/>
    <w:rsid w:val="002B7CBE"/>
    <w:rsid w:val="002B7CF9"/>
    <w:rsid w:val="002B7D80"/>
    <w:rsid w:val="002B7E3A"/>
    <w:rsid w:val="002B7EF0"/>
    <w:rsid w:val="002B7F39"/>
    <w:rsid w:val="002C005F"/>
    <w:rsid w:val="002C0108"/>
    <w:rsid w:val="002C055E"/>
    <w:rsid w:val="002C0621"/>
    <w:rsid w:val="002C0902"/>
    <w:rsid w:val="002C0945"/>
    <w:rsid w:val="002C0A06"/>
    <w:rsid w:val="002C0A51"/>
    <w:rsid w:val="002C0A71"/>
    <w:rsid w:val="002C0BB2"/>
    <w:rsid w:val="002C0C01"/>
    <w:rsid w:val="002C0E87"/>
    <w:rsid w:val="002C10DA"/>
    <w:rsid w:val="002C1161"/>
    <w:rsid w:val="002C1324"/>
    <w:rsid w:val="002C14C7"/>
    <w:rsid w:val="002C1510"/>
    <w:rsid w:val="002C1615"/>
    <w:rsid w:val="002C1654"/>
    <w:rsid w:val="002C1940"/>
    <w:rsid w:val="002C1CEF"/>
    <w:rsid w:val="002C1D03"/>
    <w:rsid w:val="002C1DD6"/>
    <w:rsid w:val="002C1EA5"/>
    <w:rsid w:val="002C1ED1"/>
    <w:rsid w:val="002C1EDD"/>
    <w:rsid w:val="002C2068"/>
    <w:rsid w:val="002C21FA"/>
    <w:rsid w:val="002C22C1"/>
    <w:rsid w:val="002C22EF"/>
    <w:rsid w:val="002C2355"/>
    <w:rsid w:val="002C244D"/>
    <w:rsid w:val="002C25A7"/>
    <w:rsid w:val="002C2647"/>
    <w:rsid w:val="002C2676"/>
    <w:rsid w:val="002C28BC"/>
    <w:rsid w:val="002C2936"/>
    <w:rsid w:val="002C29C6"/>
    <w:rsid w:val="002C2A5E"/>
    <w:rsid w:val="002C2AE3"/>
    <w:rsid w:val="002C2DA6"/>
    <w:rsid w:val="002C2EFA"/>
    <w:rsid w:val="002C2F37"/>
    <w:rsid w:val="002C2F9E"/>
    <w:rsid w:val="002C314F"/>
    <w:rsid w:val="002C33CE"/>
    <w:rsid w:val="002C3430"/>
    <w:rsid w:val="002C353B"/>
    <w:rsid w:val="002C358B"/>
    <w:rsid w:val="002C365D"/>
    <w:rsid w:val="002C3665"/>
    <w:rsid w:val="002C3720"/>
    <w:rsid w:val="002C3A48"/>
    <w:rsid w:val="002C3A82"/>
    <w:rsid w:val="002C3B1C"/>
    <w:rsid w:val="002C3B4B"/>
    <w:rsid w:val="002C3C05"/>
    <w:rsid w:val="002C3CAE"/>
    <w:rsid w:val="002C3E4D"/>
    <w:rsid w:val="002C3FDB"/>
    <w:rsid w:val="002C418A"/>
    <w:rsid w:val="002C4211"/>
    <w:rsid w:val="002C469B"/>
    <w:rsid w:val="002C494C"/>
    <w:rsid w:val="002C4A70"/>
    <w:rsid w:val="002C4B02"/>
    <w:rsid w:val="002C4B7B"/>
    <w:rsid w:val="002C4B7E"/>
    <w:rsid w:val="002C4BF7"/>
    <w:rsid w:val="002C4C19"/>
    <w:rsid w:val="002C4E02"/>
    <w:rsid w:val="002C4E62"/>
    <w:rsid w:val="002C50EC"/>
    <w:rsid w:val="002C5218"/>
    <w:rsid w:val="002C5384"/>
    <w:rsid w:val="002C548C"/>
    <w:rsid w:val="002C553D"/>
    <w:rsid w:val="002C56AA"/>
    <w:rsid w:val="002C5756"/>
    <w:rsid w:val="002C5865"/>
    <w:rsid w:val="002C5A84"/>
    <w:rsid w:val="002C5A87"/>
    <w:rsid w:val="002C5B35"/>
    <w:rsid w:val="002C5D45"/>
    <w:rsid w:val="002C5EF2"/>
    <w:rsid w:val="002C5F2E"/>
    <w:rsid w:val="002C5FAB"/>
    <w:rsid w:val="002C6008"/>
    <w:rsid w:val="002C6067"/>
    <w:rsid w:val="002C610C"/>
    <w:rsid w:val="002C6131"/>
    <w:rsid w:val="002C61D3"/>
    <w:rsid w:val="002C6269"/>
    <w:rsid w:val="002C6341"/>
    <w:rsid w:val="002C66D2"/>
    <w:rsid w:val="002C66F1"/>
    <w:rsid w:val="002C68C6"/>
    <w:rsid w:val="002C6949"/>
    <w:rsid w:val="002C6950"/>
    <w:rsid w:val="002C6AFC"/>
    <w:rsid w:val="002C6C06"/>
    <w:rsid w:val="002C6CA6"/>
    <w:rsid w:val="002C719E"/>
    <w:rsid w:val="002C7333"/>
    <w:rsid w:val="002C74D3"/>
    <w:rsid w:val="002C75AB"/>
    <w:rsid w:val="002C75EB"/>
    <w:rsid w:val="002C763C"/>
    <w:rsid w:val="002C77E0"/>
    <w:rsid w:val="002C7D0F"/>
    <w:rsid w:val="002C7D5E"/>
    <w:rsid w:val="002C7E2E"/>
    <w:rsid w:val="002C7E35"/>
    <w:rsid w:val="002D0045"/>
    <w:rsid w:val="002D019F"/>
    <w:rsid w:val="002D01A0"/>
    <w:rsid w:val="002D0218"/>
    <w:rsid w:val="002D0241"/>
    <w:rsid w:val="002D0511"/>
    <w:rsid w:val="002D05A0"/>
    <w:rsid w:val="002D06D3"/>
    <w:rsid w:val="002D0704"/>
    <w:rsid w:val="002D0903"/>
    <w:rsid w:val="002D09CD"/>
    <w:rsid w:val="002D0ADA"/>
    <w:rsid w:val="002D0B34"/>
    <w:rsid w:val="002D0B76"/>
    <w:rsid w:val="002D0CA0"/>
    <w:rsid w:val="002D0D09"/>
    <w:rsid w:val="002D0D72"/>
    <w:rsid w:val="002D0F26"/>
    <w:rsid w:val="002D1020"/>
    <w:rsid w:val="002D1056"/>
    <w:rsid w:val="002D10DE"/>
    <w:rsid w:val="002D10EE"/>
    <w:rsid w:val="002D10F9"/>
    <w:rsid w:val="002D1198"/>
    <w:rsid w:val="002D1293"/>
    <w:rsid w:val="002D12E9"/>
    <w:rsid w:val="002D136A"/>
    <w:rsid w:val="002D13B8"/>
    <w:rsid w:val="002D142F"/>
    <w:rsid w:val="002D14A8"/>
    <w:rsid w:val="002D1503"/>
    <w:rsid w:val="002D18C2"/>
    <w:rsid w:val="002D18F2"/>
    <w:rsid w:val="002D1944"/>
    <w:rsid w:val="002D19BA"/>
    <w:rsid w:val="002D19D1"/>
    <w:rsid w:val="002D1A37"/>
    <w:rsid w:val="002D1BDF"/>
    <w:rsid w:val="002D1C60"/>
    <w:rsid w:val="002D1C70"/>
    <w:rsid w:val="002D1E79"/>
    <w:rsid w:val="002D1F88"/>
    <w:rsid w:val="002D228E"/>
    <w:rsid w:val="002D22ED"/>
    <w:rsid w:val="002D253F"/>
    <w:rsid w:val="002D27A2"/>
    <w:rsid w:val="002D27B9"/>
    <w:rsid w:val="002D27D5"/>
    <w:rsid w:val="002D2824"/>
    <w:rsid w:val="002D2860"/>
    <w:rsid w:val="002D28B8"/>
    <w:rsid w:val="002D2916"/>
    <w:rsid w:val="002D2BE9"/>
    <w:rsid w:val="002D2C41"/>
    <w:rsid w:val="002D2C6E"/>
    <w:rsid w:val="002D2C96"/>
    <w:rsid w:val="002D2E59"/>
    <w:rsid w:val="002D2EB6"/>
    <w:rsid w:val="002D2F2B"/>
    <w:rsid w:val="002D3024"/>
    <w:rsid w:val="002D302A"/>
    <w:rsid w:val="002D31FE"/>
    <w:rsid w:val="002D327D"/>
    <w:rsid w:val="002D3379"/>
    <w:rsid w:val="002D33ED"/>
    <w:rsid w:val="002D358D"/>
    <w:rsid w:val="002D3688"/>
    <w:rsid w:val="002D3695"/>
    <w:rsid w:val="002D373C"/>
    <w:rsid w:val="002D3780"/>
    <w:rsid w:val="002D38EF"/>
    <w:rsid w:val="002D3963"/>
    <w:rsid w:val="002D3990"/>
    <w:rsid w:val="002D3B74"/>
    <w:rsid w:val="002D3C6F"/>
    <w:rsid w:val="002D3D2E"/>
    <w:rsid w:val="002D3DB1"/>
    <w:rsid w:val="002D3E9B"/>
    <w:rsid w:val="002D3EC7"/>
    <w:rsid w:val="002D417D"/>
    <w:rsid w:val="002D4368"/>
    <w:rsid w:val="002D43B1"/>
    <w:rsid w:val="002D4489"/>
    <w:rsid w:val="002D4563"/>
    <w:rsid w:val="002D4730"/>
    <w:rsid w:val="002D4B65"/>
    <w:rsid w:val="002D4B78"/>
    <w:rsid w:val="002D4D30"/>
    <w:rsid w:val="002D4E76"/>
    <w:rsid w:val="002D4F0A"/>
    <w:rsid w:val="002D525C"/>
    <w:rsid w:val="002D529C"/>
    <w:rsid w:val="002D529D"/>
    <w:rsid w:val="002D5313"/>
    <w:rsid w:val="002D5443"/>
    <w:rsid w:val="002D549E"/>
    <w:rsid w:val="002D5730"/>
    <w:rsid w:val="002D581B"/>
    <w:rsid w:val="002D58A6"/>
    <w:rsid w:val="002D5945"/>
    <w:rsid w:val="002D608E"/>
    <w:rsid w:val="002D63D6"/>
    <w:rsid w:val="002D6428"/>
    <w:rsid w:val="002D6512"/>
    <w:rsid w:val="002D652D"/>
    <w:rsid w:val="002D6712"/>
    <w:rsid w:val="002D671A"/>
    <w:rsid w:val="002D67D0"/>
    <w:rsid w:val="002D6956"/>
    <w:rsid w:val="002D69D3"/>
    <w:rsid w:val="002D6A5D"/>
    <w:rsid w:val="002D6BE0"/>
    <w:rsid w:val="002D6CDD"/>
    <w:rsid w:val="002D6D25"/>
    <w:rsid w:val="002D6E8E"/>
    <w:rsid w:val="002D7099"/>
    <w:rsid w:val="002D73A2"/>
    <w:rsid w:val="002D74FA"/>
    <w:rsid w:val="002D75BB"/>
    <w:rsid w:val="002D763A"/>
    <w:rsid w:val="002D76B2"/>
    <w:rsid w:val="002D7770"/>
    <w:rsid w:val="002D793F"/>
    <w:rsid w:val="002D7A06"/>
    <w:rsid w:val="002D7C7B"/>
    <w:rsid w:val="002D7C83"/>
    <w:rsid w:val="002D7F00"/>
    <w:rsid w:val="002D7F92"/>
    <w:rsid w:val="002E02C5"/>
    <w:rsid w:val="002E0463"/>
    <w:rsid w:val="002E054B"/>
    <w:rsid w:val="002E0584"/>
    <w:rsid w:val="002E069E"/>
    <w:rsid w:val="002E06F3"/>
    <w:rsid w:val="002E0A02"/>
    <w:rsid w:val="002E0A70"/>
    <w:rsid w:val="002E0F91"/>
    <w:rsid w:val="002E1326"/>
    <w:rsid w:val="002E1329"/>
    <w:rsid w:val="002E1351"/>
    <w:rsid w:val="002E149A"/>
    <w:rsid w:val="002E1552"/>
    <w:rsid w:val="002E15C4"/>
    <w:rsid w:val="002E17B6"/>
    <w:rsid w:val="002E17CB"/>
    <w:rsid w:val="002E187F"/>
    <w:rsid w:val="002E1893"/>
    <w:rsid w:val="002E1B55"/>
    <w:rsid w:val="002E1BCA"/>
    <w:rsid w:val="002E1C06"/>
    <w:rsid w:val="002E1D64"/>
    <w:rsid w:val="002E1DE0"/>
    <w:rsid w:val="002E1EAD"/>
    <w:rsid w:val="002E2134"/>
    <w:rsid w:val="002E2147"/>
    <w:rsid w:val="002E21C0"/>
    <w:rsid w:val="002E2293"/>
    <w:rsid w:val="002E2296"/>
    <w:rsid w:val="002E23C7"/>
    <w:rsid w:val="002E2561"/>
    <w:rsid w:val="002E2942"/>
    <w:rsid w:val="002E2A93"/>
    <w:rsid w:val="002E2D5A"/>
    <w:rsid w:val="002E2E71"/>
    <w:rsid w:val="002E2ECB"/>
    <w:rsid w:val="002E301D"/>
    <w:rsid w:val="002E3121"/>
    <w:rsid w:val="002E312E"/>
    <w:rsid w:val="002E318E"/>
    <w:rsid w:val="002E3368"/>
    <w:rsid w:val="002E342B"/>
    <w:rsid w:val="002E348E"/>
    <w:rsid w:val="002E3576"/>
    <w:rsid w:val="002E3582"/>
    <w:rsid w:val="002E3AB9"/>
    <w:rsid w:val="002E3ABA"/>
    <w:rsid w:val="002E3AF5"/>
    <w:rsid w:val="002E3BE8"/>
    <w:rsid w:val="002E3DFA"/>
    <w:rsid w:val="002E3EBD"/>
    <w:rsid w:val="002E3FE0"/>
    <w:rsid w:val="002E4062"/>
    <w:rsid w:val="002E428B"/>
    <w:rsid w:val="002E4392"/>
    <w:rsid w:val="002E4476"/>
    <w:rsid w:val="002E4480"/>
    <w:rsid w:val="002E4576"/>
    <w:rsid w:val="002E45F8"/>
    <w:rsid w:val="002E4C34"/>
    <w:rsid w:val="002E4C7F"/>
    <w:rsid w:val="002E4D41"/>
    <w:rsid w:val="002E4DA9"/>
    <w:rsid w:val="002E4DBB"/>
    <w:rsid w:val="002E4FB0"/>
    <w:rsid w:val="002E5162"/>
    <w:rsid w:val="002E5373"/>
    <w:rsid w:val="002E548C"/>
    <w:rsid w:val="002E54CB"/>
    <w:rsid w:val="002E5641"/>
    <w:rsid w:val="002E57C2"/>
    <w:rsid w:val="002E594E"/>
    <w:rsid w:val="002E59AB"/>
    <w:rsid w:val="002E5C62"/>
    <w:rsid w:val="002E5CCF"/>
    <w:rsid w:val="002E5F5C"/>
    <w:rsid w:val="002E5F64"/>
    <w:rsid w:val="002E5F6E"/>
    <w:rsid w:val="002E6338"/>
    <w:rsid w:val="002E6414"/>
    <w:rsid w:val="002E64C9"/>
    <w:rsid w:val="002E655D"/>
    <w:rsid w:val="002E6584"/>
    <w:rsid w:val="002E6769"/>
    <w:rsid w:val="002E68C6"/>
    <w:rsid w:val="002E6954"/>
    <w:rsid w:val="002E696D"/>
    <w:rsid w:val="002E69C2"/>
    <w:rsid w:val="002E6A97"/>
    <w:rsid w:val="002E6B80"/>
    <w:rsid w:val="002E6CBD"/>
    <w:rsid w:val="002E6CFA"/>
    <w:rsid w:val="002E6F08"/>
    <w:rsid w:val="002E6FBB"/>
    <w:rsid w:val="002E7149"/>
    <w:rsid w:val="002E71E3"/>
    <w:rsid w:val="002E72AC"/>
    <w:rsid w:val="002E73F1"/>
    <w:rsid w:val="002E74DB"/>
    <w:rsid w:val="002E7688"/>
    <w:rsid w:val="002E7719"/>
    <w:rsid w:val="002E7815"/>
    <w:rsid w:val="002E79CF"/>
    <w:rsid w:val="002E7C80"/>
    <w:rsid w:val="002E7EE1"/>
    <w:rsid w:val="002E7F8D"/>
    <w:rsid w:val="002F001D"/>
    <w:rsid w:val="002F0065"/>
    <w:rsid w:val="002F0125"/>
    <w:rsid w:val="002F014E"/>
    <w:rsid w:val="002F0276"/>
    <w:rsid w:val="002F034C"/>
    <w:rsid w:val="002F036E"/>
    <w:rsid w:val="002F03C8"/>
    <w:rsid w:val="002F045D"/>
    <w:rsid w:val="002F053F"/>
    <w:rsid w:val="002F0621"/>
    <w:rsid w:val="002F0686"/>
    <w:rsid w:val="002F082C"/>
    <w:rsid w:val="002F086E"/>
    <w:rsid w:val="002F0A1B"/>
    <w:rsid w:val="002F0B5D"/>
    <w:rsid w:val="002F0BFC"/>
    <w:rsid w:val="002F0CBE"/>
    <w:rsid w:val="002F0CE8"/>
    <w:rsid w:val="002F0DC9"/>
    <w:rsid w:val="002F0DE4"/>
    <w:rsid w:val="002F0EBD"/>
    <w:rsid w:val="002F114B"/>
    <w:rsid w:val="002F127B"/>
    <w:rsid w:val="002F14B8"/>
    <w:rsid w:val="002F1557"/>
    <w:rsid w:val="002F15FA"/>
    <w:rsid w:val="002F174D"/>
    <w:rsid w:val="002F1B77"/>
    <w:rsid w:val="002F1B9B"/>
    <w:rsid w:val="002F1D15"/>
    <w:rsid w:val="002F1ED6"/>
    <w:rsid w:val="002F1F91"/>
    <w:rsid w:val="002F1FD5"/>
    <w:rsid w:val="002F21AA"/>
    <w:rsid w:val="002F23B8"/>
    <w:rsid w:val="002F2411"/>
    <w:rsid w:val="002F262C"/>
    <w:rsid w:val="002F270A"/>
    <w:rsid w:val="002F281B"/>
    <w:rsid w:val="002F2833"/>
    <w:rsid w:val="002F28AE"/>
    <w:rsid w:val="002F2949"/>
    <w:rsid w:val="002F299F"/>
    <w:rsid w:val="002F2A8E"/>
    <w:rsid w:val="002F309F"/>
    <w:rsid w:val="002F3114"/>
    <w:rsid w:val="002F312D"/>
    <w:rsid w:val="002F3229"/>
    <w:rsid w:val="002F336E"/>
    <w:rsid w:val="002F33B9"/>
    <w:rsid w:val="002F349C"/>
    <w:rsid w:val="002F354F"/>
    <w:rsid w:val="002F35D2"/>
    <w:rsid w:val="002F362C"/>
    <w:rsid w:val="002F3673"/>
    <w:rsid w:val="002F38EF"/>
    <w:rsid w:val="002F3923"/>
    <w:rsid w:val="002F41C1"/>
    <w:rsid w:val="002F44C9"/>
    <w:rsid w:val="002F44D8"/>
    <w:rsid w:val="002F46E4"/>
    <w:rsid w:val="002F48C1"/>
    <w:rsid w:val="002F4C81"/>
    <w:rsid w:val="002F4F0F"/>
    <w:rsid w:val="002F51FA"/>
    <w:rsid w:val="002F54A6"/>
    <w:rsid w:val="002F54F1"/>
    <w:rsid w:val="002F5568"/>
    <w:rsid w:val="002F5635"/>
    <w:rsid w:val="002F56E5"/>
    <w:rsid w:val="002F58EE"/>
    <w:rsid w:val="002F5B5C"/>
    <w:rsid w:val="002F5B94"/>
    <w:rsid w:val="002F5C88"/>
    <w:rsid w:val="002F5D08"/>
    <w:rsid w:val="002F5E5E"/>
    <w:rsid w:val="002F5F45"/>
    <w:rsid w:val="002F5F9C"/>
    <w:rsid w:val="002F6371"/>
    <w:rsid w:val="002F63F6"/>
    <w:rsid w:val="002F64A0"/>
    <w:rsid w:val="002F65B4"/>
    <w:rsid w:val="002F68FE"/>
    <w:rsid w:val="002F690B"/>
    <w:rsid w:val="002F6A4D"/>
    <w:rsid w:val="002F6BA8"/>
    <w:rsid w:val="002F6EB9"/>
    <w:rsid w:val="002F7032"/>
    <w:rsid w:val="002F705B"/>
    <w:rsid w:val="002F7151"/>
    <w:rsid w:val="002F729F"/>
    <w:rsid w:val="002F73DE"/>
    <w:rsid w:val="002F743F"/>
    <w:rsid w:val="002F7454"/>
    <w:rsid w:val="002F74D4"/>
    <w:rsid w:val="002F7702"/>
    <w:rsid w:val="002F7784"/>
    <w:rsid w:val="002F77E8"/>
    <w:rsid w:val="002F78AC"/>
    <w:rsid w:val="002F7B5D"/>
    <w:rsid w:val="002F7BFB"/>
    <w:rsid w:val="002F7D25"/>
    <w:rsid w:val="002F7EBC"/>
    <w:rsid w:val="002F7F41"/>
    <w:rsid w:val="002F7F8F"/>
    <w:rsid w:val="00300056"/>
    <w:rsid w:val="003000D6"/>
    <w:rsid w:val="00300260"/>
    <w:rsid w:val="003002CA"/>
    <w:rsid w:val="00300359"/>
    <w:rsid w:val="0030045A"/>
    <w:rsid w:val="003004FF"/>
    <w:rsid w:val="00300503"/>
    <w:rsid w:val="0030053C"/>
    <w:rsid w:val="00300A55"/>
    <w:rsid w:val="00301008"/>
    <w:rsid w:val="00301065"/>
    <w:rsid w:val="003010A4"/>
    <w:rsid w:val="00301496"/>
    <w:rsid w:val="0030172E"/>
    <w:rsid w:val="003017E7"/>
    <w:rsid w:val="003018AF"/>
    <w:rsid w:val="00301C33"/>
    <w:rsid w:val="00301D81"/>
    <w:rsid w:val="003020AB"/>
    <w:rsid w:val="003020EF"/>
    <w:rsid w:val="00302137"/>
    <w:rsid w:val="0030236A"/>
    <w:rsid w:val="003024DB"/>
    <w:rsid w:val="003025BB"/>
    <w:rsid w:val="003027CC"/>
    <w:rsid w:val="00302A0F"/>
    <w:rsid w:val="00302A66"/>
    <w:rsid w:val="00302B48"/>
    <w:rsid w:val="00302C6B"/>
    <w:rsid w:val="00302ED9"/>
    <w:rsid w:val="00302FF7"/>
    <w:rsid w:val="00303017"/>
    <w:rsid w:val="003030FE"/>
    <w:rsid w:val="00303365"/>
    <w:rsid w:val="0030339E"/>
    <w:rsid w:val="00303466"/>
    <w:rsid w:val="0030358B"/>
    <w:rsid w:val="003035D0"/>
    <w:rsid w:val="003036CA"/>
    <w:rsid w:val="00303708"/>
    <w:rsid w:val="003037EC"/>
    <w:rsid w:val="00303A4D"/>
    <w:rsid w:val="00303B78"/>
    <w:rsid w:val="00303D35"/>
    <w:rsid w:val="00303EAC"/>
    <w:rsid w:val="003040D0"/>
    <w:rsid w:val="00304111"/>
    <w:rsid w:val="003041A5"/>
    <w:rsid w:val="00304275"/>
    <w:rsid w:val="00304316"/>
    <w:rsid w:val="00304353"/>
    <w:rsid w:val="0030446A"/>
    <w:rsid w:val="003044EE"/>
    <w:rsid w:val="0030462C"/>
    <w:rsid w:val="0030465E"/>
    <w:rsid w:val="00304699"/>
    <w:rsid w:val="00304880"/>
    <w:rsid w:val="0030488E"/>
    <w:rsid w:val="00304A63"/>
    <w:rsid w:val="00304B56"/>
    <w:rsid w:val="00304C37"/>
    <w:rsid w:val="00304C8B"/>
    <w:rsid w:val="00304CC0"/>
    <w:rsid w:val="00304DA7"/>
    <w:rsid w:val="00304E42"/>
    <w:rsid w:val="00304E58"/>
    <w:rsid w:val="00304FA2"/>
    <w:rsid w:val="00305029"/>
    <w:rsid w:val="0030504F"/>
    <w:rsid w:val="00305396"/>
    <w:rsid w:val="003053B5"/>
    <w:rsid w:val="003055E8"/>
    <w:rsid w:val="0030564E"/>
    <w:rsid w:val="0030575E"/>
    <w:rsid w:val="00305763"/>
    <w:rsid w:val="00305AC3"/>
    <w:rsid w:val="00305C1C"/>
    <w:rsid w:val="00305D5B"/>
    <w:rsid w:val="00305F00"/>
    <w:rsid w:val="00305F75"/>
    <w:rsid w:val="00305F8E"/>
    <w:rsid w:val="00305FFF"/>
    <w:rsid w:val="0030612D"/>
    <w:rsid w:val="00306210"/>
    <w:rsid w:val="003066F4"/>
    <w:rsid w:val="00306706"/>
    <w:rsid w:val="0030672F"/>
    <w:rsid w:val="00306753"/>
    <w:rsid w:val="0030677E"/>
    <w:rsid w:val="003067DA"/>
    <w:rsid w:val="00306885"/>
    <w:rsid w:val="003068FA"/>
    <w:rsid w:val="00306921"/>
    <w:rsid w:val="00306AF6"/>
    <w:rsid w:val="00306B2B"/>
    <w:rsid w:val="00306C25"/>
    <w:rsid w:val="00306C6E"/>
    <w:rsid w:val="00306ED9"/>
    <w:rsid w:val="00306FCC"/>
    <w:rsid w:val="003071ED"/>
    <w:rsid w:val="003072A8"/>
    <w:rsid w:val="00307313"/>
    <w:rsid w:val="003073ED"/>
    <w:rsid w:val="003074CE"/>
    <w:rsid w:val="00307578"/>
    <w:rsid w:val="003076B6"/>
    <w:rsid w:val="003076E2"/>
    <w:rsid w:val="00307723"/>
    <w:rsid w:val="0030787A"/>
    <w:rsid w:val="003078F7"/>
    <w:rsid w:val="0030797C"/>
    <w:rsid w:val="00307B04"/>
    <w:rsid w:val="00307BD8"/>
    <w:rsid w:val="00307BE1"/>
    <w:rsid w:val="00307C7C"/>
    <w:rsid w:val="00307D6A"/>
    <w:rsid w:val="00307D89"/>
    <w:rsid w:val="00307E93"/>
    <w:rsid w:val="00310095"/>
    <w:rsid w:val="00310200"/>
    <w:rsid w:val="00310308"/>
    <w:rsid w:val="003103D1"/>
    <w:rsid w:val="003106F8"/>
    <w:rsid w:val="003107EA"/>
    <w:rsid w:val="00310A2E"/>
    <w:rsid w:val="00310BB3"/>
    <w:rsid w:val="00310C3A"/>
    <w:rsid w:val="00310D00"/>
    <w:rsid w:val="00310DB6"/>
    <w:rsid w:val="00310E95"/>
    <w:rsid w:val="00310F82"/>
    <w:rsid w:val="0031100A"/>
    <w:rsid w:val="00311015"/>
    <w:rsid w:val="00311150"/>
    <w:rsid w:val="00311580"/>
    <w:rsid w:val="003115C9"/>
    <w:rsid w:val="003116DD"/>
    <w:rsid w:val="003117BF"/>
    <w:rsid w:val="00311853"/>
    <w:rsid w:val="00311A04"/>
    <w:rsid w:val="00311C45"/>
    <w:rsid w:val="00311C8F"/>
    <w:rsid w:val="00311CF0"/>
    <w:rsid w:val="00311ECB"/>
    <w:rsid w:val="00311ED2"/>
    <w:rsid w:val="00311EDE"/>
    <w:rsid w:val="00311F29"/>
    <w:rsid w:val="00311F4F"/>
    <w:rsid w:val="003120C9"/>
    <w:rsid w:val="003120D3"/>
    <w:rsid w:val="00312177"/>
    <w:rsid w:val="00312181"/>
    <w:rsid w:val="0031239F"/>
    <w:rsid w:val="003124C1"/>
    <w:rsid w:val="00312615"/>
    <w:rsid w:val="003126B7"/>
    <w:rsid w:val="00312771"/>
    <w:rsid w:val="003128E4"/>
    <w:rsid w:val="00312961"/>
    <w:rsid w:val="00312984"/>
    <w:rsid w:val="003129DB"/>
    <w:rsid w:val="00312AF0"/>
    <w:rsid w:val="00312CB3"/>
    <w:rsid w:val="00312CD0"/>
    <w:rsid w:val="00312E4C"/>
    <w:rsid w:val="00312F95"/>
    <w:rsid w:val="0031300C"/>
    <w:rsid w:val="00313379"/>
    <w:rsid w:val="003133F7"/>
    <w:rsid w:val="003136B7"/>
    <w:rsid w:val="003136F8"/>
    <w:rsid w:val="00313846"/>
    <w:rsid w:val="003138BF"/>
    <w:rsid w:val="00313994"/>
    <w:rsid w:val="003139EF"/>
    <w:rsid w:val="00313B56"/>
    <w:rsid w:val="00313EAC"/>
    <w:rsid w:val="00313F5D"/>
    <w:rsid w:val="0031418C"/>
    <w:rsid w:val="00314493"/>
    <w:rsid w:val="003149EE"/>
    <w:rsid w:val="00314A05"/>
    <w:rsid w:val="00314A35"/>
    <w:rsid w:val="00314C5F"/>
    <w:rsid w:val="00314D84"/>
    <w:rsid w:val="00314EA6"/>
    <w:rsid w:val="00314F95"/>
    <w:rsid w:val="00315150"/>
    <w:rsid w:val="003152A8"/>
    <w:rsid w:val="003152D5"/>
    <w:rsid w:val="00315304"/>
    <w:rsid w:val="0031531C"/>
    <w:rsid w:val="003154AB"/>
    <w:rsid w:val="003155F1"/>
    <w:rsid w:val="0031579A"/>
    <w:rsid w:val="0031580B"/>
    <w:rsid w:val="00315903"/>
    <w:rsid w:val="00315CFE"/>
    <w:rsid w:val="00315DC8"/>
    <w:rsid w:val="00315E73"/>
    <w:rsid w:val="00316096"/>
    <w:rsid w:val="003160DB"/>
    <w:rsid w:val="003160DF"/>
    <w:rsid w:val="003160FA"/>
    <w:rsid w:val="00316164"/>
    <w:rsid w:val="00316341"/>
    <w:rsid w:val="0031639F"/>
    <w:rsid w:val="00316458"/>
    <w:rsid w:val="003164DC"/>
    <w:rsid w:val="00316647"/>
    <w:rsid w:val="00316709"/>
    <w:rsid w:val="00316A7A"/>
    <w:rsid w:val="00316B3F"/>
    <w:rsid w:val="00316D8A"/>
    <w:rsid w:val="00316E21"/>
    <w:rsid w:val="00316E9E"/>
    <w:rsid w:val="00316F36"/>
    <w:rsid w:val="00316F67"/>
    <w:rsid w:val="00317106"/>
    <w:rsid w:val="00317395"/>
    <w:rsid w:val="00317539"/>
    <w:rsid w:val="003175F1"/>
    <w:rsid w:val="0031767E"/>
    <w:rsid w:val="003176F2"/>
    <w:rsid w:val="00317890"/>
    <w:rsid w:val="0031791C"/>
    <w:rsid w:val="0031793B"/>
    <w:rsid w:val="00317948"/>
    <w:rsid w:val="00317BCA"/>
    <w:rsid w:val="00317BCD"/>
    <w:rsid w:val="00317D87"/>
    <w:rsid w:val="00317D8B"/>
    <w:rsid w:val="00317E53"/>
    <w:rsid w:val="00317F14"/>
    <w:rsid w:val="00317F8A"/>
    <w:rsid w:val="00317FC1"/>
    <w:rsid w:val="003200B4"/>
    <w:rsid w:val="003200D0"/>
    <w:rsid w:val="0032017E"/>
    <w:rsid w:val="0032027C"/>
    <w:rsid w:val="00320343"/>
    <w:rsid w:val="0032039E"/>
    <w:rsid w:val="003203B5"/>
    <w:rsid w:val="00320511"/>
    <w:rsid w:val="00320679"/>
    <w:rsid w:val="0032085A"/>
    <w:rsid w:val="00320966"/>
    <w:rsid w:val="00320C04"/>
    <w:rsid w:val="00320C43"/>
    <w:rsid w:val="00320C8A"/>
    <w:rsid w:val="00320C91"/>
    <w:rsid w:val="00320D43"/>
    <w:rsid w:val="00320DC6"/>
    <w:rsid w:val="00320DDB"/>
    <w:rsid w:val="0032100D"/>
    <w:rsid w:val="0032127C"/>
    <w:rsid w:val="00321298"/>
    <w:rsid w:val="00321383"/>
    <w:rsid w:val="00321442"/>
    <w:rsid w:val="003214FB"/>
    <w:rsid w:val="00321783"/>
    <w:rsid w:val="00321AB3"/>
    <w:rsid w:val="00321BD8"/>
    <w:rsid w:val="00321CBA"/>
    <w:rsid w:val="00321CFE"/>
    <w:rsid w:val="00321D08"/>
    <w:rsid w:val="00321D2F"/>
    <w:rsid w:val="00321D7C"/>
    <w:rsid w:val="003220EE"/>
    <w:rsid w:val="00322200"/>
    <w:rsid w:val="003222B6"/>
    <w:rsid w:val="0032230A"/>
    <w:rsid w:val="003226B0"/>
    <w:rsid w:val="00322744"/>
    <w:rsid w:val="00322753"/>
    <w:rsid w:val="00322784"/>
    <w:rsid w:val="003227C4"/>
    <w:rsid w:val="00322977"/>
    <w:rsid w:val="003229A8"/>
    <w:rsid w:val="00322B41"/>
    <w:rsid w:val="00322BBC"/>
    <w:rsid w:val="00322C69"/>
    <w:rsid w:val="00322D68"/>
    <w:rsid w:val="00322FD8"/>
    <w:rsid w:val="003230B9"/>
    <w:rsid w:val="003231FE"/>
    <w:rsid w:val="0032322A"/>
    <w:rsid w:val="00323310"/>
    <w:rsid w:val="0032383A"/>
    <w:rsid w:val="00323B23"/>
    <w:rsid w:val="00323EE6"/>
    <w:rsid w:val="0032402A"/>
    <w:rsid w:val="00324074"/>
    <w:rsid w:val="00324153"/>
    <w:rsid w:val="00324187"/>
    <w:rsid w:val="003242BD"/>
    <w:rsid w:val="003245BE"/>
    <w:rsid w:val="003246B4"/>
    <w:rsid w:val="003246CA"/>
    <w:rsid w:val="00324725"/>
    <w:rsid w:val="00324829"/>
    <w:rsid w:val="0032489C"/>
    <w:rsid w:val="003248B3"/>
    <w:rsid w:val="00324BD6"/>
    <w:rsid w:val="00324BF7"/>
    <w:rsid w:val="00324CC9"/>
    <w:rsid w:val="00324DFE"/>
    <w:rsid w:val="003250A5"/>
    <w:rsid w:val="0032511E"/>
    <w:rsid w:val="003251CB"/>
    <w:rsid w:val="00325222"/>
    <w:rsid w:val="00325254"/>
    <w:rsid w:val="0032531E"/>
    <w:rsid w:val="00325509"/>
    <w:rsid w:val="00325609"/>
    <w:rsid w:val="00325696"/>
    <w:rsid w:val="0032569E"/>
    <w:rsid w:val="003256B2"/>
    <w:rsid w:val="003256F1"/>
    <w:rsid w:val="00325783"/>
    <w:rsid w:val="00325792"/>
    <w:rsid w:val="0032597B"/>
    <w:rsid w:val="00325A38"/>
    <w:rsid w:val="00325B4E"/>
    <w:rsid w:val="00325E9D"/>
    <w:rsid w:val="003261D1"/>
    <w:rsid w:val="00326209"/>
    <w:rsid w:val="003262DF"/>
    <w:rsid w:val="00326351"/>
    <w:rsid w:val="00326387"/>
    <w:rsid w:val="0032674A"/>
    <w:rsid w:val="0032676D"/>
    <w:rsid w:val="00326A17"/>
    <w:rsid w:val="00326AD1"/>
    <w:rsid w:val="00326DD4"/>
    <w:rsid w:val="00327195"/>
    <w:rsid w:val="003273B2"/>
    <w:rsid w:val="003275EC"/>
    <w:rsid w:val="00327604"/>
    <w:rsid w:val="00327632"/>
    <w:rsid w:val="00327735"/>
    <w:rsid w:val="00327892"/>
    <w:rsid w:val="00327900"/>
    <w:rsid w:val="00327A21"/>
    <w:rsid w:val="00327A54"/>
    <w:rsid w:val="00327B7D"/>
    <w:rsid w:val="00327D29"/>
    <w:rsid w:val="00327DF8"/>
    <w:rsid w:val="00327E6E"/>
    <w:rsid w:val="00327F62"/>
    <w:rsid w:val="00327F79"/>
    <w:rsid w:val="00327FC3"/>
    <w:rsid w:val="00327FED"/>
    <w:rsid w:val="00330006"/>
    <w:rsid w:val="0033005E"/>
    <w:rsid w:val="0033008D"/>
    <w:rsid w:val="00330246"/>
    <w:rsid w:val="0033028E"/>
    <w:rsid w:val="003302E1"/>
    <w:rsid w:val="0033042F"/>
    <w:rsid w:val="003304EF"/>
    <w:rsid w:val="00330572"/>
    <w:rsid w:val="003307C3"/>
    <w:rsid w:val="003308FE"/>
    <w:rsid w:val="00330A00"/>
    <w:rsid w:val="00330A57"/>
    <w:rsid w:val="00330A6A"/>
    <w:rsid w:val="00330CB9"/>
    <w:rsid w:val="00331014"/>
    <w:rsid w:val="00331700"/>
    <w:rsid w:val="003318E0"/>
    <w:rsid w:val="003319C0"/>
    <w:rsid w:val="00331A0D"/>
    <w:rsid w:val="00331BA1"/>
    <w:rsid w:val="00331D3F"/>
    <w:rsid w:val="00331EAD"/>
    <w:rsid w:val="00331F9E"/>
    <w:rsid w:val="00332132"/>
    <w:rsid w:val="003322F4"/>
    <w:rsid w:val="00332347"/>
    <w:rsid w:val="0033254C"/>
    <w:rsid w:val="0033261C"/>
    <w:rsid w:val="0033265E"/>
    <w:rsid w:val="00332726"/>
    <w:rsid w:val="00332984"/>
    <w:rsid w:val="00332CCB"/>
    <w:rsid w:val="00332CED"/>
    <w:rsid w:val="00332D27"/>
    <w:rsid w:val="00332DCA"/>
    <w:rsid w:val="00332ECF"/>
    <w:rsid w:val="00332EE8"/>
    <w:rsid w:val="00332F7A"/>
    <w:rsid w:val="00332FDE"/>
    <w:rsid w:val="003333FB"/>
    <w:rsid w:val="0033344D"/>
    <w:rsid w:val="003336C6"/>
    <w:rsid w:val="003336C7"/>
    <w:rsid w:val="003337CE"/>
    <w:rsid w:val="00333802"/>
    <w:rsid w:val="003338A3"/>
    <w:rsid w:val="003338E2"/>
    <w:rsid w:val="0033399D"/>
    <w:rsid w:val="00333A85"/>
    <w:rsid w:val="00333AD3"/>
    <w:rsid w:val="00333E5B"/>
    <w:rsid w:val="00333EDE"/>
    <w:rsid w:val="0033406A"/>
    <w:rsid w:val="003340F9"/>
    <w:rsid w:val="00334258"/>
    <w:rsid w:val="003342B6"/>
    <w:rsid w:val="0033438D"/>
    <w:rsid w:val="00334531"/>
    <w:rsid w:val="003346C1"/>
    <w:rsid w:val="003347E5"/>
    <w:rsid w:val="00334831"/>
    <w:rsid w:val="00334A89"/>
    <w:rsid w:val="00334A91"/>
    <w:rsid w:val="00334CF1"/>
    <w:rsid w:val="00334DB0"/>
    <w:rsid w:val="00334FF0"/>
    <w:rsid w:val="00335165"/>
    <w:rsid w:val="00335193"/>
    <w:rsid w:val="0033527B"/>
    <w:rsid w:val="00335313"/>
    <w:rsid w:val="00335446"/>
    <w:rsid w:val="0033550A"/>
    <w:rsid w:val="0033564D"/>
    <w:rsid w:val="003358D6"/>
    <w:rsid w:val="00335ABF"/>
    <w:rsid w:val="00335B08"/>
    <w:rsid w:val="00335BEC"/>
    <w:rsid w:val="00335BEF"/>
    <w:rsid w:val="00335C05"/>
    <w:rsid w:val="00335CCB"/>
    <w:rsid w:val="00335E85"/>
    <w:rsid w:val="00335ED2"/>
    <w:rsid w:val="00335FB9"/>
    <w:rsid w:val="00335FC9"/>
    <w:rsid w:val="00336303"/>
    <w:rsid w:val="0033639C"/>
    <w:rsid w:val="003364FD"/>
    <w:rsid w:val="003366BD"/>
    <w:rsid w:val="003366E9"/>
    <w:rsid w:val="003367DE"/>
    <w:rsid w:val="003368CC"/>
    <w:rsid w:val="00336A25"/>
    <w:rsid w:val="00336B51"/>
    <w:rsid w:val="00336BB6"/>
    <w:rsid w:val="00336CA0"/>
    <w:rsid w:val="00336D4A"/>
    <w:rsid w:val="00337064"/>
    <w:rsid w:val="00337083"/>
    <w:rsid w:val="0033719F"/>
    <w:rsid w:val="00337399"/>
    <w:rsid w:val="003373E5"/>
    <w:rsid w:val="00337559"/>
    <w:rsid w:val="0033771C"/>
    <w:rsid w:val="0033776D"/>
    <w:rsid w:val="00337C35"/>
    <w:rsid w:val="00337D7B"/>
    <w:rsid w:val="00337E3D"/>
    <w:rsid w:val="00337F79"/>
    <w:rsid w:val="00340045"/>
    <w:rsid w:val="00340051"/>
    <w:rsid w:val="00340065"/>
    <w:rsid w:val="00340583"/>
    <w:rsid w:val="003405C6"/>
    <w:rsid w:val="003406E4"/>
    <w:rsid w:val="00340841"/>
    <w:rsid w:val="003408DC"/>
    <w:rsid w:val="003408E8"/>
    <w:rsid w:val="00340A59"/>
    <w:rsid w:val="00340AC8"/>
    <w:rsid w:val="00340C8E"/>
    <w:rsid w:val="00340DDA"/>
    <w:rsid w:val="00340F36"/>
    <w:rsid w:val="00340FAF"/>
    <w:rsid w:val="003412DE"/>
    <w:rsid w:val="00341613"/>
    <w:rsid w:val="003417D7"/>
    <w:rsid w:val="003418A5"/>
    <w:rsid w:val="00341978"/>
    <w:rsid w:val="0034198F"/>
    <w:rsid w:val="00341A89"/>
    <w:rsid w:val="00341C21"/>
    <w:rsid w:val="00341EE2"/>
    <w:rsid w:val="0034208F"/>
    <w:rsid w:val="0034235E"/>
    <w:rsid w:val="0034257B"/>
    <w:rsid w:val="00342643"/>
    <w:rsid w:val="003429BC"/>
    <w:rsid w:val="00342ACB"/>
    <w:rsid w:val="00342B1E"/>
    <w:rsid w:val="00342BAE"/>
    <w:rsid w:val="00342E1E"/>
    <w:rsid w:val="00342F75"/>
    <w:rsid w:val="003431B4"/>
    <w:rsid w:val="003433F0"/>
    <w:rsid w:val="003434B7"/>
    <w:rsid w:val="00343526"/>
    <w:rsid w:val="003436B0"/>
    <w:rsid w:val="00343723"/>
    <w:rsid w:val="0034379C"/>
    <w:rsid w:val="00343931"/>
    <w:rsid w:val="00343944"/>
    <w:rsid w:val="003439E8"/>
    <w:rsid w:val="00343B65"/>
    <w:rsid w:val="00343C14"/>
    <w:rsid w:val="00343C4E"/>
    <w:rsid w:val="00343CBE"/>
    <w:rsid w:val="00343D7F"/>
    <w:rsid w:val="00343FE2"/>
    <w:rsid w:val="00344106"/>
    <w:rsid w:val="003442DE"/>
    <w:rsid w:val="0034466A"/>
    <w:rsid w:val="003447BD"/>
    <w:rsid w:val="0034493B"/>
    <w:rsid w:val="00344AD6"/>
    <w:rsid w:val="00344C4F"/>
    <w:rsid w:val="00344CEE"/>
    <w:rsid w:val="00344E8B"/>
    <w:rsid w:val="00344F82"/>
    <w:rsid w:val="003450AC"/>
    <w:rsid w:val="00345134"/>
    <w:rsid w:val="0034514E"/>
    <w:rsid w:val="003451CF"/>
    <w:rsid w:val="003457C3"/>
    <w:rsid w:val="00345A07"/>
    <w:rsid w:val="00345B1C"/>
    <w:rsid w:val="00345C41"/>
    <w:rsid w:val="0034619B"/>
    <w:rsid w:val="003461C8"/>
    <w:rsid w:val="003461D7"/>
    <w:rsid w:val="0034650A"/>
    <w:rsid w:val="00346614"/>
    <w:rsid w:val="00346671"/>
    <w:rsid w:val="00346675"/>
    <w:rsid w:val="00346871"/>
    <w:rsid w:val="003468E3"/>
    <w:rsid w:val="00346930"/>
    <w:rsid w:val="00346BD0"/>
    <w:rsid w:val="00346C20"/>
    <w:rsid w:val="00346CF0"/>
    <w:rsid w:val="00346E09"/>
    <w:rsid w:val="00346EDD"/>
    <w:rsid w:val="00346FB4"/>
    <w:rsid w:val="00347080"/>
    <w:rsid w:val="0034713D"/>
    <w:rsid w:val="00347257"/>
    <w:rsid w:val="0034739C"/>
    <w:rsid w:val="0034754D"/>
    <w:rsid w:val="0034764E"/>
    <w:rsid w:val="003478D4"/>
    <w:rsid w:val="0034796E"/>
    <w:rsid w:val="00347A99"/>
    <w:rsid w:val="00347B25"/>
    <w:rsid w:val="00347CC3"/>
    <w:rsid w:val="00347CF7"/>
    <w:rsid w:val="00347DC7"/>
    <w:rsid w:val="00347F0B"/>
    <w:rsid w:val="0035006E"/>
    <w:rsid w:val="00350138"/>
    <w:rsid w:val="0035025F"/>
    <w:rsid w:val="00350335"/>
    <w:rsid w:val="0035046D"/>
    <w:rsid w:val="003504F6"/>
    <w:rsid w:val="003506E7"/>
    <w:rsid w:val="00350798"/>
    <w:rsid w:val="0035083F"/>
    <w:rsid w:val="003508F2"/>
    <w:rsid w:val="00350938"/>
    <w:rsid w:val="00350A44"/>
    <w:rsid w:val="00350AF5"/>
    <w:rsid w:val="00350C4A"/>
    <w:rsid w:val="00350D61"/>
    <w:rsid w:val="00350F9B"/>
    <w:rsid w:val="003511F4"/>
    <w:rsid w:val="00351453"/>
    <w:rsid w:val="00351575"/>
    <w:rsid w:val="00351810"/>
    <w:rsid w:val="00351849"/>
    <w:rsid w:val="0035195B"/>
    <w:rsid w:val="00351A4C"/>
    <w:rsid w:val="00351AF1"/>
    <w:rsid w:val="00351BF7"/>
    <w:rsid w:val="00351C73"/>
    <w:rsid w:val="00351EBB"/>
    <w:rsid w:val="00352144"/>
    <w:rsid w:val="003524D2"/>
    <w:rsid w:val="0035259F"/>
    <w:rsid w:val="003525FF"/>
    <w:rsid w:val="0035260F"/>
    <w:rsid w:val="00352686"/>
    <w:rsid w:val="003526CC"/>
    <w:rsid w:val="003529E5"/>
    <w:rsid w:val="00352D8C"/>
    <w:rsid w:val="00352E6C"/>
    <w:rsid w:val="003530E3"/>
    <w:rsid w:val="003532F6"/>
    <w:rsid w:val="00353349"/>
    <w:rsid w:val="00353350"/>
    <w:rsid w:val="00353410"/>
    <w:rsid w:val="0035354E"/>
    <w:rsid w:val="003538A8"/>
    <w:rsid w:val="00353C4D"/>
    <w:rsid w:val="00353DC7"/>
    <w:rsid w:val="00353F2E"/>
    <w:rsid w:val="00353FBD"/>
    <w:rsid w:val="00353FF8"/>
    <w:rsid w:val="00353FFA"/>
    <w:rsid w:val="00354279"/>
    <w:rsid w:val="00354488"/>
    <w:rsid w:val="003544C9"/>
    <w:rsid w:val="003545CB"/>
    <w:rsid w:val="003546C0"/>
    <w:rsid w:val="00354829"/>
    <w:rsid w:val="0035487F"/>
    <w:rsid w:val="00354952"/>
    <w:rsid w:val="0035498E"/>
    <w:rsid w:val="00354A2B"/>
    <w:rsid w:val="00354ABB"/>
    <w:rsid w:val="00354BEC"/>
    <w:rsid w:val="00354C04"/>
    <w:rsid w:val="00354D03"/>
    <w:rsid w:val="00354D3C"/>
    <w:rsid w:val="00354E6C"/>
    <w:rsid w:val="00354E92"/>
    <w:rsid w:val="00354EEB"/>
    <w:rsid w:val="00355232"/>
    <w:rsid w:val="0035529D"/>
    <w:rsid w:val="00355611"/>
    <w:rsid w:val="0035563F"/>
    <w:rsid w:val="00355689"/>
    <w:rsid w:val="0035570D"/>
    <w:rsid w:val="0035575B"/>
    <w:rsid w:val="003558C8"/>
    <w:rsid w:val="0035596F"/>
    <w:rsid w:val="003559BB"/>
    <w:rsid w:val="00355BBA"/>
    <w:rsid w:val="00355BE1"/>
    <w:rsid w:val="00355DB2"/>
    <w:rsid w:val="00355F6C"/>
    <w:rsid w:val="00356369"/>
    <w:rsid w:val="00356384"/>
    <w:rsid w:val="00356391"/>
    <w:rsid w:val="00356596"/>
    <w:rsid w:val="00356662"/>
    <w:rsid w:val="0035671B"/>
    <w:rsid w:val="00356846"/>
    <w:rsid w:val="003569C7"/>
    <w:rsid w:val="00356A74"/>
    <w:rsid w:val="00356BDA"/>
    <w:rsid w:val="00356D8C"/>
    <w:rsid w:val="00356D93"/>
    <w:rsid w:val="00356EC8"/>
    <w:rsid w:val="00356F03"/>
    <w:rsid w:val="00357127"/>
    <w:rsid w:val="003573B2"/>
    <w:rsid w:val="0035749D"/>
    <w:rsid w:val="003577C6"/>
    <w:rsid w:val="003577CF"/>
    <w:rsid w:val="00357860"/>
    <w:rsid w:val="003579E5"/>
    <w:rsid w:val="00357B2A"/>
    <w:rsid w:val="00357BCA"/>
    <w:rsid w:val="00357CEC"/>
    <w:rsid w:val="00357D26"/>
    <w:rsid w:val="00357D7F"/>
    <w:rsid w:val="00357E2C"/>
    <w:rsid w:val="00357ED4"/>
    <w:rsid w:val="00357FEA"/>
    <w:rsid w:val="003600E1"/>
    <w:rsid w:val="00360164"/>
    <w:rsid w:val="00360402"/>
    <w:rsid w:val="00360414"/>
    <w:rsid w:val="00360549"/>
    <w:rsid w:val="00360565"/>
    <w:rsid w:val="00360569"/>
    <w:rsid w:val="003605DF"/>
    <w:rsid w:val="0036070E"/>
    <w:rsid w:val="00360748"/>
    <w:rsid w:val="00360E3F"/>
    <w:rsid w:val="00360EE0"/>
    <w:rsid w:val="00360EF9"/>
    <w:rsid w:val="00360F14"/>
    <w:rsid w:val="00360F30"/>
    <w:rsid w:val="00360F84"/>
    <w:rsid w:val="003611B5"/>
    <w:rsid w:val="00361239"/>
    <w:rsid w:val="003613DD"/>
    <w:rsid w:val="00361996"/>
    <w:rsid w:val="00361B30"/>
    <w:rsid w:val="00362002"/>
    <w:rsid w:val="00362017"/>
    <w:rsid w:val="00362239"/>
    <w:rsid w:val="003622B8"/>
    <w:rsid w:val="0036264F"/>
    <w:rsid w:val="0036265D"/>
    <w:rsid w:val="0036277A"/>
    <w:rsid w:val="00362C10"/>
    <w:rsid w:val="00362C7C"/>
    <w:rsid w:val="00362DFA"/>
    <w:rsid w:val="00362DFC"/>
    <w:rsid w:val="00362E68"/>
    <w:rsid w:val="003630F8"/>
    <w:rsid w:val="00363191"/>
    <w:rsid w:val="003634E5"/>
    <w:rsid w:val="00363749"/>
    <w:rsid w:val="003637CA"/>
    <w:rsid w:val="0036386F"/>
    <w:rsid w:val="003638B5"/>
    <w:rsid w:val="003639D6"/>
    <w:rsid w:val="00363AE6"/>
    <w:rsid w:val="00363C13"/>
    <w:rsid w:val="00363CA2"/>
    <w:rsid w:val="00363E20"/>
    <w:rsid w:val="00363E38"/>
    <w:rsid w:val="00363F00"/>
    <w:rsid w:val="00363F26"/>
    <w:rsid w:val="00363FA1"/>
    <w:rsid w:val="00364080"/>
    <w:rsid w:val="0036412B"/>
    <w:rsid w:val="00364289"/>
    <w:rsid w:val="003642D7"/>
    <w:rsid w:val="0036450C"/>
    <w:rsid w:val="003645D4"/>
    <w:rsid w:val="00364668"/>
    <w:rsid w:val="0036470E"/>
    <w:rsid w:val="00364791"/>
    <w:rsid w:val="00364869"/>
    <w:rsid w:val="00364AC3"/>
    <w:rsid w:val="00364B84"/>
    <w:rsid w:val="00364D51"/>
    <w:rsid w:val="00364D98"/>
    <w:rsid w:val="00364E4A"/>
    <w:rsid w:val="00364E6D"/>
    <w:rsid w:val="00364E80"/>
    <w:rsid w:val="00365056"/>
    <w:rsid w:val="00365166"/>
    <w:rsid w:val="0036549E"/>
    <w:rsid w:val="0036569E"/>
    <w:rsid w:val="00365817"/>
    <w:rsid w:val="00365826"/>
    <w:rsid w:val="00365897"/>
    <w:rsid w:val="003658F0"/>
    <w:rsid w:val="00365986"/>
    <w:rsid w:val="00365ABC"/>
    <w:rsid w:val="00365B4D"/>
    <w:rsid w:val="00365CAC"/>
    <w:rsid w:val="00365EB8"/>
    <w:rsid w:val="00366101"/>
    <w:rsid w:val="0036618E"/>
    <w:rsid w:val="0036651C"/>
    <w:rsid w:val="00366538"/>
    <w:rsid w:val="003665BD"/>
    <w:rsid w:val="003665F4"/>
    <w:rsid w:val="0036674A"/>
    <w:rsid w:val="003667B1"/>
    <w:rsid w:val="0036687D"/>
    <w:rsid w:val="00366908"/>
    <w:rsid w:val="003669E0"/>
    <w:rsid w:val="00366A1A"/>
    <w:rsid w:val="00366A2B"/>
    <w:rsid w:val="00366A79"/>
    <w:rsid w:val="00366BE8"/>
    <w:rsid w:val="00366C61"/>
    <w:rsid w:val="00366DAB"/>
    <w:rsid w:val="00366F87"/>
    <w:rsid w:val="0036705E"/>
    <w:rsid w:val="003672DD"/>
    <w:rsid w:val="00367322"/>
    <w:rsid w:val="003673C6"/>
    <w:rsid w:val="003675AB"/>
    <w:rsid w:val="0036766D"/>
    <w:rsid w:val="003678A3"/>
    <w:rsid w:val="003679F5"/>
    <w:rsid w:val="00367AC7"/>
    <w:rsid w:val="00367E32"/>
    <w:rsid w:val="00367EFC"/>
    <w:rsid w:val="003700DE"/>
    <w:rsid w:val="0037011A"/>
    <w:rsid w:val="00370449"/>
    <w:rsid w:val="00370454"/>
    <w:rsid w:val="00370637"/>
    <w:rsid w:val="00370806"/>
    <w:rsid w:val="00370944"/>
    <w:rsid w:val="00370B04"/>
    <w:rsid w:val="00370BE1"/>
    <w:rsid w:val="00370C7A"/>
    <w:rsid w:val="00370ED6"/>
    <w:rsid w:val="00370F10"/>
    <w:rsid w:val="0037101A"/>
    <w:rsid w:val="003716A6"/>
    <w:rsid w:val="00371752"/>
    <w:rsid w:val="0037177E"/>
    <w:rsid w:val="00371A7B"/>
    <w:rsid w:val="00371B7D"/>
    <w:rsid w:val="00371BF8"/>
    <w:rsid w:val="00371CCB"/>
    <w:rsid w:val="00371CDB"/>
    <w:rsid w:val="00371DAF"/>
    <w:rsid w:val="00371E19"/>
    <w:rsid w:val="00371E87"/>
    <w:rsid w:val="00372333"/>
    <w:rsid w:val="003723E2"/>
    <w:rsid w:val="003724FE"/>
    <w:rsid w:val="00372664"/>
    <w:rsid w:val="00372880"/>
    <w:rsid w:val="00372970"/>
    <w:rsid w:val="00372B08"/>
    <w:rsid w:val="00372B27"/>
    <w:rsid w:val="00372D14"/>
    <w:rsid w:val="00372E65"/>
    <w:rsid w:val="00372E84"/>
    <w:rsid w:val="00372E99"/>
    <w:rsid w:val="00373241"/>
    <w:rsid w:val="003732D4"/>
    <w:rsid w:val="003732FB"/>
    <w:rsid w:val="00373352"/>
    <w:rsid w:val="003735B6"/>
    <w:rsid w:val="00373636"/>
    <w:rsid w:val="0037363E"/>
    <w:rsid w:val="0037381A"/>
    <w:rsid w:val="00373961"/>
    <w:rsid w:val="003739F0"/>
    <w:rsid w:val="00373A28"/>
    <w:rsid w:val="00373F5A"/>
    <w:rsid w:val="0037415A"/>
    <w:rsid w:val="0037416D"/>
    <w:rsid w:val="003745E4"/>
    <w:rsid w:val="003746AA"/>
    <w:rsid w:val="003749A1"/>
    <w:rsid w:val="003749B9"/>
    <w:rsid w:val="00374A48"/>
    <w:rsid w:val="00374ACD"/>
    <w:rsid w:val="00374C0F"/>
    <w:rsid w:val="00374D7E"/>
    <w:rsid w:val="00374DB2"/>
    <w:rsid w:val="00374DF8"/>
    <w:rsid w:val="00374E20"/>
    <w:rsid w:val="00374F89"/>
    <w:rsid w:val="00375619"/>
    <w:rsid w:val="00375650"/>
    <w:rsid w:val="00375DE1"/>
    <w:rsid w:val="00375E73"/>
    <w:rsid w:val="00375E80"/>
    <w:rsid w:val="00375FB9"/>
    <w:rsid w:val="0037601A"/>
    <w:rsid w:val="00376036"/>
    <w:rsid w:val="00376072"/>
    <w:rsid w:val="003760FD"/>
    <w:rsid w:val="0037615B"/>
    <w:rsid w:val="0037618F"/>
    <w:rsid w:val="003761AC"/>
    <w:rsid w:val="00376292"/>
    <w:rsid w:val="003762EB"/>
    <w:rsid w:val="003763CA"/>
    <w:rsid w:val="003763E7"/>
    <w:rsid w:val="0037654D"/>
    <w:rsid w:val="00376633"/>
    <w:rsid w:val="0037667B"/>
    <w:rsid w:val="00376757"/>
    <w:rsid w:val="003768ED"/>
    <w:rsid w:val="00376905"/>
    <w:rsid w:val="003769CA"/>
    <w:rsid w:val="00376AC2"/>
    <w:rsid w:val="00376B2F"/>
    <w:rsid w:val="00376D90"/>
    <w:rsid w:val="00376DE7"/>
    <w:rsid w:val="00376E0E"/>
    <w:rsid w:val="00376E47"/>
    <w:rsid w:val="00376F29"/>
    <w:rsid w:val="00376F42"/>
    <w:rsid w:val="003770BF"/>
    <w:rsid w:val="003771A6"/>
    <w:rsid w:val="00377523"/>
    <w:rsid w:val="00377613"/>
    <w:rsid w:val="00377736"/>
    <w:rsid w:val="00377790"/>
    <w:rsid w:val="00377878"/>
    <w:rsid w:val="00377934"/>
    <w:rsid w:val="00377997"/>
    <w:rsid w:val="00377AA1"/>
    <w:rsid w:val="00377ABA"/>
    <w:rsid w:val="00377ADC"/>
    <w:rsid w:val="00377ED3"/>
    <w:rsid w:val="00380097"/>
    <w:rsid w:val="00380145"/>
    <w:rsid w:val="00380442"/>
    <w:rsid w:val="0038044E"/>
    <w:rsid w:val="003806CD"/>
    <w:rsid w:val="003806DC"/>
    <w:rsid w:val="003806EE"/>
    <w:rsid w:val="00380808"/>
    <w:rsid w:val="00380BEA"/>
    <w:rsid w:val="00380CBC"/>
    <w:rsid w:val="00380D17"/>
    <w:rsid w:val="00380D69"/>
    <w:rsid w:val="00380FC1"/>
    <w:rsid w:val="00381035"/>
    <w:rsid w:val="00381063"/>
    <w:rsid w:val="0038122D"/>
    <w:rsid w:val="003812EE"/>
    <w:rsid w:val="00381309"/>
    <w:rsid w:val="003813C6"/>
    <w:rsid w:val="003813D9"/>
    <w:rsid w:val="003813EA"/>
    <w:rsid w:val="00381586"/>
    <w:rsid w:val="00381636"/>
    <w:rsid w:val="003816D2"/>
    <w:rsid w:val="0038192E"/>
    <w:rsid w:val="00381A76"/>
    <w:rsid w:val="00381C86"/>
    <w:rsid w:val="00381D1A"/>
    <w:rsid w:val="00381DC5"/>
    <w:rsid w:val="00381E7C"/>
    <w:rsid w:val="00381F9C"/>
    <w:rsid w:val="00382071"/>
    <w:rsid w:val="00382093"/>
    <w:rsid w:val="003822C1"/>
    <w:rsid w:val="0038234D"/>
    <w:rsid w:val="00382385"/>
    <w:rsid w:val="0038261E"/>
    <w:rsid w:val="00382707"/>
    <w:rsid w:val="00382729"/>
    <w:rsid w:val="003828B1"/>
    <w:rsid w:val="00382965"/>
    <w:rsid w:val="003829A4"/>
    <w:rsid w:val="00382A89"/>
    <w:rsid w:val="00382A9A"/>
    <w:rsid w:val="00382AB8"/>
    <w:rsid w:val="00382AD4"/>
    <w:rsid w:val="00382B67"/>
    <w:rsid w:val="00382C2D"/>
    <w:rsid w:val="00382D37"/>
    <w:rsid w:val="00382E83"/>
    <w:rsid w:val="00382E8A"/>
    <w:rsid w:val="00382F02"/>
    <w:rsid w:val="00382F03"/>
    <w:rsid w:val="0038306C"/>
    <w:rsid w:val="003831B3"/>
    <w:rsid w:val="003832F2"/>
    <w:rsid w:val="003832F5"/>
    <w:rsid w:val="00383356"/>
    <w:rsid w:val="0038340F"/>
    <w:rsid w:val="003835CE"/>
    <w:rsid w:val="003837C8"/>
    <w:rsid w:val="003839E3"/>
    <w:rsid w:val="00383A99"/>
    <w:rsid w:val="00383B34"/>
    <w:rsid w:val="00383B7D"/>
    <w:rsid w:val="00383C66"/>
    <w:rsid w:val="00383FD9"/>
    <w:rsid w:val="00384140"/>
    <w:rsid w:val="003841D6"/>
    <w:rsid w:val="00384210"/>
    <w:rsid w:val="00384362"/>
    <w:rsid w:val="003843A9"/>
    <w:rsid w:val="00384413"/>
    <w:rsid w:val="00384414"/>
    <w:rsid w:val="003845F9"/>
    <w:rsid w:val="003849BC"/>
    <w:rsid w:val="00384AF8"/>
    <w:rsid w:val="00384C2C"/>
    <w:rsid w:val="00384CCC"/>
    <w:rsid w:val="00384CD9"/>
    <w:rsid w:val="00384DCC"/>
    <w:rsid w:val="00384EB6"/>
    <w:rsid w:val="00384F00"/>
    <w:rsid w:val="00384F2C"/>
    <w:rsid w:val="00384F52"/>
    <w:rsid w:val="00384F5E"/>
    <w:rsid w:val="00384FAA"/>
    <w:rsid w:val="00385271"/>
    <w:rsid w:val="00385315"/>
    <w:rsid w:val="003853AF"/>
    <w:rsid w:val="003853FF"/>
    <w:rsid w:val="0038544A"/>
    <w:rsid w:val="003855B3"/>
    <w:rsid w:val="00385607"/>
    <w:rsid w:val="003856E7"/>
    <w:rsid w:val="003857B6"/>
    <w:rsid w:val="003857FA"/>
    <w:rsid w:val="00385875"/>
    <w:rsid w:val="003858EA"/>
    <w:rsid w:val="003859EB"/>
    <w:rsid w:val="00385C33"/>
    <w:rsid w:val="00385C5C"/>
    <w:rsid w:val="00385D88"/>
    <w:rsid w:val="00385DCD"/>
    <w:rsid w:val="00385E6C"/>
    <w:rsid w:val="0038602F"/>
    <w:rsid w:val="003860E2"/>
    <w:rsid w:val="00386241"/>
    <w:rsid w:val="003865F4"/>
    <w:rsid w:val="003866DA"/>
    <w:rsid w:val="0038677C"/>
    <w:rsid w:val="00386787"/>
    <w:rsid w:val="003867DC"/>
    <w:rsid w:val="003867FD"/>
    <w:rsid w:val="003869AC"/>
    <w:rsid w:val="00386A30"/>
    <w:rsid w:val="00386AD4"/>
    <w:rsid w:val="00386B54"/>
    <w:rsid w:val="00386C4A"/>
    <w:rsid w:val="00386C6B"/>
    <w:rsid w:val="00386D1F"/>
    <w:rsid w:val="00386EF3"/>
    <w:rsid w:val="00386F53"/>
    <w:rsid w:val="00386F67"/>
    <w:rsid w:val="00386FB3"/>
    <w:rsid w:val="0038704C"/>
    <w:rsid w:val="003870EC"/>
    <w:rsid w:val="00387215"/>
    <w:rsid w:val="0038734B"/>
    <w:rsid w:val="0038766B"/>
    <w:rsid w:val="003879BA"/>
    <w:rsid w:val="00387B76"/>
    <w:rsid w:val="00387BDD"/>
    <w:rsid w:val="00387D2C"/>
    <w:rsid w:val="00387E42"/>
    <w:rsid w:val="00387F17"/>
    <w:rsid w:val="0039009C"/>
    <w:rsid w:val="0039031D"/>
    <w:rsid w:val="0039045B"/>
    <w:rsid w:val="00390580"/>
    <w:rsid w:val="003907EA"/>
    <w:rsid w:val="003908F2"/>
    <w:rsid w:val="00390968"/>
    <w:rsid w:val="00390A16"/>
    <w:rsid w:val="00390AA6"/>
    <w:rsid w:val="00390C1D"/>
    <w:rsid w:val="00390D9A"/>
    <w:rsid w:val="00390FB3"/>
    <w:rsid w:val="00391038"/>
    <w:rsid w:val="003911DE"/>
    <w:rsid w:val="00391286"/>
    <w:rsid w:val="00391313"/>
    <w:rsid w:val="003913F8"/>
    <w:rsid w:val="00391484"/>
    <w:rsid w:val="0039162C"/>
    <w:rsid w:val="00391763"/>
    <w:rsid w:val="003918CC"/>
    <w:rsid w:val="003918F2"/>
    <w:rsid w:val="003918F5"/>
    <w:rsid w:val="0039191E"/>
    <w:rsid w:val="00391A67"/>
    <w:rsid w:val="00391BF9"/>
    <w:rsid w:val="00391C02"/>
    <w:rsid w:val="00391DE5"/>
    <w:rsid w:val="00391E5F"/>
    <w:rsid w:val="00391E80"/>
    <w:rsid w:val="00391EB2"/>
    <w:rsid w:val="00391F36"/>
    <w:rsid w:val="00392048"/>
    <w:rsid w:val="00392054"/>
    <w:rsid w:val="00392092"/>
    <w:rsid w:val="0039219C"/>
    <w:rsid w:val="003922E2"/>
    <w:rsid w:val="00392313"/>
    <w:rsid w:val="003924D1"/>
    <w:rsid w:val="00392601"/>
    <w:rsid w:val="003927E2"/>
    <w:rsid w:val="003927F6"/>
    <w:rsid w:val="003928E9"/>
    <w:rsid w:val="00392A7D"/>
    <w:rsid w:val="00392AAF"/>
    <w:rsid w:val="00392B8C"/>
    <w:rsid w:val="00392C7D"/>
    <w:rsid w:val="00392DD4"/>
    <w:rsid w:val="00392DDE"/>
    <w:rsid w:val="00392E4E"/>
    <w:rsid w:val="00392F4F"/>
    <w:rsid w:val="00392FB9"/>
    <w:rsid w:val="003932BF"/>
    <w:rsid w:val="003932CC"/>
    <w:rsid w:val="003932F2"/>
    <w:rsid w:val="0039333D"/>
    <w:rsid w:val="0039337E"/>
    <w:rsid w:val="003933AB"/>
    <w:rsid w:val="00393429"/>
    <w:rsid w:val="00393482"/>
    <w:rsid w:val="003937FD"/>
    <w:rsid w:val="00393A27"/>
    <w:rsid w:val="00393C65"/>
    <w:rsid w:val="00393CDF"/>
    <w:rsid w:val="00393F21"/>
    <w:rsid w:val="00394012"/>
    <w:rsid w:val="0039408A"/>
    <w:rsid w:val="00394106"/>
    <w:rsid w:val="00394181"/>
    <w:rsid w:val="003942C4"/>
    <w:rsid w:val="003943C2"/>
    <w:rsid w:val="00394448"/>
    <w:rsid w:val="00394528"/>
    <w:rsid w:val="0039480C"/>
    <w:rsid w:val="003948B1"/>
    <w:rsid w:val="00394901"/>
    <w:rsid w:val="00394B47"/>
    <w:rsid w:val="00394D73"/>
    <w:rsid w:val="00394E43"/>
    <w:rsid w:val="00394F4C"/>
    <w:rsid w:val="00395054"/>
    <w:rsid w:val="00395139"/>
    <w:rsid w:val="003951BB"/>
    <w:rsid w:val="003954C8"/>
    <w:rsid w:val="00395501"/>
    <w:rsid w:val="00395ADF"/>
    <w:rsid w:val="00395B63"/>
    <w:rsid w:val="00395BB0"/>
    <w:rsid w:val="00395CD8"/>
    <w:rsid w:val="00395E71"/>
    <w:rsid w:val="0039615D"/>
    <w:rsid w:val="0039618F"/>
    <w:rsid w:val="003962DF"/>
    <w:rsid w:val="003963D3"/>
    <w:rsid w:val="003964B8"/>
    <w:rsid w:val="0039655F"/>
    <w:rsid w:val="00396946"/>
    <w:rsid w:val="003969A4"/>
    <w:rsid w:val="003969C3"/>
    <w:rsid w:val="00396A76"/>
    <w:rsid w:val="00396AEF"/>
    <w:rsid w:val="00396B45"/>
    <w:rsid w:val="00396C26"/>
    <w:rsid w:val="00396E0E"/>
    <w:rsid w:val="00396E48"/>
    <w:rsid w:val="00396E72"/>
    <w:rsid w:val="00396FB2"/>
    <w:rsid w:val="00397192"/>
    <w:rsid w:val="00397259"/>
    <w:rsid w:val="00397287"/>
    <w:rsid w:val="0039729E"/>
    <w:rsid w:val="003972BB"/>
    <w:rsid w:val="00397328"/>
    <w:rsid w:val="0039738F"/>
    <w:rsid w:val="003973E5"/>
    <w:rsid w:val="0039760F"/>
    <w:rsid w:val="00397739"/>
    <w:rsid w:val="00397842"/>
    <w:rsid w:val="00397942"/>
    <w:rsid w:val="003979CD"/>
    <w:rsid w:val="00397AED"/>
    <w:rsid w:val="00397B81"/>
    <w:rsid w:val="00397C50"/>
    <w:rsid w:val="00397CE2"/>
    <w:rsid w:val="00397D39"/>
    <w:rsid w:val="00397F29"/>
    <w:rsid w:val="00397F79"/>
    <w:rsid w:val="003A0025"/>
    <w:rsid w:val="003A005B"/>
    <w:rsid w:val="003A0199"/>
    <w:rsid w:val="003A024D"/>
    <w:rsid w:val="003A0389"/>
    <w:rsid w:val="003A0397"/>
    <w:rsid w:val="003A040D"/>
    <w:rsid w:val="003A04C6"/>
    <w:rsid w:val="003A04FD"/>
    <w:rsid w:val="003A070C"/>
    <w:rsid w:val="003A0A74"/>
    <w:rsid w:val="003A0D05"/>
    <w:rsid w:val="003A0E63"/>
    <w:rsid w:val="003A0FED"/>
    <w:rsid w:val="003A11A8"/>
    <w:rsid w:val="003A1382"/>
    <w:rsid w:val="003A1589"/>
    <w:rsid w:val="003A1933"/>
    <w:rsid w:val="003A19AE"/>
    <w:rsid w:val="003A1A4D"/>
    <w:rsid w:val="003A1B5D"/>
    <w:rsid w:val="003A1BB3"/>
    <w:rsid w:val="003A1D45"/>
    <w:rsid w:val="003A1D4A"/>
    <w:rsid w:val="003A1DF5"/>
    <w:rsid w:val="003A1F7A"/>
    <w:rsid w:val="003A203B"/>
    <w:rsid w:val="003A2058"/>
    <w:rsid w:val="003A2086"/>
    <w:rsid w:val="003A2591"/>
    <w:rsid w:val="003A263B"/>
    <w:rsid w:val="003A2897"/>
    <w:rsid w:val="003A29F1"/>
    <w:rsid w:val="003A2A2F"/>
    <w:rsid w:val="003A2BEB"/>
    <w:rsid w:val="003A2C61"/>
    <w:rsid w:val="003A2D96"/>
    <w:rsid w:val="003A2F61"/>
    <w:rsid w:val="003A317C"/>
    <w:rsid w:val="003A3185"/>
    <w:rsid w:val="003A31DA"/>
    <w:rsid w:val="003A3294"/>
    <w:rsid w:val="003A38A3"/>
    <w:rsid w:val="003A3B7A"/>
    <w:rsid w:val="003A3D72"/>
    <w:rsid w:val="003A3DA4"/>
    <w:rsid w:val="003A3DAC"/>
    <w:rsid w:val="003A416F"/>
    <w:rsid w:val="003A4198"/>
    <w:rsid w:val="003A4390"/>
    <w:rsid w:val="003A4568"/>
    <w:rsid w:val="003A47E3"/>
    <w:rsid w:val="003A484A"/>
    <w:rsid w:val="003A498C"/>
    <w:rsid w:val="003A499F"/>
    <w:rsid w:val="003A49E2"/>
    <w:rsid w:val="003A4A24"/>
    <w:rsid w:val="003A4A8C"/>
    <w:rsid w:val="003A4AED"/>
    <w:rsid w:val="003A4AFF"/>
    <w:rsid w:val="003A4BF3"/>
    <w:rsid w:val="003A4CFA"/>
    <w:rsid w:val="003A4D48"/>
    <w:rsid w:val="003A4DB0"/>
    <w:rsid w:val="003A4F2C"/>
    <w:rsid w:val="003A5090"/>
    <w:rsid w:val="003A5101"/>
    <w:rsid w:val="003A52B2"/>
    <w:rsid w:val="003A53CC"/>
    <w:rsid w:val="003A541A"/>
    <w:rsid w:val="003A561B"/>
    <w:rsid w:val="003A56AA"/>
    <w:rsid w:val="003A5830"/>
    <w:rsid w:val="003A58B1"/>
    <w:rsid w:val="003A58CE"/>
    <w:rsid w:val="003A5B29"/>
    <w:rsid w:val="003A5C1B"/>
    <w:rsid w:val="003A5C35"/>
    <w:rsid w:val="003A5C4E"/>
    <w:rsid w:val="003A5CAA"/>
    <w:rsid w:val="003A5D58"/>
    <w:rsid w:val="003A5D86"/>
    <w:rsid w:val="003A5ECF"/>
    <w:rsid w:val="003A6070"/>
    <w:rsid w:val="003A6289"/>
    <w:rsid w:val="003A6505"/>
    <w:rsid w:val="003A6634"/>
    <w:rsid w:val="003A669D"/>
    <w:rsid w:val="003A6701"/>
    <w:rsid w:val="003A67B0"/>
    <w:rsid w:val="003A6859"/>
    <w:rsid w:val="003A68EC"/>
    <w:rsid w:val="003A693B"/>
    <w:rsid w:val="003A695D"/>
    <w:rsid w:val="003A6A67"/>
    <w:rsid w:val="003A6AB2"/>
    <w:rsid w:val="003A6BC4"/>
    <w:rsid w:val="003A6C16"/>
    <w:rsid w:val="003A6CD3"/>
    <w:rsid w:val="003A6D55"/>
    <w:rsid w:val="003A6F48"/>
    <w:rsid w:val="003A706E"/>
    <w:rsid w:val="003A70F8"/>
    <w:rsid w:val="003A7185"/>
    <w:rsid w:val="003A71F7"/>
    <w:rsid w:val="003A71F9"/>
    <w:rsid w:val="003A72AB"/>
    <w:rsid w:val="003A73A0"/>
    <w:rsid w:val="003A7533"/>
    <w:rsid w:val="003A75AC"/>
    <w:rsid w:val="003A75D5"/>
    <w:rsid w:val="003A76D6"/>
    <w:rsid w:val="003A76EA"/>
    <w:rsid w:val="003A7798"/>
    <w:rsid w:val="003A77C7"/>
    <w:rsid w:val="003A798E"/>
    <w:rsid w:val="003A79BB"/>
    <w:rsid w:val="003A7A71"/>
    <w:rsid w:val="003A7A89"/>
    <w:rsid w:val="003A7C02"/>
    <w:rsid w:val="003A7E6D"/>
    <w:rsid w:val="003B0100"/>
    <w:rsid w:val="003B0126"/>
    <w:rsid w:val="003B0884"/>
    <w:rsid w:val="003B0B59"/>
    <w:rsid w:val="003B0B92"/>
    <w:rsid w:val="003B0C34"/>
    <w:rsid w:val="003B0F4D"/>
    <w:rsid w:val="003B0F54"/>
    <w:rsid w:val="003B10EA"/>
    <w:rsid w:val="003B112A"/>
    <w:rsid w:val="003B1175"/>
    <w:rsid w:val="003B1303"/>
    <w:rsid w:val="003B1367"/>
    <w:rsid w:val="003B141F"/>
    <w:rsid w:val="003B1480"/>
    <w:rsid w:val="003B16F3"/>
    <w:rsid w:val="003B1757"/>
    <w:rsid w:val="003B1C43"/>
    <w:rsid w:val="003B1C69"/>
    <w:rsid w:val="003B1E7C"/>
    <w:rsid w:val="003B1ECF"/>
    <w:rsid w:val="003B1FAA"/>
    <w:rsid w:val="003B1FCB"/>
    <w:rsid w:val="003B21FE"/>
    <w:rsid w:val="003B2282"/>
    <w:rsid w:val="003B2336"/>
    <w:rsid w:val="003B23C2"/>
    <w:rsid w:val="003B23CD"/>
    <w:rsid w:val="003B2420"/>
    <w:rsid w:val="003B2665"/>
    <w:rsid w:val="003B2F1A"/>
    <w:rsid w:val="003B2FE2"/>
    <w:rsid w:val="003B3000"/>
    <w:rsid w:val="003B30D6"/>
    <w:rsid w:val="003B3283"/>
    <w:rsid w:val="003B3364"/>
    <w:rsid w:val="003B33AF"/>
    <w:rsid w:val="003B3446"/>
    <w:rsid w:val="003B348D"/>
    <w:rsid w:val="003B35BB"/>
    <w:rsid w:val="003B373A"/>
    <w:rsid w:val="003B3AD0"/>
    <w:rsid w:val="003B3B53"/>
    <w:rsid w:val="003B3BFD"/>
    <w:rsid w:val="003B3CC3"/>
    <w:rsid w:val="003B3CD1"/>
    <w:rsid w:val="003B3DEF"/>
    <w:rsid w:val="003B3F15"/>
    <w:rsid w:val="003B3F6C"/>
    <w:rsid w:val="003B403C"/>
    <w:rsid w:val="003B4167"/>
    <w:rsid w:val="003B41CA"/>
    <w:rsid w:val="003B4366"/>
    <w:rsid w:val="003B4626"/>
    <w:rsid w:val="003B4671"/>
    <w:rsid w:val="003B46EE"/>
    <w:rsid w:val="003B4A42"/>
    <w:rsid w:val="003B4BD0"/>
    <w:rsid w:val="003B4C5F"/>
    <w:rsid w:val="003B4D7C"/>
    <w:rsid w:val="003B50EB"/>
    <w:rsid w:val="003B5220"/>
    <w:rsid w:val="003B5287"/>
    <w:rsid w:val="003B5457"/>
    <w:rsid w:val="003B5AB1"/>
    <w:rsid w:val="003B5B00"/>
    <w:rsid w:val="003B5B58"/>
    <w:rsid w:val="003B5D2A"/>
    <w:rsid w:val="003B5E90"/>
    <w:rsid w:val="003B5F09"/>
    <w:rsid w:val="003B5F89"/>
    <w:rsid w:val="003B6094"/>
    <w:rsid w:val="003B62B7"/>
    <w:rsid w:val="003B6531"/>
    <w:rsid w:val="003B65EB"/>
    <w:rsid w:val="003B66A9"/>
    <w:rsid w:val="003B676C"/>
    <w:rsid w:val="003B69AA"/>
    <w:rsid w:val="003B6B23"/>
    <w:rsid w:val="003B6B7A"/>
    <w:rsid w:val="003B6BEC"/>
    <w:rsid w:val="003B6E39"/>
    <w:rsid w:val="003B6E75"/>
    <w:rsid w:val="003B6F47"/>
    <w:rsid w:val="003B70CF"/>
    <w:rsid w:val="003B7194"/>
    <w:rsid w:val="003B7198"/>
    <w:rsid w:val="003B741E"/>
    <w:rsid w:val="003B77D5"/>
    <w:rsid w:val="003B78B7"/>
    <w:rsid w:val="003B78BE"/>
    <w:rsid w:val="003B79A9"/>
    <w:rsid w:val="003B7A99"/>
    <w:rsid w:val="003B7AAD"/>
    <w:rsid w:val="003B7BA7"/>
    <w:rsid w:val="003B7CD2"/>
    <w:rsid w:val="003B7D8F"/>
    <w:rsid w:val="003B7DC4"/>
    <w:rsid w:val="003B7E3D"/>
    <w:rsid w:val="003C0052"/>
    <w:rsid w:val="003C0083"/>
    <w:rsid w:val="003C0100"/>
    <w:rsid w:val="003C0146"/>
    <w:rsid w:val="003C0282"/>
    <w:rsid w:val="003C03B5"/>
    <w:rsid w:val="003C03FF"/>
    <w:rsid w:val="003C0563"/>
    <w:rsid w:val="003C070A"/>
    <w:rsid w:val="003C077A"/>
    <w:rsid w:val="003C0875"/>
    <w:rsid w:val="003C0B92"/>
    <w:rsid w:val="003C0D64"/>
    <w:rsid w:val="003C0F20"/>
    <w:rsid w:val="003C0F7F"/>
    <w:rsid w:val="003C0FA0"/>
    <w:rsid w:val="003C0FEE"/>
    <w:rsid w:val="003C127D"/>
    <w:rsid w:val="003C12A9"/>
    <w:rsid w:val="003C166D"/>
    <w:rsid w:val="003C1765"/>
    <w:rsid w:val="003C1B70"/>
    <w:rsid w:val="003C1F3D"/>
    <w:rsid w:val="003C1FA0"/>
    <w:rsid w:val="003C218D"/>
    <w:rsid w:val="003C2297"/>
    <w:rsid w:val="003C24BB"/>
    <w:rsid w:val="003C260B"/>
    <w:rsid w:val="003C26FB"/>
    <w:rsid w:val="003C272B"/>
    <w:rsid w:val="003C28A2"/>
    <w:rsid w:val="003C294C"/>
    <w:rsid w:val="003C2A3C"/>
    <w:rsid w:val="003C2C5C"/>
    <w:rsid w:val="003C2CAF"/>
    <w:rsid w:val="003C2CF9"/>
    <w:rsid w:val="003C2E35"/>
    <w:rsid w:val="003C2E95"/>
    <w:rsid w:val="003C2F18"/>
    <w:rsid w:val="003C3129"/>
    <w:rsid w:val="003C3208"/>
    <w:rsid w:val="003C3237"/>
    <w:rsid w:val="003C33F4"/>
    <w:rsid w:val="003C3426"/>
    <w:rsid w:val="003C3434"/>
    <w:rsid w:val="003C355D"/>
    <w:rsid w:val="003C3596"/>
    <w:rsid w:val="003C3806"/>
    <w:rsid w:val="003C3955"/>
    <w:rsid w:val="003C39C6"/>
    <w:rsid w:val="003C3B31"/>
    <w:rsid w:val="003C40D0"/>
    <w:rsid w:val="003C4302"/>
    <w:rsid w:val="003C4335"/>
    <w:rsid w:val="003C44DC"/>
    <w:rsid w:val="003C454F"/>
    <w:rsid w:val="003C4564"/>
    <w:rsid w:val="003C4740"/>
    <w:rsid w:val="003C4756"/>
    <w:rsid w:val="003C4854"/>
    <w:rsid w:val="003C48A6"/>
    <w:rsid w:val="003C4B9A"/>
    <w:rsid w:val="003C4CD1"/>
    <w:rsid w:val="003C4D7C"/>
    <w:rsid w:val="003C4E12"/>
    <w:rsid w:val="003C4E73"/>
    <w:rsid w:val="003C4E98"/>
    <w:rsid w:val="003C4EBA"/>
    <w:rsid w:val="003C4EF0"/>
    <w:rsid w:val="003C4FE1"/>
    <w:rsid w:val="003C4FF6"/>
    <w:rsid w:val="003C579B"/>
    <w:rsid w:val="003C5A6A"/>
    <w:rsid w:val="003C5B5E"/>
    <w:rsid w:val="003C5CF6"/>
    <w:rsid w:val="003C5D5D"/>
    <w:rsid w:val="003C5D65"/>
    <w:rsid w:val="003C5E5E"/>
    <w:rsid w:val="003C6208"/>
    <w:rsid w:val="003C6253"/>
    <w:rsid w:val="003C62AC"/>
    <w:rsid w:val="003C644F"/>
    <w:rsid w:val="003C64A7"/>
    <w:rsid w:val="003C6564"/>
    <w:rsid w:val="003C66B2"/>
    <w:rsid w:val="003C698B"/>
    <w:rsid w:val="003C69F5"/>
    <w:rsid w:val="003C6A56"/>
    <w:rsid w:val="003C6ACA"/>
    <w:rsid w:val="003C6BC0"/>
    <w:rsid w:val="003C6C10"/>
    <w:rsid w:val="003C6CF9"/>
    <w:rsid w:val="003C6D64"/>
    <w:rsid w:val="003C73C8"/>
    <w:rsid w:val="003C74D8"/>
    <w:rsid w:val="003C754A"/>
    <w:rsid w:val="003C7571"/>
    <w:rsid w:val="003C76B4"/>
    <w:rsid w:val="003C7807"/>
    <w:rsid w:val="003C785D"/>
    <w:rsid w:val="003C79B0"/>
    <w:rsid w:val="003C7A8B"/>
    <w:rsid w:val="003C7ADF"/>
    <w:rsid w:val="003C7BDF"/>
    <w:rsid w:val="003C7D14"/>
    <w:rsid w:val="003C7D5C"/>
    <w:rsid w:val="003C7E0C"/>
    <w:rsid w:val="003C7E36"/>
    <w:rsid w:val="003D00AF"/>
    <w:rsid w:val="003D0166"/>
    <w:rsid w:val="003D02CD"/>
    <w:rsid w:val="003D042A"/>
    <w:rsid w:val="003D043A"/>
    <w:rsid w:val="003D0649"/>
    <w:rsid w:val="003D08A0"/>
    <w:rsid w:val="003D0971"/>
    <w:rsid w:val="003D09A6"/>
    <w:rsid w:val="003D0A80"/>
    <w:rsid w:val="003D0B53"/>
    <w:rsid w:val="003D0B55"/>
    <w:rsid w:val="003D0C89"/>
    <w:rsid w:val="003D0CCF"/>
    <w:rsid w:val="003D0D95"/>
    <w:rsid w:val="003D0E4A"/>
    <w:rsid w:val="003D114F"/>
    <w:rsid w:val="003D13C0"/>
    <w:rsid w:val="003D142B"/>
    <w:rsid w:val="003D1433"/>
    <w:rsid w:val="003D1506"/>
    <w:rsid w:val="003D1782"/>
    <w:rsid w:val="003D17DE"/>
    <w:rsid w:val="003D1854"/>
    <w:rsid w:val="003D18A1"/>
    <w:rsid w:val="003D196A"/>
    <w:rsid w:val="003D1A16"/>
    <w:rsid w:val="003D1ACF"/>
    <w:rsid w:val="003D1BB4"/>
    <w:rsid w:val="003D1CA6"/>
    <w:rsid w:val="003D2067"/>
    <w:rsid w:val="003D2104"/>
    <w:rsid w:val="003D2192"/>
    <w:rsid w:val="003D2589"/>
    <w:rsid w:val="003D2617"/>
    <w:rsid w:val="003D267F"/>
    <w:rsid w:val="003D283E"/>
    <w:rsid w:val="003D2A60"/>
    <w:rsid w:val="003D2AA8"/>
    <w:rsid w:val="003D2B06"/>
    <w:rsid w:val="003D2C03"/>
    <w:rsid w:val="003D2CF0"/>
    <w:rsid w:val="003D2D03"/>
    <w:rsid w:val="003D2F9A"/>
    <w:rsid w:val="003D300E"/>
    <w:rsid w:val="003D3075"/>
    <w:rsid w:val="003D31A5"/>
    <w:rsid w:val="003D328E"/>
    <w:rsid w:val="003D32D8"/>
    <w:rsid w:val="003D33D2"/>
    <w:rsid w:val="003D35A6"/>
    <w:rsid w:val="003D3621"/>
    <w:rsid w:val="003D365E"/>
    <w:rsid w:val="003D3696"/>
    <w:rsid w:val="003D36BE"/>
    <w:rsid w:val="003D37C3"/>
    <w:rsid w:val="003D393F"/>
    <w:rsid w:val="003D3942"/>
    <w:rsid w:val="003D39D9"/>
    <w:rsid w:val="003D3BA7"/>
    <w:rsid w:val="003D3C4D"/>
    <w:rsid w:val="003D3C9C"/>
    <w:rsid w:val="003D3D14"/>
    <w:rsid w:val="003D3D98"/>
    <w:rsid w:val="003D3E91"/>
    <w:rsid w:val="003D3EE7"/>
    <w:rsid w:val="003D3F20"/>
    <w:rsid w:val="003D3F7B"/>
    <w:rsid w:val="003D4006"/>
    <w:rsid w:val="003D40ED"/>
    <w:rsid w:val="003D419F"/>
    <w:rsid w:val="003D428D"/>
    <w:rsid w:val="003D42D2"/>
    <w:rsid w:val="003D4339"/>
    <w:rsid w:val="003D4387"/>
    <w:rsid w:val="003D43C7"/>
    <w:rsid w:val="003D4401"/>
    <w:rsid w:val="003D444D"/>
    <w:rsid w:val="003D4494"/>
    <w:rsid w:val="003D4603"/>
    <w:rsid w:val="003D466F"/>
    <w:rsid w:val="003D47C2"/>
    <w:rsid w:val="003D4848"/>
    <w:rsid w:val="003D484F"/>
    <w:rsid w:val="003D493F"/>
    <w:rsid w:val="003D4AB3"/>
    <w:rsid w:val="003D4B16"/>
    <w:rsid w:val="003D4B1A"/>
    <w:rsid w:val="003D4B1E"/>
    <w:rsid w:val="003D4B5A"/>
    <w:rsid w:val="003D4C29"/>
    <w:rsid w:val="003D4D25"/>
    <w:rsid w:val="003D4DD6"/>
    <w:rsid w:val="003D4E72"/>
    <w:rsid w:val="003D4F06"/>
    <w:rsid w:val="003D4F26"/>
    <w:rsid w:val="003D50F2"/>
    <w:rsid w:val="003D538C"/>
    <w:rsid w:val="003D5650"/>
    <w:rsid w:val="003D5692"/>
    <w:rsid w:val="003D58AC"/>
    <w:rsid w:val="003D58BA"/>
    <w:rsid w:val="003D58FF"/>
    <w:rsid w:val="003D5923"/>
    <w:rsid w:val="003D59E3"/>
    <w:rsid w:val="003D5A28"/>
    <w:rsid w:val="003D5B8B"/>
    <w:rsid w:val="003D5BAA"/>
    <w:rsid w:val="003D5C70"/>
    <w:rsid w:val="003D5CEB"/>
    <w:rsid w:val="003D5E2B"/>
    <w:rsid w:val="003D5F85"/>
    <w:rsid w:val="003D6085"/>
    <w:rsid w:val="003D6107"/>
    <w:rsid w:val="003D626D"/>
    <w:rsid w:val="003D65AB"/>
    <w:rsid w:val="003D6649"/>
    <w:rsid w:val="003D66D7"/>
    <w:rsid w:val="003D675C"/>
    <w:rsid w:val="003D67BA"/>
    <w:rsid w:val="003D6926"/>
    <w:rsid w:val="003D69E2"/>
    <w:rsid w:val="003D6B49"/>
    <w:rsid w:val="003D6CEE"/>
    <w:rsid w:val="003D6EEE"/>
    <w:rsid w:val="003D70F7"/>
    <w:rsid w:val="003D73E6"/>
    <w:rsid w:val="003D7677"/>
    <w:rsid w:val="003D7A32"/>
    <w:rsid w:val="003D7DA9"/>
    <w:rsid w:val="003D7FE5"/>
    <w:rsid w:val="003E00A5"/>
    <w:rsid w:val="003E01C3"/>
    <w:rsid w:val="003E028D"/>
    <w:rsid w:val="003E0511"/>
    <w:rsid w:val="003E0542"/>
    <w:rsid w:val="003E06D9"/>
    <w:rsid w:val="003E0A53"/>
    <w:rsid w:val="003E0AA8"/>
    <w:rsid w:val="003E0C42"/>
    <w:rsid w:val="003E0CB1"/>
    <w:rsid w:val="003E0ED2"/>
    <w:rsid w:val="003E0EE5"/>
    <w:rsid w:val="003E0F08"/>
    <w:rsid w:val="003E123A"/>
    <w:rsid w:val="003E1275"/>
    <w:rsid w:val="003E144D"/>
    <w:rsid w:val="003E15EF"/>
    <w:rsid w:val="003E1625"/>
    <w:rsid w:val="003E1904"/>
    <w:rsid w:val="003E1AFC"/>
    <w:rsid w:val="003E1B3B"/>
    <w:rsid w:val="003E1BEC"/>
    <w:rsid w:val="003E1C3B"/>
    <w:rsid w:val="003E1D6A"/>
    <w:rsid w:val="003E1DFA"/>
    <w:rsid w:val="003E1E97"/>
    <w:rsid w:val="003E20F0"/>
    <w:rsid w:val="003E21D6"/>
    <w:rsid w:val="003E2215"/>
    <w:rsid w:val="003E24A4"/>
    <w:rsid w:val="003E2557"/>
    <w:rsid w:val="003E25FF"/>
    <w:rsid w:val="003E2971"/>
    <w:rsid w:val="003E29F4"/>
    <w:rsid w:val="003E2A2C"/>
    <w:rsid w:val="003E2CD9"/>
    <w:rsid w:val="003E2E21"/>
    <w:rsid w:val="003E2FF7"/>
    <w:rsid w:val="003E3376"/>
    <w:rsid w:val="003E33E5"/>
    <w:rsid w:val="003E3697"/>
    <w:rsid w:val="003E36F2"/>
    <w:rsid w:val="003E3A3B"/>
    <w:rsid w:val="003E3A4B"/>
    <w:rsid w:val="003E3CBA"/>
    <w:rsid w:val="003E3DBB"/>
    <w:rsid w:val="003E4103"/>
    <w:rsid w:val="003E4195"/>
    <w:rsid w:val="003E433E"/>
    <w:rsid w:val="003E44BE"/>
    <w:rsid w:val="003E45CE"/>
    <w:rsid w:val="003E461B"/>
    <w:rsid w:val="003E46C5"/>
    <w:rsid w:val="003E46EC"/>
    <w:rsid w:val="003E4763"/>
    <w:rsid w:val="003E47A3"/>
    <w:rsid w:val="003E494C"/>
    <w:rsid w:val="003E4997"/>
    <w:rsid w:val="003E49BA"/>
    <w:rsid w:val="003E49EF"/>
    <w:rsid w:val="003E4AF7"/>
    <w:rsid w:val="003E4CBB"/>
    <w:rsid w:val="003E4D6A"/>
    <w:rsid w:val="003E4D8A"/>
    <w:rsid w:val="003E509B"/>
    <w:rsid w:val="003E52DC"/>
    <w:rsid w:val="003E57E4"/>
    <w:rsid w:val="003E5878"/>
    <w:rsid w:val="003E58A0"/>
    <w:rsid w:val="003E5BB0"/>
    <w:rsid w:val="003E5BC7"/>
    <w:rsid w:val="003E5DBF"/>
    <w:rsid w:val="003E5E29"/>
    <w:rsid w:val="003E5F12"/>
    <w:rsid w:val="003E6114"/>
    <w:rsid w:val="003E61F0"/>
    <w:rsid w:val="003E6303"/>
    <w:rsid w:val="003E63C3"/>
    <w:rsid w:val="003E642E"/>
    <w:rsid w:val="003E67BC"/>
    <w:rsid w:val="003E6853"/>
    <w:rsid w:val="003E68CC"/>
    <w:rsid w:val="003E69BF"/>
    <w:rsid w:val="003E6AD1"/>
    <w:rsid w:val="003E6B91"/>
    <w:rsid w:val="003E6DFE"/>
    <w:rsid w:val="003E6EF7"/>
    <w:rsid w:val="003E7044"/>
    <w:rsid w:val="003E7074"/>
    <w:rsid w:val="003E70C3"/>
    <w:rsid w:val="003E74AB"/>
    <w:rsid w:val="003E74F8"/>
    <w:rsid w:val="003E7535"/>
    <w:rsid w:val="003E7660"/>
    <w:rsid w:val="003E7697"/>
    <w:rsid w:val="003E76D9"/>
    <w:rsid w:val="003E77CE"/>
    <w:rsid w:val="003E7846"/>
    <w:rsid w:val="003E7870"/>
    <w:rsid w:val="003E78ED"/>
    <w:rsid w:val="003E7C38"/>
    <w:rsid w:val="003E7CDE"/>
    <w:rsid w:val="003E7F94"/>
    <w:rsid w:val="003F0254"/>
    <w:rsid w:val="003F02D7"/>
    <w:rsid w:val="003F0353"/>
    <w:rsid w:val="003F0572"/>
    <w:rsid w:val="003F05C7"/>
    <w:rsid w:val="003F0699"/>
    <w:rsid w:val="003F06DA"/>
    <w:rsid w:val="003F0913"/>
    <w:rsid w:val="003F0A4C"/>
    <w:rsid w:val="003F0A8C"/>
    <w:rsid w:val="003F0C5C"/>
    <w:rsid w:val="003F0CB7"/>
    <w:rsid w:val="003F0E59"/>
    <w:rsid w:val="003F0F47"/>
    <w:rsid w:val="003F1034"/>
    <w:rsid w:val="003F10F3"/>
    <w:rsid w:val="003F11A2"/>
    <w:rsid w:val="003F13CF"/>
    <w:rsid w:val="003F1416"/>
    <w:rsid w:val="003F1469"/>
    <w:rsid w:val="003F14BA"/>
    <w:rsid w:val="003F1564"/>
    <w:rsid w:val="003F1587"/>
    <w:rsid w:val="003F1592"/>
    <w:rsid w:val="003F1614"/>
    <w:rsid w:val="003F1848"/>
    <w:rsid w:val="003F1990"/>
    <w:rsid w:val="003F1AB1"/>
    <w:rsid w:val="003F1F1A"/>
    <w:rsid w:val="003F20F3"/>
    <w:rsid w:val="003F23E1"/>
    <w:rsid w:val="003F2433"/>
    <w:rsid w:val="003F2E4C"/>
    <w:rsid w:val="003F3250"/>
    <w:rsid w:val="003F3254"/>
    <w:rsid w:val="003F34A6"/>
    <w:rsid w:val="003F34D8"/>
    <w:rsid w:val="003F36A7"/>
    <w:rsid w:val="003F374A"/>
    <w:rsid w:val="003F38E7"/>
    <w:rsid w:val="003F39BA"/>
    <w:rsid w:val="003F3B4C"/>
    <w:rsid w:val="003F3C02"/>
    <w:rsid w:val="003F3F06"/>
    <w:rsid w:val="003F3F90"/>
    <w:rsid w:val="003F3FEB"/>
    <w:rsid w:val="003F40B9"/>
    <w:rsid w:val="003F4277"/>
    <w:rsid w:val="003F4324"/>
    <w:rsid w:val="003F43C8"/>
    <w:rsid w:val="003F44A3"/>
    <w:rsid w:val="003F470D"/>
    <w:rsid w:val="003F47E7"/>
    <w:rsid w:val="003F497D"/>
    <w:rsid w:val="003F49BE"/>
    <w:rsid w:val="003F4AED"/>
    <w:rsid w:val="003F4B30"/>
    <w:rsid w:val="003F4BA2"/>
    <w:rsid w:val="003F4BBA"/>
    <w:rsid w:val="003F4C62"/>
    <w:rsid w:val="003F4C7E"/>
    <w:rsid w:val="003F4CB2"/>
    <w:rsid w:val="003F4EFC"/>
    <w:rsid w:val="003F515D"/>
    <w:rsid w:val="003F5164"/>
    <w:rsid w:val="003F51F8"/>
    <w:rsid w:val="003F528A"/>
    <w:rsid w:val="003F52A9"/>
    <w:rsid w:val="003F5573"/>
    <w:rsid w:val="003F558E"/>
    <w:rsid w:val="003F57B0"/>
    <w:rsid w:val="003F5C01"/>
    <w:rsid w:val="003F5C14"/>
    <w:rsid w:val="003F5C3B"/>
    <w:rsid w:val="003F5C96"/>
    <w:rsid w:val="003F5CBA"/>
    <w:rsid w:val="003F5D11"/>
    <w:rsid w:val="003F5D72"/>
    <w:rsid w:val="003F5DC7"/>
    <w:rsid w:val="003F5E7C"/>
    <w:rsid w:val="003F5F1B"/>
    <w:rsid w:val="003F5F85"/>
    <w:rsid w:val="003F6270"/>
    <w:rsid w:val="003F6606"/>
    <w:rsid w:val="003F67F5"/>
    <w:rsid w:val="003F688E"/>
    <w:rsid w:val="003F68E0"/>
    <w:rsid w:val="003F6AC5"/>
    <w:rsid w:val="003F6BAB"/>
    <w:rsid w:val="003F6CCB"/>
    <w:rsid w:val="003F6D81"/>
    <w:rsid w:val="003F6E9F"/>
    <w:rsid w:val="003F7002"/>
    <w:rsid w:val="003F7020"/>
    <w:rsid w:val="003F706F"/>
    <w:rsid w:val="003F708C"/>
    <w:rsid w:val="003F71FA"/>
    <w:rsid w:val="003F7287"/>
    <w:rsid w:val="003F72C5"/>
    <w:rsid w:val="003F76DB"/>
    <w:rsid w:val="003F784B"/>
    <w:rsid w:val="003F7ABC"/>
    <w:rsid w:val="003F7ADA"/>
    <w:rsid w:val="003F7B34"/>
    <w:rsid w:val="003F7B40"/>
    <w:rsid w:val="003F7CB2"/>
    <w:rsid w:val="003F7DA0"/>
    <w:rsid w:val="003F7DDC"/>
    <w:rsid w:val="00400013"/>
    <w:rsid w:val="0040002E"/>
    <w:rsid w:val="00400055"/>
    <w:rsid w:val="00400284"/>
    <w:rsid w:val="004002AE"/>
    <w:rsid w:val="0040039D"/>
    <w:rsid w:val="0040045D"/>
    <w:rsid w:val="004004F6"/>
    <w:rsid w:val="00400506"/>
    <w:rsid w:val="0040073B"/>
    <w:rsid w:val="0040080D"/>
    <w:rsid w:val="00400941"/>
    <w:rsid w:val="00400B1F"/>
    <w:rsid w:val="00400B6E"/>
    <w:rsid w:val="00400C46"/>
    <w:rsid w:val="00400D55"/>
    <w:rsid w:val="00400DE1"/>
    <w:rsid w:val="00400DF8"/>
    <w:rsid w:val="00400F1F"/>
    <w:rsid w:val="00400FF1"/>
    <w:rsid w:val="00401108"/>
    <w:rsid w:val="00401169"/>
    <w:rsid w:val="00401275"/>
    <w:rsid w:val="0040130E"/>
    <w:rsid w:val="004014C9"/>
    <w:rsid w:val="00401568"/>
    <w:rsid w:val="004016B2"/>
    <w:rsid w:val="00401756"/>
    <w:rsid w:val="004018B9"/>
    <w:rsid w:val="00401904"/>
    <w:rsid w:val="00401C3D"/>
    <w:rsid w:val="00401DFC"/>
    <w:rsid w:val="00401E45"/>
    <w:rsid w:val="00401EAC"/>
    <w:rsid w:val="00401F02"/>
    <w:rsid w:val="00401F7A"/>
    <w:rsid w:val="004020CB"/>
    <w:rsid w:val="00402101"/>
    <w:rsid w:val="004021A6"/>
    <w:rsid w:val="00402268"/>
    <w:rsid w:val="004022A1"/>
    <w:rsid w:val="004023AB"/>
    <w:rsid w:val="004023D1"/>
    <w:rsid w:val="004024E7"/>
    <w:rsid w:val="00402546"/>
    <w:rsid w:val="0040254B"/>
    <w:rsid w:val="004026B4"/>
    <w:rsid w:val="004026BC"/>
    <w:rsid w:val="00402750"/>
    <w:rsid w:val="00402895"/>
    <w:rsid w:val="0040290F"/>
    <w:rsid w:val="00402A2E"/>
    <w:rsid w:val="00402CA1"/>
    <w:rsid w:val="00402D0A"/>
    <w:rsid w:val="00402D6E"/>
    <w:rsid w:val="00402EEF"/>
    <w:rsid w:val="00403026"/>
    <w:rsid w:val="004030D4"/>
    <w:rsid w:val="0040311E"/>
    <w:rsid w:val="004032CF"/>
    <w:rsid w:val="004032DC"/>
    <w:rsid w:val="0040336B"/>
    <w:rsid w:val="004034E1"/>
    <w:rsid w:val="004035F3"/>
    <w:rsid w:val="00403657"/>
    <w:rsid w:val="004036E8"/>
    <w:rsid w:val="004038AB"/>
    <w:rsid w:val="00403928"/>
    <w:rsid w:val="00403AF0"/>
    <w:rsid w:val="00403B37"/>
    <w:rsid w:val="00403BDA"/>
    <w:rsid w:val="00403BFB"/>
    <w:rsid w:val="00403D94"/>
    <w:rsid w:val="00403E5A"/>
    <w:rsid w:val="00404043"/>
    <w:rsid w:val="00404166"/>
    <w:rsid w:val="00404341"/>
    <w:rsid w:val="0040434C"/>
    <w:rsid w:val="004043C1"/>
    <w:rsid w:val="004044D7"/>
    <w:rsid w:val="004045EE"/>
    <w:rsid w:val="0040462F"/>
    <w:rsid w:val="00404655"/>
    <w:rsid w:val="004046C6"/>
    <w:rsid w:val="004047FE"/>
    <w:rsid w:val="0040494B"/>
    <w:rsid w:val="00404B39"/>
    <w:rsid w:val="00404BEC"/>
    <w:rsid w:val="00404D0E"/>
    <w:rsid w:val="00404F4D"/>
    <w:rsid w:val="0040519C"/>
    <w:rsid w:val="004051B5"/>
    <w:rsid w:val="004052BA"/>
    <w:rsid w:val="004053CD"/>
    <w:rsid w:val="004053D0"/>
    <w:rsid w:val="00405606"/>
    <w:rsid w:val="0040568F"/>
    <w:rsid w:val="004056A2"/>
    <w:rsid w:val="00405780"/>
    <w:rsid w:val="0040594C"/>
    <w:rsid w:val="004059AC"/>
    <w:rsid w:val="004059CD"/>
    <w:rsid w:val="00405B44"/>
    <w:rsid w:val="00405F3A"/>
    <w:rsid w:val="00406048"/>
    <w:rsid w:val="004061CE"/>
    <w:rsid w:val="0040620B"/>
    <w:rsid w:val="0040640D"/>
    <w:rsid w:val="004065B1"/>
    <w:rsid w:val="0040672A"/>
    <w:rsid w:val="00406750"/>
    <w:rsid w:val="004067CB"/>
    <w:rsid w:val="00406A17"/>
    <w:rsid w:val="00406C89"/>
    <w:rsid w:val="00406EC7"/>
    <w:rsid w:val="0040705F"/>
    <w:rsid w:val="00407207"/>
    <w:rsid w:val="00407356"/>
    <w:rsid w:val="004078B5"/>
    <w:rsid w:val="004078E9"/>
    <w:rsid w:val="00407A44"/>
    <w:rsid w:val="00407C15"/>
    <w:rsid w:val="00407CCA"/>
    <w:rsid w:val="00407DBD"/>
    <w:rsid w:val="00407FB4"/>
    <w:rsid w:val="00410046"/>
    <w:rsid w:val="00410230"/>
    <w:rsid w:val="0041023D"/>
    <w:rsid w:val="004102D7"/>
    <w:rsid w:val="0041059C"/>
    <w:rsid w:val="004106EC"/>
    <w:rsid w:val="0041077D"/>
    <w:rsid w:val="0041093C"/>
    <w:rsid w:val="00410D3C"/>
    <w:rsid w:val="00410D75"/>
    <w:rsid w:val="00410DB0"/>
    <w:rsid w:val="00410EB4"/>
    <w:rsid w:val="00411168"/>
    <w:rsid w:val="004111FE"/>
    <w:rsid w:val="004112D3"/>
    <w:rsid w:val="00411354"/>
    <w:rsid w:val="00411433"/>
    <w:rsid w:val="004115EF"/>
    <w:rsid w:val="0041160F"/>
    <w:rsid w:val="004117D9"/>
    <w:rsid w:val="0041182F"/>
    <w:rsid w:val="004118E3"/>
    <w:rsid w:val="0041193F"/>
    <w:rsid w:val="00411B78"/>
    <w:rsid w:val="00411EB2"/>
    <w:rsid w:val="00412019"/>
    <w:rsid w:val="004121C0"/>
    <w:rsid w:val="00412519"/>
    <w:rsid w:val="0041259A"/>
    <w:rsid w:val="00412818"/>
    <w:rsid w:val="00412970"/>
    <w:rsid w:val="00412984"/>
    <w:rsid w:val="0041298D"/>
    <w:rsid w:val="004129C7"/>
    <w:rsid w:val="00412A24"/>
    <w:rsid w:val="00412AE1"/>
    <w:rsid w:val="00412B47"/>
    <w:rsid w:val="00412BDB"/>
    <w:rsid w:val="00412FF2"/>
    <w:rsid w:val="00413068"/>
    <w:rsid w:val="004130B8"/>
    <w:rsid w:val="004130C7"/>
    <w:rsid w:val="00413242"/>
    <w:rsid w:val="004134D2"/>
    <w:rsid w:val="0041350C"/>
    <w:rsid w:val="004135DB"/>
    <w:rsid w:val="004136F0"/>
    <w:rsid w:val="0041374F"/>
    <w:rsid w:val="00413775"/>
    <w:rsid w:val="004137D1"/>
    <w:rsid w:val="004137EB"/>
    <w:rsid w:val="00413861"/>
    <w:rsid w:val="004138AE"/>
    <w:rsid w:val="00413911"/>
    <w:rsid w:val="00413CD3"/>
    <w:rsid w:val="00413F12"/>
    <w:rsid w:val="00413F35"/>
    <w:rsid w:val="00413F81"/>
    <w:rsid w:val="004140E6"/>
    <w:rsid w:val="00414458"/>
    <w:rsid w:val="004145BD"/>
    <w:rsid w:val="004145F1"/>
    <w:rsid w:val="00414657"/>
    <w:rsid w:val="00414665"/>
    <w:rsid w:val="00414780"/>
    <w:rsid w:val="0041486D"/>
    <w:rsid w:val="00414D5E"/>
    <w:rsid w:val="00414EE8"/>
    <w:rsid w:val="00414F0E"/>
    <w:rsid w:val="00414F8A"/>
    <w:rsid w:val="00414FAC"/>
    <w:rsid w:val="00415230"/>
    <w:rsid w:val="004153ED"/>
    <w:rsid w:val="004155A9"/>
    <w:rsid w:val="004155B1"/>
    <w:rsid w:val="004155BB"/>
    <w:rsid w:val="004156B5"/>
    <w:rsid w:val="004156F6"/>
    <w:rsid w:val="00415707"/>
    <w:rsid w:val="0041570B"/>
    <w:rsid w:val="0041598E"/>
    <w:rsid w:val="00415A44"/>
    <w:rsid w:val="00415AC0"/>
    <w:rsid w:val="00415CB3"/>
    <w:rsid w:val="00415CDC"/>
    <w:rsid w:val="00415CEB"/>
    <w:rsid w:val="00415FE2"/>
    <w:rsid w:val="004163FA"/>
    <w:rsid w:val="00416499"/>
    <w:rsid w:val="004164BF"/>
    <w:rsid w:val="00416712"/>
    <w:rsid w:val="004167FD"/>
    <w:rsid w:val="0041687E"/>
    <w:rsid w:val="0041699E"/>
    <w:rsid w:val="00416B90"/>
    <w:rsid w:val="00416C9A"/>
    <w:rsid w:val="00416FF1"/>
    <w:rsid w:val="00417063"/>
    <w:rsid w:val="004170CA"/>
    <w:rsid w:val="0041726A"/>
    <w:rsid w:val="00417300"/>
    <w:rsid w:val="0041741D"/>
    <w:rsid w:val="0041762A"/>
    <w:rsid w:val="004176F8"/>
    <w:rsid w:val="00417793"/>
    <w:rsid w:val="00417B52"/>
    <w:rsid w:val="00417D81"/>
    <w:rsid w:val="00417D9D"/>
    <w:rsid w:val="00417E7F"/>
    <w:rsid w:val="00417F63"/>
    <w:rsid w:val="00420057"/>
    <w:rsid w:val="00420363"/>
    <w:rsid w:val="0042063A"/>
    <w:rsid w:val="00420985"/>
    <w:rsid w:val="004209EA"/>
    <w:rsid w:val="004209EE"/>
    <w:rsid w:val="00420ABB"/>
    <w:rsid w:val="00420CD1"/>
    <w:rsid w:val="00420DB0"/>
    <w:rsid w:val="00420F45"/>
    <w:rsid w:val="00421037"/>
    <w:rsid w:val="00421044"/>
    <w:rsid w:val="00421274"/>
    <w:rsid w:val="004217BC"/>
    <w:rsid w:val="004217D2"/>
    <w:rsid w:val="0042187C"/>
    <w:rsid w:val="00421919"/>
    <w:rsid w:val="004219E7"/>
    <w:rsid w:val="00421CCE"/>
    <w:rsid w:val="00421DFB"/>
    <w:rsid w:val="00421EFA"/>
    <w:rsid w:val="00421F2B"/>
    <w:rsid w:val="00421F63"/>
    <w:rsid w:val="00421F86"/>
    <w:rsid w:val="00422057"/>
    <w:rsid w:val="004220A0"/>
    <w:rsid w:val="0042218B"/>
    <w:rsid w:val="004222D2"/>
    <w:rsid w:val="004223BE"/>
    <w:rsid w:val="004224E1"/>
    <w:rsid w:val="00422568"/>
    <w:rsid w:val="00422669"/>
    <w:rsid w:val="00422973"/>
    <w:rsid w:val="00422A04"/>
    <w:rsid w:val="00422AB1"/>
    <w:rsid w:val="0042315B"/>
    <w:rsid w:val="00423162"/>
    <w:rsid w:val="00423257"/>
    <w:rsid w:val="0042327A"/>
    <w:rsid w:val="0042343C"/>
    <w:rsid w:val="0042346F"/>
    <w:rsid w:val="0042355A"/>
    <w:rsid w:val="004236F4"/>
    <w:rsid w:val="00423895"/>
    <w:rsid w:val="00423A47"/>
    <w:rsid w:val="00423AB0"/>
    <w:rsid w:val="00423BFB"/>
    <w:rsid w:val="00423C69"/>
    <w:rsid w:val="00423C90"/>
    <w:rsid w:val="00423D4C"/>
    <w:rsid w:val="0042412E"/>
    <w:rsid w:val="00424160"/>
    <w:rsid w:val="0042449F"/>
    <w:rsid w:val="00424506"/>
    <w:rsid w:val="00424512"/>
    <w:rsid w:val="004245AC"/>
    <w:rsid w:val="00424694"/>
    <w:rsid w:val="004247C7"/>
    <w:rsid w:val="0042484C"/>
    <w:rsid w:val="004248FF"/>
    <w:rsid w:val="00424978"/>
    <w:rsid w:val="00424A9B"/>
    <w:rsid w:val="00424BC0"/>
    <w:rsid w:val="00425240"/>
    <w:rsid w:val="00425409"/>
    <w:rsid w:val="00425572"/>
    <w:rsid w:val="004255DF"/>
    <w:rsid w:val="004256F7"/>
    <w:rsid w:val="00425912"/>
    <w:rsid w:val="00425A24"/>
    <w:rsid w:val="00425AEA"/>
    <w:rsid w:val="00425B6F"/>
    <w:rsid w:val="00425F37"/>
    <w:rsid w:val="00425F67"/>
    <w:rsid w:val="00425F9A"/>
    <w:rsid w:val="00425FF3"/>
    <w:rsid w:val="00426004"/>
    <w:rsid w:val="004260C7"/>
    <w:rsid w:val="004260D3"/>
    <w:rsid w:val="004260F5"/>
    <w:rsid w:val="004260FE"/>
    <w:rsid w:val="00426115"/>
    <w:rsid w:val="004261C5"/>
    <w:rsid w:val="00426394"/>
    <w:rsid w:val="004263C6"/>
    <w:rsid w:val="004264EF"/>
    <w:rsid w:val="004266DE"/>
    <w:rsid w:val="004268A9"/>
    <w:rsid w:val="00426975"/>
    <w:rsid w:val="00426A75"/>
    <w:rsid w:val="00426BCA"/>
    <w:rsid w:val="00426C48"/>
    <w:rsid w:val="00426D30"/>
    <w:rsid w:val="00426DCC"/>
    <w:rsid w:val="00426F16"/>
    <w:rsid w:val="004272E6"/>
    <w:rsid w:val="00427662"/>
    <w:rsid w:val="004277C2"/>
    <w:rsid w:val="004278B2"/>
    <w:rsid w:val="004279BF"/>
    <w:rsid w:val="004279E4"/>
    <w:rsid w:val="00427A81"/>
    <w:rsid w:val="00427BDD"/>
    <w:rsid w:val="00427CDF"/>
    <w:rsid w:val="00427DE6"/>
    <w:rsid w:val="00427E1F"/>
    <w:rsid w:val="00427F4A"/>
    <w:rsid w:val="0043001C"/>
    <w:rsid w:val="004300CA"/>
    <w:rsid w:val="004300D8"/>
    <w:rsid w:val="00430133"/>
    <w:rsid w:val="00430192"/>
    <w:rsid w:val="004301AB"/>
    <w:rsid w:val="004304AC"/>
    <w:rsid w:val="004306A1"/>
    <w:rsid w:val="004306CA"/>
    <w:rsid w:val="00430945"/>
    <w:rsid w:val="00430978"/>
    <w:rsid w:val="00430D4D"/>
    <w:rsid w:val="00430DD3"/>
    <w:rsid w:val="00430DEB"/>
    <w:rsid w:val="00430EBE"/>
    <w:rsid w:val="00430FB5"/>
    <w:rsid w:val="00431154"/>
    <w:rsid w:val="0043125B"/>
    <w:rsid w:val="00431367"/>
    <w:rsid w:val="00431372"/>
    <w:rsid w:val="0043159B"/>
    <w:rsid w:val="00431748"/>
    <w:rsid w:val="0043184E"/>
    <w:rsid w:val="00431865"/>
    <w:rsid w:val="004318A4"/>
    <w:rsid w:val="00431957"/>
    <w:rsid w:val="00431A6C"/>
    <w:rsid w:val="00431A76"/>
    <w:rsid w:val="00431BD6"/>
    <w:rsid w:val="00431C84"/>
    <w:rsid w:val="00431CEC"/>
    <w:rsid w:val="00431E40"/>
    <w:rsid w:val="00432180"/>
    <w:rsid w:val="004321A0"/>
    <w:rsid w:val="004323E0"/>
    <w:rsid w:val="004325E5"/>
    <w:rsid w:val="00432672"/>
    <w:rsid w:val="004326D0"/>
    <w:rsid w:val="00432759"/>
    <w:rsid w:val="004328ED"/>
    <w:rsid w:val="00432970"/>
    <w:rsid w:val="004329EA"/>
    <w:rsid w:val="00432A2D"/>
    <w:rsid w:val="00432A6D"/>
    <w:rsid w:val="00432CA4"/>
    <w:rsid w:val="00432CAD"/>
    <w:rsid w:val="00433002"/>
    <w:rsid w:val="00433191"/>
    <w:rsid w:val="004332B3"/>
    <w:rsid w:val="00433324"/>
    <w:rsid w:val="00433388"/>
    <w:rsid w:val="004333B5"/>
    <w:rsid w:val="0043340E"/>
    <w:rsid w:val="00433508"/>
    <w:rsid w:val="004335F7"/>
    <w:rsid w:val="004336FB"/>
    <w:rsid w:val="0043374E"/>
    <w:rsid w:val="004337E4"/>
    <w:rsid w:val="0043398D"/>
    <w:rsid w:val="0043399E"/>
    <w:rsid w:val="00433C78"/>
    <w:rsid w:val="00433EFB"/>
    <w:rsid w:val="0043404A"/>
    <w:rsid w:val="00434179"/>
    <w:rsid w:val="004341A9"/>
    <w:rsid w:val="004342F0"/>
    <w:rsid w:val="00434423"/>
    <w:rsid w:val="00434430"/>
    <w:rsid w:val="004344EB"/>
    <w:rsid w:val="0043462C"/>
    <w:rsid w:val="00434703"/>
    <w:rsid w:val="004347CC"/>
    <w:rsid w:val="0043496E"/>
    <w:rsid w:val="00434B08"/>
    <w:rsid w:val="00434B38"/>
    <w:rsid w:val="00434BD6"/>
    <w:rsid w:val="00434D27"/>
    <w:rsid w:val="004350A9"/>
    <w:rsid w:val="0043511B"/>
    <w:rsid w:val="00435376"/>
    <w:rsid w:val="00435548"/>
    <w:rsid w:val="004355BB"/>
    <w:rsid w:val="004356B6"/>
    <w:rsid w:val="004356DA"/>
    <w:rsid w:val="004357E4"/>
    <w:rsid w:val="004357F7"/>
    <w:rsid w:val="00435C10"/>
    <w:rsid w:val="00435D53"/>
    <w:rsid w:val="00435E2B"/>
    <w:rsid w:val="00435E5C"/>
    <w:rsid w:val="00435EC3"/>
    <w:rsid w:val="00435ECA"/>
    <w:rsid w:val="00435F18"/>
    <w:rsid w:val="004360F4"/>
    <w:rsid w:val="004361FD"/>
    <w:rsid w:val="00436603"/>
    <w:rsid w:val="00436638"/>
    <w:rsid w:val="004366A1"/>
    <w:rsid w:val="004366DC"/>
    <w:rsid w:val="00436901"/>
    <w:rsid w:val="00436910"/>
    <w:rsid w:val="00436AC3"/>
    <w:rsid w:val="00436BDC"/>
    <w:rsid w:val="00436D63"/>
    <w:rsid w:val="00436D70"/>
    <w:rsid w:val="00436F83"/>
    <w:rsid w:val="00437069"/>
    <w:rsid w:val="00437409"/>
    <w:rsid w:val="00437586"/>
    <w:rsid w:val="00437704"/>
    <w:rsid w:val="004379E8"/>
    <w:rsid w:val="00437AD9"/>
    <w:rsid w:val="00437C84"/>
    <w:rsid w:val="00437CD2"/>
    <w:rsid w:val="00437D22"/>
    <w:rsid w:val="00437F88"/>
    <w:rsid w:val="00437FCE"/>
    <w:rsid w:val="00440203"/>
    <w:rsid w:val="0044033C"/>
    <w:rsid w:val="00440379"/>
    <w:rsid w:val="00440765"/>
    <w:rsid w:val="0044084D"/>
    <w:rsid w:val="004408A9"/>
    <w:rsid w:val="00440906"/>
    <w:rsid w:val="00440961"/>
    <w:rsid w:val="00440A77"/>
    <w:rsid w:val="00440BD7"/>
    <w:rsid w:val="00440CF4"/>
    <w:rsid w:val="00440D4B"/>
    <w:rsid w:val="00440D8B"/>
    <w:rsid w:val="00440D8E"/>
    <w:rsid w:val="00440D94"/>
    <w:rsid w:val="00440F76"/>
    <w:rsid w:val="004411F0"/>
    <w:rsid w:val="0044138A"/>
    <w:rsid w:val="00441786"/>
    <w:rsid w:val="00441914"/>
    <w:rsid w:val="0044194F"/>
    <w:rsid w:val="00441958"/>
    <w:rsid w:val="00441986"/>
    <w:rsid w:val="00441A68"/>
    <w:rsid w:val="00441B1C"/>
    <w:rsid w:val="00441BB5"/>
    <w:rsid w:val="00441BFF"/>
    <w:rsid w:val="00441C28"/>
    <w:rsid w:val="00441CB0"/>
    <w:rsid w:val="00441D7D"/>
    <w:rsid w:val="00441DCA"/>
    <w:rsid w:val="00441DD8"/>
    <w:rsid w:val="00441EAD"/>
    <w:rsid w:val="00441ED2"/>
    <w:rsid w:val="00441F4D"/>
    <w:rsid w:val="00441F8D"/>
    <w:rsid w:val="00442363"/>
    <w:rsid w:val="00442561"/>
    <w:rsid w:val="0044258D"/>
    <w:rsid w:val="004425E4"/>
    <w:rsid w:val="0044264F"/>
    <w:rsid w:val="004426E0"/>
    <w:rsid w:val="004427AD"/>
    <w:rsid w:val="004428AF"/>
    <w:rsid w:val="004428E8"/>
    <w:rsid w:val="00442944"/>
    <w:rsid w:val="00442D16"/>
    <w:rsid w:val="00442E72"/>
    <w:rsid w:val="0044314C"/>
    <w:rsid w:val="00443287"/>
    <w:rsid w:val="00443289"/>
    <w:rsid w:val="0044339E"/>
    <w:rsid w:val="004434A5"/>
    <w:rsid w:val="004436BC"/>
    <w:rsid w:val="00443B07"/>
    <w:rsid w:val="00443CED"/>
    <w:rsid w:val="00443DA7"/>
    <w:rsid w:val="00443FF4"/>
    <w:rsid w:val="0044406B"/>
    <w:rsid w:val="00444081"/>
    <w:rsid w:val="004443C1"/>
    <w:rsid w:val="004446B7"/>
    <w:rsid w:val="004447A8"/>
    <w:rsid w:val="004447C4"/>
    <w:rsid w:val="0044497F"/>
    <w:rsid w:val="004449D3"/>
    <w:rsid w:val="00444A4E"/>
    <w:rsid w:val="00444AB0"/>
    <w:rsid w:val="00444D19"/>
    <w:rsid w:val="00444DD4"/>
    <w:rsid w:val="00444DD7"/>
    <w:rsid w:val="00444F91"/>
    <w:rsid w:val="00445158"/>
    <w:rsid w:val="0044527E"/>
    <w:rsid w:val="004452A9"/>
    <w:rsid w:val="00445515"/>
    <w:rsid w:val="0044552F"/>
    <w:rsid w:val="0044555A"/>
    <w:rsid w:val="004458F4"/>
    <w:rsid w:val="00445A1F"/>
    <w:rsid w:val="00445B0F"/>
    <w:rsid w:val="00445B30"/>
    <w:rsid w:val="00445B5D"/>
    <w:rsid w:val="00445D62"/>
    <w:rsid w:val="00445E98"/>
    <w:rsid w:val="00445F9D"/>
    <w:rsid w:val="004460B7"/>
    <w:rsid w:val="00446142"/>
    <w:rsid w:val="00446157"/>
    <w:rsid w:val="004461AF"/>
    <w:rsid w:val="004462B7"/>
    <w:rsid w:val="00446301"/>
    <w:rsid w:val="00446328"/>
    <w:rsid w:val="00446330"/>
    <w:rsid w:val="004463BC"/>
    <w:rsid w:val="00446457"/>
    <w:rsid w:val="004464E6"/>
    <w:rsid w:val="004465B1"/>
    <w:rsid w:val="0044670A"/>
    <w:rsid w:val="00446877"/>
    <w:rsid w:val="00446AB0"/>
    <w:rsid w:val="00446C2D"/>
    <w:rsid w:val="00446C5A"/>
    <w:rsid w:val="00446D12"/>
    <w:rsid w:val="00446ED6"/>
    <w:rsid w:val="00446F44"/>
    <w:rsid w:val="0044706D"/>
    <w:rsid w:val="00447085"/>
    <w:rsid w:val="00447156"/>
    <w:rsid w:val="004471B7"/>
    <w:rsid w:val="004471CF"/>
    <w:rsid w:val="0044738D"/>
    <w:rsid w:val="004473CF"/>
    <w:rsid w:val="004475A5"/>
    <w:rsid w:val="004475CE"/>
    <w:rsid w:val="0044761A"/>
    <w:rsid w:val="0044769A"/>
    <w:rsid w:val="004476C2"/>
    <w:rsid w:val="004476E2"/>
    <w:rsid w:val="00447825"/>
    <w:rsid w:val="0044783E"/>
    <w:rsid w:val="00447A51"/>
    <w:rsid w:val="00447B8A"/>
    <w:rsid w:val="00447BDB"/>
    <w:rsid w:val="0045017B"/>
    <w:rsid w:val="004502C3"/>
    <w:rsid w:val="004504FF"/>
    <w:rsid w:val="004505B5"/>
    <w:rsid w:val="0045072F"/>
    <w:rsid w:val="00450989"/>
    <w:rsid w:val="00450A6D"/>
    <w:rsid w:val="00450BEC"/>
    <w:rsid w:val="00450CC9"/>
    <w:rsid w:val="00450CFC"/>
    <w:rsid w:val="00450EAF"/>
    <w:rsid w:val="00450F92"/>
    <w:rsid w:val="00450FA8"/>
    <w:rsid w:val="0045125E"/>
    <w:rsid w:val="00451329"/>
    <w:rsid w:val="004513A1"/>
    <w:rsid w:val="00451443"/>
    <w:rsid w:val="00451459"/>
    <w:rsid w:val="004514BB"/>
    <w:rsid w:val="00451545"/>
    <w:rsid w:val="00451816"/>
    <w:rsid w:val="00451895"/>
    <w:rsid w:val="00451897"/>
    <w:rsid w:val="00451938"/>
    <w:rsid w:val="00451A8F"/>
    <w:rsid w:val="00451CD3"/>
    <w:rsid w:val="00451DC0"/>
    <w:rsid w:val="00451E47"/>
    <w:rsid w:val="0045204F"/>
    <w:rsid w:val="00452088"/>
    <w:rsid w:val="0045209D"/>
    <w:rsid w:val="00452130"/>
    <w:rsid w:val="004521F0"/>
    <w:rsid w:val="00452227"/>
    <w:rsid w:val="0045228E"/>
    <w:rsid w:val="00452377"/>
    <w:rsid w:val="00452465"/>
    <w:rsid w:val="004524DF"/>
    <w:rsid w:val="004524EE"/>
    <w:rsid w:val="004525FF"/>
    <w:rsid w:val="00452604"/>
    <w:rsid w:val="0045261B"/>
    <w:rsid w:val="0045266E"/>
    <w:rsid w:val="0045272D"/>
    <w:rsid w:val="00452764"/>
    <w:rsid w:val="0045285B"/>
    <w:rsid w:val="004528AB"/>
    <w:rsid w:val="0045297E"/>
    <w:rsid w:val="00452AFD"/>
    <w:rsid w:val="00452B70"/>
    <w:rsid w:val="00452E6B"/>
    <w:rsid w:val="00452E8C"/>
    <w:rsid w:val="00452FD6"/>
    <w:rsid w:val="0045302E"/>
    <w:rsid w:val="004532C0"/>
    <w:rsid w:val="00453413"/>
    <w:rsid w:val="004535A3"/>
    <w:rsid w:val="004535DC"/>
    <w:rsid w:val="004536D5"/>
    <w:rsid w:val="00453708"/>
    <w:rsid w:val="004537AD"/>
    <w:rsid w:val="00453835"/>
    <w:rsid w:val="0045394A"/>
    <w:rsid w:val="00453BE6"/>
    <w:rsid w:val="00453C88"/>
    <w:rsid w:val="00453CBD"/>
    <w:rsid w:val="00453D80"/>
    <w:rsid w:val="00453E14"/>
    <w:rsid w:val="00453EBB"/>
    <w:rsid w:val="00453EDA"/>
    <w:rsid w:val="00453F6C"/>
    <w:rsid w:val="004540C3"/>
    <w:rsid w:val="00454305"/>
    <w:rsid w:val="004543A6"/>
    <w:rsid w:val="004543FD"/>
    <w:rsid w:val="00454406"/>
    <w:rsid w:val="0045440B"/>
    <w:rsid w:val="00454450"/>
    <w:rsid w:val="004544F0"/>
    <w:rsid w:val="00454546"/>
    <w:rsid w:val="00454587"/>
    <w:rsid w:val="00454706"/>
    <w:rsid w:val="00454727"/>
    <w:rsid w:val="00454761"/>
    <w:rsid w:val="00454773"/>
    <w:rsid w:val="004547D4"/>
    <w:rsid w:val="00454B0F"/>
    <w:rsid w:val="00454C0F"/>
    <w:rsid w:val="00454C7B"/>
    <w:rsid w:val="00454CB0"/>
    <w:rsid w:val="00454CD6"/>
    <w:rsid w:val="00454DCE"/>
    <w:rsid w:val="00454ED5"/>
    <w:rsid w:val="00454F4B"/>
    <w:rsid w:val="00454F73"/>
    <w:rsid w:val="004550D6"/>
    <w:rsid w:val="004554CB"/>
    <w:rsid w:val="0045550A"/>
    <w:rsid w:val="00455568"/>
    <w:rsid w:val="0045557A"/>
    <w:rsid w:val="00455775"/>
    <w:rsid w:val="004558C7"/>
    <w:rsid w:val="00455994"/>
    <w:rsid w:val="004559EC"/>
    <w:rsid w:val="00455AA7"/>
    <w:rsid w:val="00455BE2"/>
    <w:rsid w:val="00455CA9"/>
    <w:rsid w:val="00455CAD"/>
    <w:rsid w:val="00455FA1"/>
    <w:rsid w:val="00456076"/>
    <w:rsid w:val="0045607C"/>
    <w:rsid w:val="004561F6"/>
    <w:rsid w:val="0045620E"/>
    <w:rsid w:val="004562CE"/>
    <w:rsid w:val="00456380"/>
    <w:rsid w:val="00456440"/>
    <w:rsid w:val="004566E6"/>
    <w:rsid w:val="00456788"/>
    <w:rsid w:val="004567D3"/>
    <w:rsid w:val="004567F6"/>
    <w:rsid w:val="00456920"/>
    <w:rsid w:val="00456988"/>
    <w:rsid w:val="00456B2B"/>
    <w:rsid w:val="00456CBB"/>
    <w:rsid w:val="00456D1C"/>
    <w:rsid w:val="00456DCD"/>
    <w:rsid w:val="00456DE6"/>
    <w:rsid w:val="004572C7"/>
    <w:rsid w:val="0045731B"/>
    <w:rsid w:val="00457552"/>
    <w:rsid w:val="00457705"/>
    <w:rsid w:val="0045772E"/>
    <w:rsid w:val="00457C49"/>
    <w:rsid w:val="00457C9E"/>
    <w:rsid w:val="00457D7D"/>
    <w:rsid w:val="00457DEE"/>
    <w:rsid w:val="00460102"/>
    <w:rsid w:val="00460174"/>
    <w:rsid w:val="004601CD"/>
    <w:rsid w:val="0046046C"/>
    <w:rsid w:val="004604F6"/>
    <w:rsid w:val="0046059B"/>
    <w:rsid w:val="004606D1"/>
    <w:rsid w:val="0046078D"/>
    <w:rsid w:val="0046084A"/>
    <w:rsid w:val="004609F8"/>
    <w:rsid w:val="00460BC7"/>
    <w:rsid w:val="00460C46"/>
    <w:rsid w:val="00460CA6"/>
    <w:rsid w:val="00460D12"/>
    <w:rsid w:val="00460D4E"/>
    <w:rsid w:val="00460E0E"/>
    <w:rsid w:val="00461041"/>
    <w:rsid w:val="0046106E"/>
    <w:rsid w:val="00461135"/>
    <w:rsid w:val="0046114C"/>
    <w:rsid w:val="00461189"/>
    <w:rsid w:val="004611CF"/>
    <w:rsid w:val="00461265"/>
    <w:rsid w:val="0046132D"/>
    <w:rsid w:val="0046133A"/>
    <w:rsid w:val="00461405"/>
    <w:rsid w:val="0046140B"/>
    <w:rsid w:val="004616AB"/>
    <w:rsid w:val="004618EE"/>
    <w:rsid w:val="00461A67"/>
    <w:rsid w:val="00461B03"/>
    <w:rsid w:val="00461DE4"/>
    <w:rsid w:val="00461F91"/>
    <w:rsid w:val="00461FB2"/>
    <w:rsid w:val="004622AD"/>
    <w:rsid w:val="00462394"/>
    <w:rsid w:val="00462450"/>
    <w:rsid w:val="00462540"/>
    <w:rsid w:val="004625FA"/>
    <w:rsid w:val="00462663"/>
    <w:rsid w:val="00462683"/>
    <w:rsid w:val="00462692"/>
    <w:rsid w:val="00462748"/>
    <w:rsid w:val="004627B3"/>
    <w:rsid w:val="0046296E"/>
    <w:rsid w:val="00462C35"/>
    <w:rsid w:val="00462C5D"/>
    <w:rsid w:val="00462D1E"/>
    <w:rsid w:val="0046317F"/>
    <w:rsid w:val="00463252"/>
    <w:rsid w:val="0046327F"/>
    <w:rsid w:val="004634D5"/>
    <w:rsid w:val="0046352D"/>
    <w:rsid w:val="004635D5"/>
    <w:rsid w:val="0046366F"/>
    <w:rsid w:val="0046376A"/>
    <w:rsid w:val="004639E4"/>
    <w:rsid w:val="00463DAA"/>
    <w:rsid w:val="00463F20"/>
    <w:rsid w:val="0046406E"/>
    <w:rsid w:val="00464103"/>
    <w:rsid w:val="00464121"/>
    <w:rsid w:val="004641FD"/>
    <w:rsid w:val="00464285"/>
    <w:rsid w:val="00464397"/>
    <w:rsid w:val="00464774"/>
    <w:rsid w:val="00464805"/>
    <w:rsid w:val="00464824"/>
    <w:rsid w:val="0046482D"/>
    <w:rsid w:val="00464887"/>
    <w:rsid w:val="00464936"/>
    <w:rsid w:val="00464A64"/>
    <w:rsid w:val="00464B2B"/>
    <w:rsid w:val="00464B50"/>
    <w:rsid w:val="00464B89"/>
    <w:rsid w:val="00464C27"/>
    <w:rsid w:val="00464EE5"/>
    <w:rsid w:val="00464FBB"/>
    <w:rsid w:val="0046509F"/>
    <w:rsid w:val="004652E9"/>
    <w:rsid w:val="004654C5"/>
    <w:rsid w:val="0046567A"/>
    <w:rsid w:val="00465762"/>
    <w:rsid w:val="00465A6F"/>
    <w:rsid w:val="00465BC4"/>
    <w:rsid w:val="00465D8B"/>
    <w:rsid w:val="00465DAF"/>
    <w:rsid w:val="00465DBE"/>
    <w:rsid w:val="00465E85"/>
    <w:rsid w:val="00465FDB"/>
    <w:rsid w:val="0046613A"/>
    <w:rsid w:val="0046656B"/>
    <w:rsid w:val="004667E9"/>
    <w:rsid w:val="00466826"/>
    <w:rsid w:val="00466844"/>
    <w:rsid w:val="004668D1"/>
    <w:rsid w:val="004668D5"/>
    <w:rsid w:val="00466965"/>
    <w:rsid w:val="00466B33"/>
    <w:rsid w:val="00466BED"/>
    <w:rsid w:val="00466CCC"/>
    <w:rsid w:val="00466CE3"/>
    <w:rsid w:val="00466D25"/>
    <w:rsid w:val="00466DC3"/>
    <w:rsid w:val="00467020"/>
    <w:rsid w:val="0046705D"/>
    <w:rsid w:val="00467095"/>
    <w:rsid w:val="004670B1"/>
    <w:rsid w:val="00467287"/>
    <w:rsid w:val="00467528"/>
    <w:rsid w:val="0046761F"/>
    <w:rsid w:val="00467701"/>
    <w:rsid w:val="004677CB"/>
    <w:rsid w:val="0046789F"/>
    <w:rsid w:val="00467907"/>
    <w:rsid w:val="00467A41"/>
    <w:rsid w:val="00467A4A"/>
    <w:rsid w:val="00467ACA"/>
    <w:rsid w:val="00467AF3"/>
    <w:rsid w:val="00467C60"/>
    <w:rsid w:val="00467C63"/>
    <w:rsid w:val="00467D9A"/>
    <w:rsid w:val="00467E53"/>
    <w:rsid w:val="00467E85"/>
    <w:rsid w:val="00467EBF"/>
    <w:rsid w:val="00467EF7"/>
    <w:rsid w:val="00467FFA"/>
    <w:rsid w:val="00470353"/>
    <w:rsid w:val="0047069D"/>
    <w:rsid w:val="004706D9"/>
    <w:rsid w:val="00470874"/>
    <w:rsid w:val="0047096E"/>
    <w:rsid w:val="00470A07"/>
    <w:rsid w:val="00470A51"/>
    <w:rsid w:val="00470AAF"/>
    <w:rsid w:val="00470AB0"/>
    <w:rsid w:val="00470ADE"/>
    <w:rsid w:val="00470B12"/>
    <w:rsid w:val="00470CB7"/>
    <w:rsid w:val="00470CF9"/>
    <w:rsid w:val="00470D21"/>
    <w:rsid w:val="00470D6C"/>
    <w:rsid w:val="00470DAF"/>
    <w:rsid w:val="00470E3A"/>
    <w:rsid w:val="00470EA0"/>
    <w:rsid w:val="00471089"/>
    <w:rsid w:val="004710FF"/>
    <w:rsid w:val="004714CA"/>
    <w:rsid w:val="00471605"/>
    <w:rsid w:val="0047162B"/>
    <w:rsid w:val="00471740"/>
    <w:rsid w:val="004717C4"/>
    <w:rsid w:val="004719EE"/>
    <w:rsid w:val="00471C42"/>
    <w:rsid w:val="00471DC5"/>
    <w:rsid w:val="00471E1C"/>
    <w:rsid w:val="00471E52"/>
    <w:rsid w:val="00471E68"/>
    <w:rsid w:val="00471E83"/>
    <w:rsid w:val="00471EDC"/>
    <w:rsid w:val="0047213E"/>
    <w:rsid w:val="004721CC"/>
    <w:rsid w:val="004724E8"/>
    <w:rsid w:val="00472561"/>
    <w:rsid w:val="004725AA"/>
    <w:rsid w:val="004725B5"/>
    <w:rsid w:val="004726CE"/>
    <w:rsid w:val="004726FA"/>
    <w:rsid w:val="00472784"/>
    <w:rsid w:val="00472837"/>
    <w:rsid w:val="00472945"/>
    <w:rsid w:val="00472B97"/>
    <w:rsid w:val="00472CEA"/>
    <w:rsid w:val="00472D61"/>
    <w:rsid w:val="00472DA7"/>
    <w:rsid w:val="00472DFD"/>
    <w:rsid w:val="00472F76"/>
    <w:rsid w:val="00473055"/>
    <w:rsid w:val="00473085"/>
    <w:rsid w:val="004730C4"/>
    <w:rsid w:val="004732F6"/>
    <w:rsid w:val="0047331F"/>
    <w:rsid w:val="004735B7"/>
    <w:rsid w:val="0047372E"/>
    <w:rsid w:val="00473864"/>
    <w:rsid w:val="00473AC1"/>
    <w:rsid w:val="00473B4F"/>
    <w:rsid w:val="00473C13"/>
    <w:rsid w:val="00473CE9"/>
    <w:rsid w:val="00473D03"/>
    <w:rsid w:val="00473DB1"/>
    <w:rsid w:val="00473E46"/>
    <w:rsid w:val="00474015"/>
    <w:rsid w:val="004741DA"/>
    <w:rsid w:val="00474281"/>
    <w:rsid w:val="004742AD"/>
    <w:rsid w:val="00474852"/>
    <w:rsid w:val="00474A01"/>
    <w:rsid w:val="00474A45"/>
    <w:rsid w:val="00474A52"/>
    <w:rsid w:val="00474B0F"/>
    <w:rsid w:val="00474B98"/>
    <w:rsid w:val="00474C03"/>
    <w:rsid w:val="00474CE8"/>
    <w:rsid w:val="00474E2B"/>
    <w:rsid w:val="00474F1E"/>
    <w:rsid w:val="00474F23"/>
    <w:rsid w:val="00474F8A"/>
    <w:rsid w:val="00474FE8"/>
    <w:rsid w:val="00475142"/>
    <w:rsid w:val="004752D8"/>
    <w:rsid w:val="0047554E"/>
    <w:rsid w:val="004756A2"/>
    <w:rsid w:val="004756C3"/>
    <w:rsid w:val="004756EC"/>
    <w:rsid w:val="0047572A"/>
    <w:rsid w:val="0047577A"/>
    <w:rsid w:val="00475881"/>
    <w:rsid w:val="004758A7"/>
    <w:rsid w:val="00475A5E"/>
    <w:rsid w:val="00475AF7"/>
    <w:rsid w:val="00475C74"/>
    <w:rsid w:val="00475E76"/>
    <w:rsid w:val="00475E9C"/>
    <w:rsid w:val="00475F2E"/>
    <w:rsid w:val="00475F57"/>
    <w:rsid w:val="0047602F"/>
    <w:rsid w:val="0047603E"/>
    <w:rsid w:val="004760F9"/>
    <w:rsid w:val="00476124"/>
    <w:rsid w:val="00476138"/>
    <w:rsid w:val="004761E8"/>
    <w:rsid w:val="00476382"/>
    <w:rsid w:val="004764FD"/>
    <w:rsid w:val="00476564"/>
    <w:rsid w:val="004766FF"/>
    <w:rsid w:val="004768B5"/>
    <w:rsid w:val="004769D5"/>
    <w:rsid w:val="00476A39"/>
    <w:rsid w:val="00476B22"/>
    <w:rsid w:val="00476D8C"/>
    <w:rsid w:val="00476DA1"/>
    <w:rsid w:val="00476DDF"/>
    <w:rsid w:val="00476E00"/>
    <w:rsid w:val="00476E1D"/>
    <w:rsid w:val="00476F1C"/>
    <w:rsid w:val="00476FB6"/>
    <w:rsid w:val="0047709F"/>
    <w:rsid w:val="00477157"/>
    <w:rsid w:val="004772FC"/>
    <w:rsid w:val="00477308"/>
    <w:rsid w:val="0047736C"/>
    <w:rsid w:val="0047758F"/>
    <w:rsid w:val="00477975"/>
    <w:rsid w:val="00477A40"/>
    <w:rsid w:val="00477CB7"/>
    <w:rsid w:val="00477F5C"/>
    <w:rsid w:val="00480013"/>
    <w:rsid w:val="0048002B"/>
    <w:rsid w:val="00480090"/>
    <w:rsid w:val="0048012C"/>
    <w:rsid w:val="00480199"/>
    <w:rsid w:val="00480218"/>
    <w:rsid w:val="004802E3"/>
    <w:rsid w:val="004802F7"/>
    <w:rsid w:val="0048038E"/>
    <w:rsid w:val="004803DB"/>
    <w:rsid w:val="004804AD"/>
    <w:rsid w:val="004804DC"/>
    <w:rsid w:val="004805AF"/>
    <w:rsid w:val="00480677"/>
    <w:rsid w:val="004806C4"/>
    <w:rsid w:val="004807D7"/>
    <w:rsid w:val="004807F8"/>
    <w:rsid w:val="00480886"/>
    <w:rsid w:val="00480A4C"/>
    <w:rsid w:val="00480AF5"/>
    <w:rsid w:val="00480C26"/>
    <w:rsid w:val="00480C3B"/>
    <w:rsid w:val="00480C76"/>
    <w:rsid w:val="00480D1F"/>
    <w:rsid w:val="00480E95"/>
    <w:rsid w:val="00480F45"/>
    <w:rsid w:val="00480F6D"/>
    <w:rsid w:val="0048103C"/>
    <w:rsid w:val="00481055"/>
    <w:rsid w:val="004813C3"/>
    <w:rsid w:val="00481533"/>
    <w:rsid w:val="004815AC"/>
    <w:rsid w:val="00481633"/>
    <w:rsid w:val="004816C1"/>
    <w:rsid w:val="004816FA"/>
    <w:rsid w:val="00481827"/>
    <w:rsid w:val="00481C59"/>
    <w:rsid w:val="0048212E"/>
    <w:rsid w:val="004822A6"/>
    <w:rsid w:val="00482519"/>
    <w:rsid w:val="00482598"/>
    <w:rsid w:val="004825B3"/>
    <w:rsid w:val="00482683"/>
    <w:rsid w:val="00482756"/>
    <w:rsid w:val="004828C3"/>
    <w:rsid w:val="00482AA9"/>
    <w:rsid w:val="00482C0F"/>
    <w:rsid w:val="00482D55"/>
    <w:rsid w:val="00483252"/>
    <w:rsid w:val="0048349B"/>
    <w:rsid w:val="00483525"/>
    <w:rsid w:val="0048353A"/>
    <w:rsid w:val="00483554"/>
    <w:rsid w:val="00483711"/>
    <w:rsid w:val="0048371F"/>
    <w:rsid w:val="004837A6"/>
    <w:rsid w:val="00483854"/>
    <w:rsid w:val="00483AFB"/>
    <w:rsid w:val="00483B74"/>
    <w:rsid w:val="00483B91"/>
    <w:rsid w:val="00483CA7"/>
    <w:rsid w:val="00483D9B"/>
    <w:rsid w:val="00484010"/>
    <w:rsid w:val="00484084"/>
    <w:rsid w:val="00484241"/>
    <w:rsid w:val="00484569"/>
    <w:rsid w:val="00484596"/>
    <w:rsid w:val="004845BD"/>
    <w:rsid w:val="0048466A"/>
    <w:rsid w:val="00484685"/>
    <w:rsid w:val="004847BE"/>
    <w:rsid w:val="00484820"/>
    <w:rsid w:val="00484B07"/>
    <w:rsid w:val="00484CB5"/>
    <w:rsid w:val="00484E77"/>
    <w:rsid w:val="00484EA7"/>
    <w:rsid w:val="0048517D"/>
    <w:rsid w:val="004851C0"/>
    <w:rsid w:val="004851DD"/>
    <w:rsid w:val="0048523D"/>
    <w:rsid w:val="004852AF"/>
    <w:rsid w:val="00485337"/>
    <w:rsid w:val="0048537A"/>
    <w:rsid w:val="00485814"/>
    <w:rsid w:val="00485842"/>
    <w:rsid w:val="004858FB"/>
    <w:rsid w:val="00485978"/>
    <w:rsid w:val="00485C69"/>
    <w:rsid w:val="00485D47"/>
    <w:rsid w:val="00485EF2"/>
    <w:rsid w:val="00485F27"/>
    <w:rsid w:val="00486022"/>
    <w:rsid w:val="004860E2"/>
    <w:rsid w:val="004863C1"/>
    <w:rsid w:val="004864BD"/>
    <w:rsid w:val="00486503"/>
    <w:rsid w:val="00486533"/>
    <w:rsid w:val="004865B3"/>
    <w:rsid w:val="004867A5"/>
    <w:rsid w:val="00486830"/>
    <w:rsid w:val="0048683D"/>
    <w:rsid w:val="004868C1"/>
    <w:rsid w:val="00486951"/>
    <w:rsid w:val="00486A38"/>
    <w:rsid w:val="00486AF1"/>
    <w:rsid w:val="00486BE8"/>
    <w:rsid w:val="00486C49"/>
    <w:rsid w:val="00486CF9"/>
    <w:rsid w:val="00486DF2"/>
    <w:rsid w:val="00486F7F"/>
    <w:rsid w:val="00486FEC"/>
    <w:rsid w:val="00487036"/>
    <w:rsid w:val="00487307"/>
    <w:rsid w:val="004874B1"/>
    <w:rsid w:val="0048755D"/>
    <w:rsid w:val="004876F5"/>
    <w:rsid w:val="00487735"/>
    <w:rsid w:val="0048775A"/>
    <w:rsid w:val="0048778C"/>
    <w:rsid w:val="0048779E"/>
    <w:rsid w:val="00487B0E"/>
    <w:rsid w:val="00487B2F"/>
    <w:rsid w:val="00487B5D"/>
    <w:rsid w:val="00487C09"/>
    <w:rsid w:val="00487EB9"/>
    <w:rsid w:val="00487F7F"/>
    <w:rsid w:val="0049006F"/>
    <w:rsid w:val="0049007D"/>
    <w:rsid w:val="00490113"/>
    <w:rsid w:val="0049014D"/>
    <w:rsid w:val="004902D7"/>
    <w:rsid w:val="004903A3"/>
    <w:rsid w:val="00490463"/>
    <w:rsid w:val="004904AE"/>
    <w:rsid w:val="004904D0"/>
    <w:rsid w:val="0049072F"/>
    <w:rsid w:val="0049079C"/>
    <w:rsid w:val="004909FA"/>
    <w:rsid w:val="00490B8A"/>
    <w:rsid w:val="00490C32"/>
    <w:rsid w:val="00490CBD"/>
    <w:rsid w:val="00490CDC"/>
    <w:rsid w:val="00490D55"/>
    <w:rsid w:val="00490D64"/>
    <w:rsid w:val="00490F53"/>
    <w:rsid w:val="00490FC0"/>
    <w:rsid w:val="00491346"/>
    <w:rsid w:val="004914BE"/>
    <w:rsid w:val="00491623"/>
    <w:rsid w:val="00491876"/>
    <w:rsid w:val="00491988"/>
    <w:rsid w:val="00491C9C"/>
    <w:rsid w:val="00491D66"/>
    <w:rsid w:val="0049202A"/>
    <w:rsid w:val="00492032"/>
    <w:rsid w:val="004920E6"/>
    <w:rsid w:val="00492383"/>
    <w:rsid w:val="004923A6"/>
    <w:rsid w:val="00492433"/>
    <w:rsid w:val="00492545"/>
    <w:rsid w:val="00492631"/>
    <w:rsid w:val="00492694"/>
    <w:rsid w:val="00492793"/>
    <w:rsid w:val="00492805"/>
    <w:rsid w:val="004929EE"/>
    <w:rsid w:val="004929EF"/>
    <w:rsid w:val="00492AE2"/>
    <w:rsid w:val="00492D8E"/>
    <w:rsid w:val="00492EE7"/>
    <w:rsid w:val="004930C7"/>
    <w:rsid w:val="0049310D"/>
    <w:rsid w:val="0049324F"/>
    <w:rsid w:val="0049356A"/>
    <w:rsid w:val="00493681"/>
    <w:rsid w:val="004936EF"/>
    <w:rsid w:val="004936FE"/>
    <w:rsid w:val="00493758"/>
    <w:rsid w:val="00493A4E"/>
    <w:rsid w:val="00493CEE"/>
    <w:rsid w:val="00493D5C"/>
    <w:rsid w:val="00493DA2"/>
    <w:rsid w:val="00493E22"/>
    <w:rsid w:val="00493E9C"/>
    <w:rsid w:val="00493EC7"/>
    <w:rsid w:val="00493F23"/>
    <w:rsid w:val="00494114"/>
    <w:rsid w:val="00494154"/>
    <w:rsid w:val="00494199"/>
    <w:rsid w:val="00494233"/>
    <w:rsid w:val="00494499"/>
    <w:rsid w:val="004944ED"/>
    <w:rsid w:val="00494580"/>
    <w:rsid w:val="004946BF"/>
    <w:rsid w:val="004946F8"/>
    <w:rsid w:val="00494728"/>
    <w:rsid w:val="00494758"/>
    <w:rsid w:val="004947CC"/>
    <w:rsid w:val="004947FC"/>
    <w:rsid w:val="00494854"/>
    <w:rsid w:val="0049487A"/>
    <w:rsid w:val="004948CC"/>
    <w:rsid w:val="004949AC"/>
    <w:rsid w:val="00494AA7"/>
    <w:rsid w:val="00494C0A"/>
    <w:rsid w:val="00494DFB"/>
    <w:rsid w:val="004950A0"/>
    <w:rsid w:val="00495156"/>
    <w:rsid w:val="004951B3"/>
    <w:rsid w:val="00495284"/>
    <w:rsid w:val="00495294"/>
    <w:rsid w:val="0049539D"/>
    <w:rsid w:val="004953A8"/>
    <w:rsid w:val="004955FB"/>
    <w:rsid w:val="004955FF"/>
    <w:rsid w:val="004956D6"/>
    <w:rsid w:val="00495817"/>
    <w:rsid w:val="00495923"/>
    <w:rsid w:val="00495AD9"/>
    <w:rsid w:val="00495C39"/>
    <w:rsid w:val="00495CCC"/>
    <w:rsid w:val="00495D46"/>
    <w:rsid w:val="00495D7C"/>
    <w:rsid w:val="00495E30"/>
    <w:rsid w:val="00495E58"/>
    <w:rsid w:val="00495F09"/>
    <w:rsid w:val="00495F34"/>
    <w:rsid w:val="0049603C"/>
    <w:rsid w:val="00496067"/>
    <w:rsid w:val="004960EE"/>
    <w:rsid w:val="004960FA"/>
    <w:rsid w:val="004963BE"/>
    <w:rsid w:val="00496402"/>
    <w:rsid w:val="00496489"/>
    <w:rsid w:val="004965AD"/>
    <w:rsid w:val="00496858"/>
    <w:rsid w:val="00496A16"/>
    <w:rsid w:val="00496B82"/>
    <w:rsid w:val="00496CF5"/>
    <w:rsid w:val="00496FC9"/>
    <w:rsid w:val="00496FE9"/>
    <w:rsid w:val="00497433"/>
    <w:rsid w:val="00497565"/>
    <w:rsid w:val="004975A0"/>
    <w:rsid w:val="004976E8"/>
    <w:rsid w:val="00497849"/>
    <w:rsid w:val="00497B4D"/>
    <w:rsid w:val="00497D96"/>
    <w:rsid w:val="00497E65"/>
    <w:rsid w:val="00497EF0"/>
    <w:rsid w:val="004A0154"/>
    <w:rsid w:val="004A0232"/>
    <w:rsid w:val="004A02A6"/>
    <w:rsid w:val="004A0345"/>
    <w:rsid w:val="004A03BB"/>
    <w:rsid w:val="004A073D"/>
    <w:rsid w:val="004A088E"/>
    <w:rsid w:val="004A0939"/>
    <w:rsid w:val="004A0A67"/>
    <w:rsid w:val="004A0A75"/>
    <w:rsid w:val="004A0ACC"/>
    <w:rsid w:val="004A0BF8"/>
    <w:rsid w:val="004A0CE2"/>
    <w:rsid w:val="004A0DB7"/>
    <w:rsid w:val="004A0F17"/>
    <w:rsid w:val="004A11E8"/>
    <w:rsid w:val="004A1325"/>
    <w:rsid w:val="004A137B"/>
    <w:rsid w:val="004A139B"/>
    <w:rsid w:val="004A1576"/>
    <w:rsid w:val="004A17EB"/>
    <w:rsid w:val="004A1880"/>
    <w:rsid w:val="004A1951"/>
    <w:rsid w:val="004A1979"/>
    <w:rsid w:val="004A1A20"/>
    <w:rsid w:val="004A1B78"/>
    <w:rsid w:val="004A1D0F"/>
    <w:rsid w:val="004A1E19"/>
    <w:rsid w:val="004A1F0D"/>
    <w:rsid w:val="004A1F49"/>
    <w:rsid w:val="004A1F61"/>
    <w:rsid w:val="004A21CF"/>
    <w:rsid w:val="004A2214"/>
    <w:rsid w:val="004A2348"/>
    <w:rsid w:val="004A23AE"/>
    <w:rsid w:val="004A241A"/>
    <w:rsid w:val="004A2640"/>
    <w:rsid w:val="004A26E5"/>
    <w:rsid w:val="004A26EF"/>
    <w:rsid w:val="004A283D"/>
    <w:rsid w:val="004A299E"/>
    <w:rsid w:val="004A29BA"/>
    <w:rsid w:val="004A29C2"/>
    <w:rsid w:val="004A2EC2"/>
    <w:rsid w:val="004A2F90"/>
    <w:rsid w:val="004A311B"/>
    <w:rsid w:val="004A31AC"/>
    <w:rsid w:val="004A3325"/>
    <w:rsid w:val="004A332C"/>
    <w:rsid w:val="004A360C"/>
    <w:rsid w:val="004A3663"/>
    <w:rsid w:val="004A37FA"/>
    <w:rsid w:val="004A3849"/>
    <w:rsid w:val="004A390A"/>
    <w:rsid w:val="004A39AC"/>
    <w:rsid w:val="004A3AEF"/>
    <w:rsid w:val="004A3BF1"/>
    <w:rsid w:val="004A3C57"/>
    <w:rsid w:val="004A3C5E"/>
    <w:rsid w:val="004A3CDC"/>
    <w:rsid w:val="004A3D4B"/>
    <w:rsid w:val="004A3DA0"/>
    <w:rsid w:val="004A3ED8"/>
    <w:rsid w:val="004A40EC"/>
    <w:rsid w:val="004A4129"/>
    <w:rsid w:val="004A424D"/>
    <w:rsid w:val="004A42D3"/>
    <w:rsid w:val="004A4360"/>
    <w:rsid w:val="004A44FA"/>
    <w:rsid w:val="004A4794"/>
    <w:rsid w:val="004A485F"/>
    <w:rsid w:val="004A4A72"/>
    <w:rsid w:val="004A4A8F"/>
    <w:rsid w:val="004A4B29"/>
    <w:rsid w:val="004A4B4B"/>
    <w:rsid w:val="004A4B87"/>
    <w:rsid w:val="004A4BD5"/>
    <w:rsid w:val="004A4D4F"/>
    <w:rsid w:val="004A4DDF"/>
    <w:rsid w:val="004A4E02"/>
    <w:rsid w:val="004A4FE7"/>
    <w:rsid w:val="004A510C"/>
    <w:rsid w:val="004A536F"/>
    <w:rsid w:val="004A54E4"/>
    <w:rsid w:val="004A5539"/>
    <w:rsid w:val="004A56A4"/>
    <w:rsid w:val="004A5855"/>
    <w:rsid w:val="004A58EA"/>
    <w:rsid w:val="004A5939"/>
    <w:rsid w:val="004A5AF0"/>
    <w:rsid w:val="004A5B79"/>
    <w:rsid w:val="004A5BCA"/>
    <w:rsid w:val="004A5F38"/>
    <w:rsid w:val="004A6002"/>
    <w:rsid w:val="004A6146"/>
    <w:rsid w:val="004A624D"/>
    <w:rsid w:val="004A629A"/>
    <w:rsid w:val="004A645E"/>
    <w:rsid w:val="004A65FB"/>
    <w:rsid w:val="004A6ADC"/>
    <w:rsid w:val="004A6EB5"/>
    <w:rsid w:val="004A6ED0"/>
    <w:rsid w:val="004A6FA7"/>
    <w:rsid w:val="004A7133"/>
    <w:rsid w:val="004A7175"/>
    <w:rsid w:val="004A71A5"/>
    <w:rsid w:val="004A7336"/>
    <w:rsid w:val="004A73E9"/>
    <w:rsid w:val="004A74BB"/>
    <w:rsid w:val="004A75A6"/>
    <w:rsid w:val="004A762D"/>
    <w:rsid w:val="004A7763"/>
    <w:rsid w:val="004A77E7"/>
    <w:rsid w:val="004A7909"/>
    <w:rsid w:val="004A7C01"/>
    <w:rsid w:val="004A7D77"/>
    <w:rsid w:val="004A7DCD"/>
    <w:rsid w:val="004A7E5A"/>
    <w:rsid w:val="004A7F1A"/>
    <w:rsid w:val="004B0109"/>
    <w:rsid w:val="004B01E8"/>
    <w:rsid w:val="004B0257"/>
    <w:rsid w:val="004B036C"/>
    <w:rsid w:val="004B05EF"/>
    <w:rsid w:val="004B05FF"/>
    <w:rsid w:val="004B0676"/>
    <w:rsid w:val="004B0735"/>
    <w:rsid w:val="004B091C"/>
    <w:rsid w:val="004B0A8E"/>
    <w:rsid w:val="004B0B1A"/>
    <w:rsid w:val="004B0D46"/>
    <w:rsid w:val="004B0D55"/>
    <w:rsid w:val="004B0F66"/>
    <w:rsid w:val="004B0FA3"/>
    <w:rsid w:val="004B10B4"/>
    <w:rsid w:val="004B14A7"/>
    <w:rsid w:val="004B14F5"/>
    <w:rsid w:val="004B1623"/>
    <w:rsid w:val="004B1671"/>
    <w:rsid w:val="004B183E"/>
    <w:rsid w:val="004B1850"/>
    <w:rsid w:val="004B1A33"/>
    <w:rsid w:val="004B1AE2"/>
    <w:rsid w:val="004B1C39"/>
    <w:rsid w:val="004B1C46"/>
    <w:rsid w:val="004B1D24"/>
    <w:rsid w:val="004B1F84"/>
    <w:rsid w:val="004B2009"/>
    <w:rsid w:val="004B2044"/>
    <w:rsid w:val="004B2199"/>
    <w:rsid w:val="004B22DC"/>
    <w:rsid w:val="004B247F"/>
    <w:rsid w:val="004B24DB"/>
    <w:rsid w:val="004B2644"/>
    <w:rsid w:val="004B265B"/>
    <w:rsid w:val="004B280F"/>
    <w:rsid w:val="004B2A0F"/>
    <w:rsid w:val="004B2AA1"/>
    <w:rsid w:val="004B2ACF"/>
    <w:rsid w:val="004B2BA1"/>
    <w:rsid w:val="004B2F83"/>
    <w:rsid w:val="004B30E8"/>
    <w:rsid w:val="004B3582"/>
    <w:rsid w:val="004B3955"/>
    <w:rsid w:val="004B3A24"/>
    <w:rsid w:val="004B3A6B"/>
    <w:rsid w:val="004B3AD2"/>
    <w:rsid w:val="004B3CC6"/>
    <w:rsid w:val="004B3CD0"/>
    <w:rsid w:val="004B3CE4"/>
    <w:rsid w:val="004B3E3C"/>
    <w:rsid w:val="004B3E80"/>
    <w:rsid w:val="004B3FF0"/>
    <w:rsid w:val="004B400A"/>
    <w:rsid w:val="004B4133"/>
    <w:rsid w:val="004B4168"/>
    <w:rsid w:val="004B424D"/>
    <w:rsid w:val="004B432B"/>
    <w:rsid w:val="004B439D"/>
    <w:rsid w:val="004B442D"/>
    <w:rsid w:val="004B4440"/>
    <w:rsid w:val="004B44D1"/>
    <w:rsid w:val="004B4516"/>
    <w:rsid w:val="004B45BA"/>
    <w:rsid w:val="004B4623"/>
    <w:rsid w:val="004B488C"/>
    <w:rsid w:val="004B489A"/>
    <w:rsid w:val="004B4A19"/>
    <w:rsid w:val="004B4B98"/>
    <w:rsid w:val="004B4BED"/>
    <w:rsid w:val="004B4E31"/>
    <w:rsid w:val="004B50CE"/>
    <w:rsid w:val="004B5203"/>
    <w:rsid w:val="004B5379"/>
    <w:rsid w:val="004B54E9"/>
    <w:rsid w:val="004B56A8"/>
    <w:rsid w:val="004B5B1F"/>
    <w:rsid w:val="004B5B2F"/>
    <w:rsid w:val="004B5C21"/>
    <w:rsid w:val="004B5C76"/>
    <w:rsid w:val="004B5D53"/>
    <w:rsid w:val="004B5F20"/>
    <w:rsid w:val="004B62B1"/>
    <w:rsid w:val="004B6388"/>
    <w:rsid w:val="004B64F1"/>
    <w:rsid w:val="004B6614"/>
    <w:rsid w:val="004B665E"/>
    <w:rsid w:val="004B67F4"/>
    <w:rsid w:val="004B6885"/>
    <w:rsid w:val="004B68AB"/>
    <w:rsid w:val="004B6A42"/>
    <w:rsid w:val="004B6A8B"/>
    <w:rsid w:val="004B6C20"/>
    <w:rsid w:val="004B6E0A"/>
    <w:rsid w:val="004B6FDE"/>
    <w:rsid w:val="004B71EE"/>
    <w:rsid w:val="004B720E"/>
    <w:rsid w:val="004B72CB"/>
    <w:rsid w:val="004B735A"/>
    <w:rsid w:val="004B76CB"/>
    <w:rsid w:val="004B7713"/>
    <w:rsid w:val="004B7816"/>
    <w:rsid w:val="004B7847"/>
    <w:rsid w:val="004B78F9"/>
    <w:rsid w:val="004B797F"/>
    <w:rsid w:val="004B79FB"/>
    <w:rsid w:val="004B7A11"/>
    <w:rsid w:val="004B7B00"/>
    <w:rsid w:val="004B7B9F"/>
    <w:rsid w:val="004B7CBB"/>
    <w:rsid w:val="004B7D44"/>
    <w:rsid w:val="004C011F"/>
    <w:rsid w:val="004C0185"/>
    <w:rsid w:val="004C01B9"/>
    <w:rsid w:val="004C0414"/>
    <w:rsid w:val="004C0496"/>
    <w:rsid w:val="004C057C"/>
    <w:rsid w:val="004C0590"/>
    <w:rsid w:val="004C066C"/>
    <w:rsid w:val="004C06B9"/>
    <w:rsid w:val="004C0AF6"/>
    <w:rsid w:val="004C0B1B"/>
    <w:rsid w:val="004C0B55"/>
    <w:rsid w:val="004C0C69"/>
    <w:rsid w:val="004C0E3E"/>
    <w:rsid w:val="004C0F68"/>
    <w:rsid w:val="004C1656"/>
    <w:rsid w:val="004C165A"/>
    <w:rsid w:val="004C17A3"/>
    <w:rsid w:val="004C19A3"/>
    <w:rsid w:val="004C19F3"/>
    <w:rsid w:val="004C1A09"/>
    <w:rsid w:val="004C1B4C"/>
    <w:rsid w:val="004C1B57"/>
    <w:rsid w:val="004C1BB9"/>
    <w:rsid w:val="004C1CDD"/>
    <w:rsid w:val="004C237D"/>
    <w:rsid w:val="004C24FC"/>
    <w:rsid w:val="004C2664"/>
    <w:rsid w:val="004C2687"/>
    <w:rsid w:val="004C26EF"/>
    <w:rsid w:val="004C2852"/>
    <w:rsid w:val="004C2899"/>
    <w:rsid w:val="004C295C"/>
    <w:rsid w:val="004C296F"/>
    <w:rsid w:val="004C2EFA"/>
    <w:rsid w:val="004C2F16"/>
    <w:rsid w:val="004C2F1C"/>
    <w:rsid w:val="004C3027"/>
    <w:rsid w:val="004C30C3"/>
    <w:rsid w:val="004C3297"/>
    <w:rsid w:val="004C32DA"/>
    <w:rsid w:val="004C36EB"/>
    <w:rsid w:val="004C3940"/>
    <w:rsid w:val="004C3BCA"/>
    <w:rsid w:val="004C3CB7"/>
    <w:rsid w:val="004C3CFC"/>
    <w:rsid w:val="004C409D"/>
    <w:rsid w:val="004C410C"/>
    <w:rsid w:val="004C41AF"/>
    <w:rsid w:val="004C43AF"/>
    <w:rsid w:val="004C43D0"/>
    <w:rsid w:val="004C4568"/>
    <w:rsid w:val="004C463F"/>
    <w:rsid w:val="004C46BD"/>
    <w:rsid w:val="004C477E"/>
    <w:rsid w:val="004C4825"/>
    <w:rsid w:val="004C4827"/>
    <w:rsid w:val="004C48B2"/>
    <w:rsid w:val="004C4938"/>
    <w:rsid w:val="004C4C4B"/>
    <w:rsid w:val="004C4D52"/>
    <w:rsid w:val="004C4FC2"/>
    <w:rsid w:val="004C505B"/>
    <w:rsid w:val="004C515F"/>
    <w:rsid w:val="004C52E4"/>
    <w:rsid w:val="004C545D"/>
    <w:rsid w:val="004C552A"/>
    <w:rsid w:val="004C5616"/>
    <w:rsid w:val="004C5621"/>
    <w:rsid w:val="004C5771"/>
    <w:rsid w:val="004C597D"/>
    <w:rsid w:val="004C5B65"/>
    <w:rsid w:val="004C5BF1"/>
    <w:rsid w:val="004C5C03"/>
    <w:rsid w:val="004C5DD7"/>
    <w:rsid w:val="004C5E14"/>
    <w:rsid w:val="004C5E36"/>
    <w:rsid w:val="004C5F93"/>
    <w:rsid w:val="004C606D"/>
    <w:rsid w:val="004C60F5"/>
    <w:rsid w:val="004C6107"/>
    <w:rsid w:val="004C616A"/>
    <w:rsid w:val="004C6645"/>
    <w:rsid w:val="004C67FF"/>
    <w:rsid w:val="004C68F7"/>
    <w:rsid w:val="004C69A3"/>
    <w:rsid w:val="004C6C0A"/>
    <w:rsid w:val="004C6C7F"/>
    <w:rsid w:val="004C6C97"/>
    <w:rsid w:val="004C6DEC"/>
    <w:rsid w:val="004C709F"/>
    <w:rsid w:val="004C712F"/>
    <w:rsid w:val="004C7260"/>
    <w:rsid w:val="004C73E6"/>
    <w:rsid w:val="004C7494"/>
    <w:rsid w:val="004C74D4"/>
    <w:rsid w:val="004C74EB"/>
    <w:rsid w:val="004C75A7"/>
    <w:rsid w:val="004C7BCE"/>
    <w:rsid w:val="004C7C54"/>
    <w:rsid w:val="004C7D45"/>
    <w:rsid w:val="004C7ED9"/>
    <w:rsid w:val="004D0137"/>
    <w:rsid w:val="004D0366"/>
    <w:rsid w:val="004D03BC"/>
    <w:rsid w:val="004D03DC"/>
    <w:rsid w:val="004D0434"/>
    <w:rsid w:val="004D043E"/>
    <w:rsid w:val="004D0478"/>
    <w:rsid w:val="004D05ED"/>
    <w:rsid w:val="004D0729"/>
    <w:rsid w:val="004D08A5"/>
    <w:rsid w:val="004D0900"/>
    <w:rsid w:val="004D0938"/>
    <w:rsid w:val="004D0A5E"/>
    <w:rsid w:val="004D0AD6"/>
    <w:rsid w:val="004D0B09"/>
    <w:rsid w:val="004D0B94"/>
    <w:rsid w:val="004D0CCE"/>
    <w:rsid w:val="004D0EEF"/>
    <w:rsid w:val="004D0F6F"/>
    <w:rsid w:val="004D110C"/>
    <w:rsid w:val="004D113B"/>
    <w:rsid w:val="004D1155"/>
    <w:rsid w:val="004D1284"/>
    <w:rsid w:val="004D1291"/>
    <w:rsid w:val="004D14BA"/>
    <w:rsid w:val="004D14C9"/>
    <w:rsid w:val="004D157C"/>
    <w:rsid w:val="004D16D7"/>
    <w:rsid w:val="004D17D3"/>
    <w:rsid w:val="004D184C"/>
    <w:rsid w:val="004D18D0"/>
    <w:rsid w:val="004D1922"/>
    <w:rsid w:val="004D195D"/>
    <w:rsid w:val="004D1CEC"/>
    <w:rsid w:val="004D1D54"/>
    <w:rsid w:val="004D1E61"/>
    <w:rsid w:val="004D1FDB"/>
    <w:rsid w:val="004D2044"/>
    <w:rsid w:val="004D2180"/>
    <w:rsid w:val="004D23C7"/>
    <w:rsid w:val="004D2451"/>
    <w:rsid w:val="004D24A7"/>
    <w:rsid w:val="004D24FB"/>
    <w:rsid w:val="004D27F0"/>
    <w:rsid w:val="004D27F9"/>
    <w:rsid w:val="004D294A"/>
    <w:rsid w:val="004D297C"/>
    <w:rsid w:val="004D2A1D"/>
    <w:rsid w:val="004D2A2F"/>
    <w:rsid w:val="004D2DF5"/>
    <w:rsid w:val="004D2E08"/>
    <w:rsid w:val="004D3066"/>
    <w:rsid w:val="004D3340"/>
    <w:rsid w:val="004D35AF"/>
    <w:rsid w:val="004D366E"/>
    <w:rsid w:val="004D36D5"/>
    <w:rsid w:val="004D37DE"/>
    <w:rsid w:val="004D385F"/>
    <w:rsid w:val="004D3889"/>
    <w:rsid w:val="004D3A52"/>
    <w:rsid w:val="004D3AF8"/>
    <w:rsid w:val="004D3CD4"/>
    <w:rsid w:val="004D3D4E"/>
    <w:rsid w:val="004D3D60"/>
    <w:rsid w:val="004D3D8E"/>
    <w:rsid w:val="004D401E"/>
    <w:rsid w:val="004D40AC"/>
    <w:rsid w:val="004D417C"/>
    <w:rsid w:val="004D4885"/>
    <w:rsid w:val="004D488F"/>
    <w:rsid w:val="004D4AF4"/>
    <w:rsid w:val="004D4B20"/>
    <w:rsid w:val="004D4BEC"/>
    <w:rsid w:val="004D4C5F"/>
    <w:rsid w:val="004D4CF3"/>
    <w:rsid w:val="004D4D66"/>
    <w:rsid w:val="004D4DB6"/>
    <w:rsid w:val="004D50B9"/>
    <w:rsid w:val="004D519C"/>
    <w:rsid w:val="004D5229"/>
    <w:rsid w:val="004D527F"/>
    <w:rsid w:val="004D5400"/>
    <w:rsid w:val="004D54B0"/>
    <w:rsid w:val="004D54B3"/>
    <w:rsid w:val="004D54CC"/>
    <w:rsid w:val="004D5579"/>
    <w:rsid w:val="004D55A8"/>
    <w:rsid w:val="004D5646"/>
    <w:rsid w:val="004D5704"/>
    <w:rsid w:val="004D570A"/>
    <w:rsid w:val="004D573C"/>
    <w:rsid w:val="004D58BA"/>
    <w:rsid w:val="004D58DF"/>
    <w:rsid w:val="004D5953"/>
    <w:rsid w:val="004D5A46"/>
    <w:rsid w:val="004D5B3D"/>
    <w:rsid w:val="004D5C04"/>
    <w:rsid w:val="004D5C05"/>
    <w:rsid w:val="004D5C30"/>
    <w:rsid w:val="004D5C7F"/>
    <w:rsid w:val="004D6038"/>
    <w:rsid w:val="004D60E5"/>
    <w:rsid w:val="004D611D"/>
    <w:rsid w:val="004D6121"/>
    <w:rsid w:val="004D61F1"/>
    <w:rsid w:val="004D6389"/>
    <w:rsid w:val="004D6537"/>
    <w:rsid w:val="004D6779"/>
    <w:rsid w:val="004D6A83"/>
    <w:rsid w:val="004D6D4E"/>
    <w:rsid w:val="004D6E14"/>
    <w:rsid w:val="004D6E20"/>
    <w:rsid w:val="004D6F0E"/>
    <w:rsid w:val="004D6F5C"/>
    <w:rsid w:val="004D7364"/>
    <w:rsid w:val="004D74EF"/>
    <w:rsid w:val="004D78A3"/>
    <w:rsid w:val="004D7A43"/>
    <w:rsid w:val="004D7ACA"/>
    <w:rsid w:val="004D7CF4"/>
    <w:rsid w:val="004D7E28"/>
    <w:rsid w:val="004E0117"/>
    <w:rsid w:val="004E01D1"/>
    <w:rsid w:val="004E034E"/>
    <w:rsid w:val="004E0430"/>
    <w:rsid w:val="004E05DA"/>
    <w:rsid w:val="004E0601"/>
    <w:rsid w:val="004E060C"/>
    <w:rsid w:val="004E06DB"/>
    <w:rsid w:val="004E0773"/>
    <w:rsid w:val="004E07EF"/>
    <w:rsid w:val="004E0884"/>
    <w:rsid w:val="004E08D6"/>
    <w:rsid w:val="004E0900"/>
    <w:rsid w:val="004E0A5C"/>
    <w:rsid w:val="004E0B61"/>
    <w:rsid w:val="004E0B94"/>
    <w:rsid w:val="004E0BAD"/>
    <w:rsid w:val="004E0BAE"/>
    <w:rsid w:val="004E0CB1"/>
    <w:rsid w:val="004E1058"/>
    <w:rsid w:val="004E11DE"/>
    <w:rsid w:val="004E121F"/>
    <w:rsid w:val="004E1242"/>
    <w:rsid w:val="004E12B5"/>
    <w:rsid w:val="004E12EB"/>
    <w:rsid w:val="004E1499"/>
    <w:rsid w:val="004E156B"/>
    <w:rsid w:val="004E15AC"/>
    <w:rsid w:val="004E1656"/>
    <w:rsid w:val="004E16AC"/>
    <w:rsid w:val="004E16D3"/>
    <w:rsid w:val="004E1700"/>
    <w:rsid w:val="004E1812"/>
    <w:rsid w:val="004E1955"/>
    <w:rsid w:val="004E1A3B"/>
    <w:rsid w:val="004E1BA8"/>
    <w:rsid w:val="004E1CD4"/>
    <w:rsid w:val="004E1E89"/>
    <w:rsid w:val="004E1FA0"/>
    <w:rsid w:val="004E2026"/>
    <w:rsid w:val="004E20CC"/>
    <w:rsid w:val="004E22F3"/>
    <w:rsid w:val="004E232C"/>
    <w:rsid w:val="004E23F5"/>
    <w:rsid w:val="004E246B"/>
    <w:rsid w:val="004E2588"/>
    <w:rsid w:val="004E25AB"/>
    <w:rsid w:val="004E2606"/>
    <w:rsid w:val="004E27B4"/>
    <w:rsid w:val="004E2802"/>
    <w:rsid w:val="004E2BEA"/>
    <w:rsid w:val="004E2CA4"/>
    <w:rsid w:val="004E2D6D"/>
    <w:rsid w:val="004E3222"/>
    <w:rsid w:val="004E3550"/>
    <w:rsid w:val="004E35D8"/>
    <w:rsid w:val="004E3721"/>
    <w:rsid w:val="004E378C"/>
    <w:rsid w:val="004E37E0"/>
    <w:rsid w:val="004E3CE4"/>
    <w:rsid w:val="004E3DBC"/>
    <w:rsid w:val="004E3E13"/>
    <w:rsid w:val="004E3FD3"/>
    <w:rsid w:val="004E42DE"/>
    <w:rsid w:val="004E4353"/>
    <w:rsid w:val="004E43A0"/>
    <w:rsid w:val="004E4528"/>
    <w:rsid w:val="004E460F"/>
    <w:rsid w:val="004E46DF"/>
    <w:rsid w:val="004E4868"/>
    <w:rsid w:val="004E48B8"/>
    <w:rsid w:val="004E490B"/>
    <w:rsid w:val="004E4971"/>
    <w:rsid w:val="004E4A4E"/>
    <w:rsid w:val="004E4BCC"/>
    <w:rsid w:val="004E4DFD"/>
    <w:rsid w:val="004E4F0E"/>
    <w:rsid w:val="004E4F4A"/>
    <w:rsid w:val="004E4F73"/>
    <w:rsid w:val="004E5100"/>
    <w:rsid w:val="004E52E2"/>
    <w:rsid w:val="004E530F"/>
    <w:rsid w:val="004E5316"/>
    <w:rsid w:val="004E53AF"/>
    <w:rsid w:val="004E53F6"/>
    <w:rsid w:val="004E5560"/>
    <w:rsid w:val="004E5587"/>
    <w:rsid w:val="004E5785"/>
    <w:rsid w:val="004E580B"/>
    <w:rsid w:val="004E5AC7"/>
    <w:rsid w:val="004E5ADA"/>
    <w:rsid w:val="004E5B40"/>
    <w:rsid w:val="004E5BE8"/>
    <w:rsid w:val="004E5D81"/>
    <w:rsid w:val="004E5E3A"/>
    <w:rsid w:val="004E5ED1"/>
    <w:rsid w:val="004E5EF6"/>
    <w:rsid w:val="004E5FE6"/>
    <w:rsid w:val="004E6301"/>
    <w:rsid w:val="004E6636"/>
    <w:rsid w:val="004E6680"/>
    <w:rsid w:val="004E67A9"/>
    <w:rsid w:val="004E683B"/>
    <w:rsid w:val="004E68C6"/>
    <w:rsid w:val="004E69C0"/>
    <w:rsid w:val="004E69EC"/>
    <w:rsid w:val="004E6A18"/>
    <w:rsid w:val="004E6C46"/>
    <w:rsid w:val="004E6D89"/>
    <w:rsid w:val="004E6E62"/>
    <w:rsid w:val="004E6ED9"/>
    <w:rsid w:val="004E6F88"/>
    <w:rsid w:val="004E700B"/>
    <w:rsid w:val="004E704E"/>
    <w:rsid w:val="004E711B"/>
    <w:rsid w:val="004E715F"/>
    <w:rsid w:val="004E7266"/>
    <w:rsid w:val="004E73C9"/>
    <w:rsid w:val="004E746B"/>
    <w:rsid w:val="004E7558"/>
    <w:rsid w:val="004E76D4"/>
    <w:rsid w:val="004E7808"/>
    <w:rsid w:val="004E78BE"/>
    <w:rsid w:val="004E78D5"/>
    <w:rsid w:val="004E7D03"/>
    <w:rsid w:val="004E7D06"/>
    <w:rsid w:val="004E7E1D"/>
    <w:rsid w:val="004E7E58"/>
    <w:rsid w:val="004E7F87"/>
    <w:rsid w:val="004E7F92"/>
    <w:rsid w:val="004F01D0"/>
    <w:rsid w:val="004F0269"/>
    <w:rsid w:val="004F02A0"/>
    <w:rsid w:val="004F02EE"/>
    <w:rsid w:val="004F0367"/>
    <w:rsid w:val="004F0614"/>
    <w:rsid w:val="004F06CB"/>
    <w:rsid w:val="004F08A9"/>
    <w:rsid w:val="004F08E3"/>
    <w:rsid w:val="004F0906"/>
    <w:rsid w:val="004F0A24"/>
    <w:rsid w:val="004F0AF4"/>
    <w:rsid w:val="004F0B94"/>
    <w:rsid w:val="004F0BD9"/>
    <w:rsid w:val="004F0EA1"/>
    <w:rsid w:val="004F1033"/>
    <w:rsid w:val="004F134E"/>
    <w:rsid w:val="004F1481"/>
    <w:rsid w:val="004F16AF"/>
    <w:rsid w:val="004F16B0"/>
    <w:rsid w:val="004F16F5"/>
    <w:rsid w:val="004F179B"/>
    <w:rsid w:val="004F17B0"/>
    <w:rsid w:val="004F18A1"/>
    <w:rsid w:val="004F18E2"/>
    <w:rsid w:val="004F1A0F"/>
    <w:rsid w:val="004F1A41"/>
    <w:rsid w:val="004F1D51"/>
    <w:rsid w:val="004F1F09"/>
    <w:rsid w:val="004F1F8D"/>
    <w:rsid w:val="004F21AE"/>
    <w:rsid w:val="004F21BB"/>
    <w:rsid w:val="004F230C"/>
    <w:rsid w:val="004F280D"/>
    <w:rsid w:val="004F282F"/>
    <w:rsid w:val="004F28BD"/>
    <w:rsid w:val="004F29A6"/>
    <w:rsid w:val="004F29F3"/>
    <w:rsid w:val="004F2A7B"/>
    <w:rsid w:val="004F2AA4"/>
    <w:rsid w:val="004F2AC9"/>
    <w:rsid w:val="004F2ADF"/>
    <w:rsid w:val="004F2C82"/>
    <w:rsid w:val="004F2DA2"/>
    <w:rsid w:val="004F2DC2"/>
    <w:rsid w:val="004F2E2E"/>
    <w:rsid w:val="004F304B"/>
    <w:rsid w:val="004F32E1"/>
    <w:rsid w:val="004F3343"/>
    <w:rsid w:val="004F34BC"/>
    <w:rsid w:val="004F3531"/>
    <w:rsid w:val="004F357D"/>
    <w:rsid w:val="004F3690"/>
    <w:rsid w:val="004F3A0B"/>
    <w:rsid w:val="004F3A4B"/>
    <w:rsid w:val="004F3B0C"/>
    <w:rsid w:val="004F3B0D"/>
    <w:rsid w:val="004F3B6D"/>
    <w:rsid w:val="004F3BCF"/>
    <w:rsid w:val="004F3CAA"/>
    <w:rsid w:val="004F3D6C"/>
    <w:rsid w:val="004F3E58"/>
    <w:rsid w:val="004F41E9"/>
    <w:rsid w:val="004F427F"/>
    <w:rsid w:val="004F446A"/>
    <w:rsid w:val="004F4485"/>
    <w:rsid w:val="004F44E0"/>
    <w:rsid w:val="004F45DE"/>
    <w:rsid w:val="004F468E"/>
    <w:rsid w:val="004F4765"/>
    <w:rsid w:val="004F479D"/>
    <w:rsid w:val="004F47DC"/>
    <w:rsid w:val="004F4806"/>
    <w:rsid w:val="004F4B7C"/>
    <w:rsid w:val="004F4BF9"/>
    <w:rsid w:val="004F4CB6"/>
    <w:rsid w:val="004F4CBA"/>
    <w:rsid w:val="004F4D32"/>
    <w:rsid w:val="004F4FA3"/>
    <w:rsid w:val="004F517D"/>
    <w:rsid w:val="004F524E"/>
    <w:rsid w:val="004F536E"/>
    <w:rsid w:val="004F542D"/>
    <w:rsid w:val="004F547A"/>
    <w:rsid w:val="004F55B9"/>
    <w:rsid w:val="004F5857"/>
    <w:rsid w:val="004F5A9D"/>
    <w:rsid w:val="004F5B82"/>
    <w:rsid w:val="004F5D95"/>
    <w:rsid w:val="004F5E38"/>
    <w:rsid w:val="004F6324"/>
    <w:rsid w:val="004F669B"/>
    <w:rsid w:val="004F66BD"/>
    <w:rsid w:val="004F67A3"/>
    <w:rsid w:val="004F67B8"/>
    <w:rsid w:val="004F67C8"/>
    <w:rsid w:val="004F6B5C"/>
    <w:rsid w:val="004F6D49"/>
    <w:rsid w:val="004F6F10"/>
    <w:rsid w:val="004F6F3C"/>
    <w:rsid w:val="004F6FD4"/>
    <w:rsid w:val="004F7012"/>
    <w:rsid w:val="004F70F2"/>
    <w:rsid w:val="004F725E"/>
    <w:rsid w:val="004F7278"/>
    <w:rsid w:val="004F738D"/>
    <w:rsid w:val="004F740F"/>
    <w:rsid w:val="004F7554"/>
    <w:rsid w:val="004F76EE"/>
    <w:rsid w:val="004F770C"/>
    <w:rsid w:val="004F78C3"/>
    <w:rsid w:val="004F78D1"/>
    <w:rsid w:val="004F79C7"/>
    <w:rsid w:val="004F7A37"/>
    <w:rsid w:val="004F7A5B"/>
    <w:rsid w:val="004F7B0C"/>
    <w:rsid w:val="004F7CB4"/>
    <w:rsid w:val="004F7D37"/>
    <w:rsid w:val="004F7ED3"/>
    <w:rsid w:val="004F7EFE"/>
    <w:rsid w:val="004F7FDC"/>
    <w:rsid w:val="005001C0"/>
    <w:rsid w:val="0050029B"/>
    <w:rsid w:val="00500314"/>
    <w:rsid w:val="0050047A"/>
    <w:rsid w:val="005006E0"/>
    <w:rsid w:val="005007BB"/>
    <w:rsid w:val="0050084F"/>
    <w:rsid w:val="00500993"/>
    <w:rsid w:val="00500AAD"/>
    <w:rsid w:val="00500B9F"/>
    <w:rsid w:val="00500BEB"/>
    <w:rsid w:val="00500C2E"/>
    <w:rsid w:val="00500D97"/>
    <w:rsid w:val="00500E43"/>
    <w:rsid w:val="00500EB6"/>
    <w:rsid w:val="00500F26"/>
    <w:rsid w:val="00500F4C"/>
    <w:rsid w:val="00500FCB"/>
    <w:rsid w:val="00500FF7"/>
    <w:rsid w:val="00501225"/>
    <w:rsid w:val="005014B2"/>
    <w:rsid w:val="0050152A"/>
    <w:rsid w:val="00501576"/>
    <w:rsid w:val="00501634"/>
    <w:rsid w:val="005017BB"/>
    <w:rsid w:val="005019B4"/>
    <w:rsid w:val="00501B17"/>
    <w:rsid w:val="00501BD7"/>
    <w:rsid w:val="00501D0D"/>
    <w:rsid w:val="00501D13"/>
    <w:rsid w:val="00501E26"/>
    <w:rsid w:val="00501FB3"/>
    <w:rsid w:val="00502013"/>
    <w:rsid w:val="005024A9"/>
    <w:rsid w:val="005024D1"/>
    <w:rsid w:val="00502597"/>
    <w:rsid w:val="00502770"/>
    <w:rsid w:val="00502B60"/>
    <w:rsid w:val="00502C3F"/>
    <w:rsid w:val="00502EDD"/>
    <w:rsid w:val="00502FD6"/>
    <w:rsid w:val="00503039"/>
    <w:rsid w:val="0050311F"/>
    <w:rsid w:val="00503170"/>
    <w:rsid w:val="00503177"/>
    <w:rsid w:val="005033B3"/>
    <w:rsid w:val="005034C5"/>
    <w:rsid w:val="00503514"/>
    <w:rsid w:val="0050358E"/>
    <w:rsid w:val="00503624"/>
    <w:rsid w:val="005036B2"/>
    <w:rsid w:val="005036E9"/>
    <w:rsid w:val="00503706"/>
    <w:rsid w:val="0050375D"/>
    <w:rsid w:val="00503A11"/>
    <w:rsid w:val="00503AD0"/>
    <w:rsid w:val="00503CAD"/>
    <w:rsid w:val="00503E7F"/>
    <w:rsid w:val="00503F0C"/>
    <w:rsid w:val="00504258"/>
    <w:rsid w:val="00504455"/>
    <w:rsid w:val="00504526"/>
    <w:rsid w:val="005046C1"/>
    <w:rsid w:val="005046E5"/>
    <w:rsid w:val="00504726"/>
    <w:rsid w:val="005047EF"/>
    <w:rsid w:val="00504836"/>
    <w:rsid w:val="0050484B"/>
    <w:rsid w:val="005048ED"/>
    <w:rsid w:val="00504C1D"/>
    <w:rsid w:val="00504D66"/>
    <w:rsid w:val="00504F23"/>
    <w:rsid w:val="00504F62"/>
    <w:rsid w:val="00505016"/>
    <w:rsid w:val="0050501D"/>
    <w:rsid w:val="00505024"/>
    <w:rsid w:val="005051B2"/>
    <w:rsid w:val="005051D4"/>
    <w:rsid w:val="00505265"/>
    <w:rsid w:val="0050529B"/>
    <w:rsid w:val="005052F0"/>
    <w:rsid w:val="00505513"/>
    <w:rsid w:val="0050551F"/>
    <w:rsid w:val="00505533"/>
    <w:rsid w:val="0050566A"/>
    <w:rsid w:val="0050566B"/>
    <w:rsid w:val="005057B6"/>
    <w:rsid w:val="005058F5"/>
    <w:rsid w:val="00505A1C"/>
    <w:rsid w:val="00505A8B"/>
    <w:rsid w:val="00505AC9"/>
    <w:rsid w:val="00505B8C"/>
    <w:rsid w:val="00505BD1"/>
    <w:rsid w:val="00505CC2"/>
    <w:rsid w:val="00505E75"/>
    <w:rsid w:val="00505F32"/>
    <w:rsid w:val="0050603A"/>
    <w:rsid w:val="00506270"/>
    <w:rsid w:val="0050641D"/>
    <w:rsid w:val="0050646B"/>
    <w:rsid w:val="00506609"/>
    <w:rsid w:val="00506657"/>
    <w:rsid w:val="00506895"/>
    <w:rsid w:val="0050691B"/>
    <w:rsid w:val="005069CE"/>
    <w:rsid w:val="005069EC"/>
    <w:rsid w:val="00506A19"/>
    <w:rsid w:val="00506AE9"/>
    <w:rsid w:val="00506BB5"/>
    <w:rsid w:val="00506C1B"/>
    <w:rsid w:val="00506CD3"/>
    <w:rsid w:val="00506FC2"/>
    <w:rsid w:val="005071B9"/>
    <w:rsid w:val="005071F5"/>
    <w:rsid w:val="0050720F"/>
    <w:rsid w:val="005072C3"/>
    <w:rsid w:val="0050730E"/>
    <w:rsid w:val="00507472"/>
    <w:rsid w:val="005074F5"/>
    <w:rsid w:val="00507507"/>
    <w:rsid w:val="005076FE"/>
    <w:rsid w:val="0050784C"/>
    <w:rsid w:val="0050799A"/>
    <w:rsid w:val="005079A6"/>
    <w:rsid w:val="00507AD6"/>
    <w:rsid w:val="00507AD8"/>
    <w:rsid w:val="00507CCE"/>
    <w:rsid w:val="00507D46"/>
    <w:rsid w:val="00507DCA"/>
    <w:rsid w:val="00510054"/>
    <w:rsid w:val="00510141"/>
    <w:rsid w:val="00510197"/>
    <w:rsid w:val="005104A8"/>
    <w:rsid w:val="005104FF"/>
    <w:rsid w:val="00510503"/>
    <w:rsid w:val="0051067A"/>
    <w:rsid w:val="00510754"/>
    <w:rsid w:val="00510769"/>
    <w:rsid w:val="0051077B"/>
    <w:rsid w:val="005107B4"/>
    <w:rsid w:val="005107B9"/>
    <w:rsid w:val="005108D0"/>
    <w:rsid w:val="00510A20"/>
    <w:rsid w:val="00510A75"/>
    <w:rsid w:val="00510A87"/>
    <w:rsid w:val="00510B6F"/>
    <w:rsid w:val="00510B93"/>
    <w:rsid w:val="00511314"/>
    <w:rsid w:val="0051131C"/>
    <w:rsid w:val="00511468"/>
    <w:rsid w:val="005114CF"/>
    <w:rsid w:val="00511813"/>
    <w:rsid w:val="00511A6B"/>
    <w:rsid w:val="00511AAB"/>
    <w:rsid w:val="00511F0F"/>
    <w:rsid w:val="00512170"/>
    <w:rsid w:val="005122DA"/>
    <w:rsid w:val="0051237A"/>
    <w:rsid w:val="00512440"/>
    <w:rsid w:val="005126D8"/>
    <w:rsid w:val="0051273E"/>
    <w:rsid w:val="00512862"/>
    <w:rsid w:val="0051286F"/>
    <w:rsid w:val="00512B73"/>
    <w:rsid w:val="00512E10"/>
    <w:rsid w:val="00512FD2"/>
    <w:rsid w:val="005130A6"/>
    <w:rsid w:val="00513120"/>
    <w:rsid w:val="0051314B"/>
    <w:rsid w:val="005134F4"/>
    <w:rsid w:val="005136DD"/>
    <w:rsid w:val="0051376E"/>
    <w:rsid w:val="005137A2"/>
    <w:rsid w:val="00513963"/>
    <w:rsid w:val="005139CE"/>
    <w:rsid w:val="00513AB8"/>
    <w:rsid w:val="00513B3E"/>
    <w:rsid w:val="00513B6C"/>
    <w:rsid w:val="00513B97"/>
    <w:rsid w:val="00513BF2"/>
    <w:rsid w:val="00513C25"/>
    <w:rsid w:val="00513D16"/>
    <w:rsid w:val="00513D31"/>
    <w:rsid w:val="00513F2E"/>
    <w:rsid w:val="005141B8"/>
    <w:rsid w:val="005142A0"/>
    <w:rsid w:val="00514411"/>
    <w:rsid w:val="005144D7"/>
    <w:rsid w:val="005144DC"/>
    <w:rsid w:val="00514660"/>
    <w:rsid w:val="00514696"/>
    <w:rsid w:val="00514795"/>
    <w:rsid w:val="00514856"/>
    <w:rsid w:val="00514AF1"/>
    <w:rsid w:val="00514B8B"/>
    <w:rsid w:val="00514C93"/>
    <w:rsid w:val="00514C9C"/>
    <w:rsid w:val="00514DF6"/>
    <w:rsid w:val="00514E41"/>
    <w:rsid w:val="00514E4D"/>
    <w:rsid w:val="00514E91"/>
    <w:rsid w:val="00514EDB"/>
    <w:rsid w:val="00514EFB"/>
    <w:rsid w:val="00514F0B"/>
    <w:rsid w:val="00514FEC"/>
    <w:rsid w:val="005155B8"/>
    <w:rsid w:val="005159D2"/>
    <w:rsid w:val="00515AF5"/>
    <w:rsid w:val="00515DE5"/>
    <w:rsid w:val="00515E02"/>
    <w:rsid w:val="00515F9F"/>
    <w:rsid w:val="005160A5"/>
    <w:rsid w:val="0051619C"/>
    <w:rsid w:val="00516220"/>
    <w:rsid w:val="0051623A"/>
    <w:rsid w:val="00516316"/>
    <w:rsid w:val="00516350"/>
    <w:rsid w:val="00516488"/>
    <w:rsid w:val="005165B8"/>
    <w:rsid w:val="005165C5"/>
    <w:rsid w:val="00516648"/>
    <w:rsid w:val="00516708"/>
    <w:rsid w:val="00516A5F"/>
    <w:rsid w:val="00516BA4"/>
    <w:rsid w:val="00516BC1"/>
    <w:rsid w:val="00516DFE"/>
    <w:rsid w:val="00516E7A"/>
    <w:rsid w:val="00517027"/>
    <w:rsid w:val="005172AE"/>
    <w:rsid w:val="00517474"/>
    <w:rsid w:val="0051749E"/>
    <w:rsid w:val="005174D3"/>
    <w:rsid w:val="005176BE"/>
    <w:rsid w:val="0051788B"/>
    <w:rsid w:val="005179F0"/>
    <w:rsid w:val="00517A67"/>
    <w:rsid w:val="00517B76"/>
    <w:rsid w:val="00517BD3"/>
    <w:rsid w:val="00517E7F"/>
    <w:rsid w:val="00517F7A"/>
    <w:rsid w:val="0051BFF4"/>
    <w:rsid w:val="005201B5"/>
    <w:rsid w:val="005201FD"/>
    <w:rsid w:val="005203AA"/>
    <w:rsid w:val="005206C4"/>
    <w:rsid w:val="0052074B"/>
    <w:rsid w:val="0052082A"/>
    <w:rsid w:val="005208B4"/>
    <w:rsid w:val="00520D45"/>
    <w:rsid w:val="00520D78"/>
    <w:rsid w:val="00520DB6"/>
    <w:rsid w:val="00520F33"/>
    <w:rsid w:val="00520FC5"/>
    <w:rsid w:val="0052107C"/>
    <w:rsid w:val="00521163"/>
    <w:rsid w:val="005213DF"/>
    <w:rsid w:val="00521549"/>
    <w:rsid w:val="005215CC"/>
    <w:rsid w:val="005218C4"/>
    <w:rsid w:val="00521A20"/>
    <w:rsid w:val="00521BE2"/>
    <w:rsid w:val="00521F35"/>
    <w:rsid w:val="00522127"/>
    <w:rsid w:val="00522170"/>
    <w:rsid w:val="005221B2"/>
    <w:rsid w:val="00522273"/>
    <w:rsid w:val="005227CE"/>
    <w:rsid w:val="005227D5"/>
    <w:rsid w:val="005227E4"/>
    <w:rsid w:val="005228A2"/>
    <w:rsid w:val="00522CE3"/>
    <w:rsid w:val="00522D2B"/>
    <w:rsid w:val="00522D34"/>
    <w:rsid w:val="00522D61"/>
    <w:rsid w:val="0052301D"/>
    <w:rsid w:val="0052323D"/>
    <w:rsid w:val="00523318"/>
    <w:rsid w:val="00523372"/>
    <w:rsid w:val="005234E2"/>
    <w:rsid w:val="00523678"/>
    <w:rsid w:val="005236F8"/>
    <w:rsid w:val="00523C33"/>
    <w:rsid w:val="00523E9A"/>
    <w:rsid w:val="00523EAE"/>
    <w:rsid w:val="00524044"/>
    <w:rsid w:val="00524136"/>
    <w:rsid w:val="00524196"/>
    <w:rsid w:val="0052430B"/>
    <w:rsid w:val="0052433A"/>
    <w:rsid w:val="005243DC"/>
    <w:rsid w:val="005244D9"/>
    <w:rsid w:val="00524589"/>
    <w:rsid w:val="00524684"/>
    <w:rsid w:val="00524699"/>
    <w:rsid w:val="005246E7"/>
    <w:rsid w:val="00524759"/>
    <w:rsid w:val="00524792"/>
    <w:rsid w:val="00524854"/>
    <w:rsid w:val="00524897"/>
    <w:rsid w:val="005248DA"/>
    <w:rsid w:val="00524907"/>
    <w:rsid w:val="00524975"/>
    <w:rsid w:val="00524A06"/>
    <w:rsid w:val="00524C31"/>
    <w:rsid w:val="005250AC"/>
    <w:rsid w:val="00525252"/>
    <w:rsid w:val="005252C1"/>
    <w:rsid w:val="00525761"/>
    <w:rsid w:val="0052577B"/>
    <w:rsid w:val="005258DF"/>
    <w:rsid w:val="005258F0"/>
    <w:rsid w:val="005258F9"/>
    <w:rsid w:val="00525954"/>
    <w:rsid w:val="005259A1"/>
    <w:rsid w:val="005259B1"/>
    <w:rsid w:val="00525BB5"/>
    <w:rsid w:val="00525CBD"/>
    <w:rsid w:val="00525DB6"/>
    <w:rsid w:val="00525E14"/>
    <w:rsid w:val="00525EC9"/>
    <w:rsid w:val="005261B6"/>
    <w:rsid w:val="00526252"/>
    <w:rsid w:val="0052626D"/>
    <w:rsid w:val="00526288"/>
    <w:rsid w:val="0052654F"/>
    <w:rsid w:val="00526583"/>
    <w:rsid w:val="00526626"/>
    <w:rsid w:val="00526742"/>
    <w:rsid w:val="0052674C"/>
    <w:rsid w:val="00526987"/>
    <w:rsid w:val="00526C3E"/>
    <w:rsid w:val="00526D21"/>
    <w:rsid w:val="00526F0B"/>
    <w:rsid w:val="00526FD9"/>
    <w:rsid w:val="00526FE9"/>
    <w:rsid w:val="00526FFA"/>
    <w:rsid w:val="0052706C"/>
    <w:rsid w:val="00527268"/>
    <w:rsid w:val="0052727A"/>
    <w:rsid w:val="005272A9"/>
    <w:rsid w:val="00527395"/>
    <w:rsid w:val="00527595"/>
    <w:rsid w:val="005276D8"/>
    <w:rsid w:val="005276FF"/>
    <w:rsid w:val="005277AC"/>
    <w:rsid w:val="00527851"/>
    <w:rsid w:val="0052787C"/>
    <w:rsid w:val="00527908"/>
    <w:rsid w:val="00527A7C"/>
    <w:rsid w:val="00527AAA"/>
    <w:rsid w:val="00527AF3"/>
    <w:rsid w:val="00527B61"/>
    <w:rsid w:val="00527E4F"/>
    <w:rsid w:val="00527F9E"/>
    <w:rsid w:val="00530024"/>
    <w:rsid w:val="00530122"/>
    <w:rsid w:val="005302EA"/>
    <w:rsid w:val="005304D8"/>
    <w:rsid w:val="005304F8"/>
    <w:rsid w:val="0053078E"/>
    <w:rsid w:val="00530833"/>
    <w:rsid w:val="00530896"/>
    <w:rsid w:val="005309E0"/>
    <w:rsid w:val="00530A5A"/>
    <w:rsid w:val="00530DD7"/>
    <w:rsid w:val="00530E8C"/>
    <w:rsid w:val="00530FE2"/>
    <w:rsid w:val="0053106C"/>
    <w:rsid w:val="005311B1"/>
    <w:rsid w:val="005311B5"/>
    <w:rsid w:val="005311E9"/>
    <w:rsid w:val="005312DA"/>
    <w:rsid w:val="00531345"/>
    <w:rsid w:val="0053174E"/>
    <w:rsid w:val="005317BB"/>
    <w:rsid w:val="0053189F"/>
    <w:rsid w:val="00531A20"/>
    <w:rsid w:val="00531A68"/>
    <w:rsid w:val="00531DB2"/>
    <w:rsid w:val="00531DBD"/>
    <w:rsid w:val="00531DE6"/>
    <w:rsid w:val="00531E87"/>
    <w:rsid w:val="00531EA7"/>
    <w:rsid w:val="00532015"/>
    <w:rsid w:val="00532075"/>
    <w:rsid w:val="0053207B"/>
    <w:rsid w:val="005320EA"/>
    <w:rsid w:val="005322AC"/>
    <w:rsid w:val="005322F1"/>
    <w:rsid w:val="005323D8"/>
    <w:rsid w:val="005324D4"/>
    <w:rsid w:val="0053251E"/>
    <w:rsid w:val="005325BA"/>
    <w:rsid w:val="005326DA"/>
    <w:rsid w:val="005327BE"/>
    <w:rsid w:val="00532805"/>
    <w:rsid w:val="005328F8"/>
    <w:rsid w:val="00532A0A"/>
    <w:rsid w:val="00532A45"/>
    <w:rsid w:val="00532AB3"/>
    <w:rsid w:val="00532BEB"/>
    <w:rsid w:val="00532C46"/>
    <w:rsid w:val="00532CF3"/>
    <w:rsid w:val="00532D2D"/>
    <w:rsid w:val="00532D45"/>
    <w:rsid w:val="00532E92"/>
    <w:rsid w:val="005337CE"/>
    <w:rsid w:val="005337EF"/>
    <w:rsid w:val="0053384E"/>
    <w:rsid w:val="00533862"/>
    <w:rsid w:val="005338D9"/>
    <w:rsid w:val="005339AE"/>
    <w:rsid w:val="00533AED"/>
    <w:rsid w:val="00533B94"/>
    <w:rsid w:val="00533C28"/>
    <w:rsid w:val="00533CF6"/>
    <w:rsid w:val="00533D0C"/>
    <w:rsid w:val="00533DB3"/>
    <w:rsid w:val="00534031"/>
    <w:rsid w:val="005340B2"/>
    <w:rsid w:val="005341C9"/>
    <w:rsid w:val="005342B5"/>
    <w:rsid w:val="0053456D"/>
    <w:rsid w:val="00534613"/>
    <w:rsid w:val="00534918"/>
    <w:rsid w:val="005349E0"/>
    <w:rsid w:val="00534B78"/>
    <w:rsid w:val="00534C26"/>
    <w:rsid w:val="00534CF7"/>
    <w:rsid w:val="00534D5A"/>
    <w:rsid w:val="0053503E"/>
    <w:rsid w:val="00535042"/>
    <w:rsid w:val="0053504E"/>
    <w:rsid w:val="005350BA"/>
    <w:rsid w:val="0053531B"/>
    <w:rsid w:val="005354C7"/>
    <w:rsid w:val="005355A6"/>
    <w:rsid w:val="005355F4"/>
    <w:rsid w:val="00535A1E"/>
    <w:rsid w:val="00535A4A"/>
    <w:rsid w:val="00535ADA"/>
    <w:rsid w:val="00535B30"/>
    <w:rsid w:val="00535F42"/>
    <w:rsid w:val="00536014"/>
    <w:rsid w:val="005360C8"/>
    <w:rsid w:val="00536225"/>
    <w:rsid w:val="0053636E"/>
    <w:rsid w:val="005364A6"/>
    <w:rsid w:val="0053650E"/>
    <w:rsid w:val="00536529"/>
    <w:rsid w:val="00536537"/>
    <w:rsid w:val="0053665E"/>
    <w:rsid w:val="0053668D"/>
    <w:rsid w:val="005366F6"/>
    <w:rsid w:val="005369DE"/>
    <w:rsid w:val="00536B3C"/>
    <w:rsid w:val="00536C42"/>
    <w:rsid w:val="00536CD0"/>
    <w:rsid w:val="005372D7"/>
    <w:rsid w:val="005372FF"/>
    <w:rsid w:val="005374C1"/>
    <w:rsid w:val="00537622"/>
    <w:rsid w:val="00537644"/>
    <w:rsid w:val="005376E6"/>
    <w:rsid w:val="0053770D"/>
    <w:rsid w:val="0053779B"/>
    <w:rsid w:val="00537899"/>
    <w:rsid w:val="005378DE"/>
    <w:rsid w:val="00537930"/>
    <w:rsid w:val="00537942"/>
    <w:rsid w:val="005379EE"/>
    <w:rsid w:val="005379F8"/>
    <w:rsid w:val="00537A04"/>
    <w:rsid w:val="00537CE1"/>
    <w:rsid w:val="00537E0C"/>
    <w:rsid w:val="00537E27"/>
    <w:rsid w:val="00537EE3"/>
    <w:rsid w:val="00540477"/>
    <w:rsid w:val="005405F4"/>
    <w:rsid w:val="0054060F"/>
    <w:rsid w:val="005406A3"/>
    <w:rsid w:val="00540712"/>
    <w:rsid w:val="00540778"/>
    <w:rsid w:val="00540827"/>
    <w:rsid w:val="00540843"/>
    <w:rsid w:val="005408B6"/>
    <w:rsid w:val="0054097A"/>
    <w:rsid w:val="00540AD6"/>
    <w:rsid w:val="00540F13"/>
    <w:rsid w:val="0054109A"/>
    <w:rsid w:val="00541140"/>
    <w:rsid w:val="00541178"/>
    <w:rsid w:val="00541250"/>
    <w:rsid w:val="0054146F"/>
    <w:rsid w:val="00541486"/>
    <w:rsid w:val="0054148C"/>
    <w:rsid w:val="005415CC"/>
    <w:rsid w:val="00541680"/>
    <w:rsid w:val="00541687"/>
    <w:rsid w:val="0054172D"/>
    <w:rsid w:val="00541880"/>
    <w:rsid w:val="00541B10"/>
    <w:rsid w:val="00541D8D"/>
    <w:rsid w:val="00541D90"/>
    <w:rsid w:val="00541E73"/>
    <w:rsid w:val="00542074"/>
    <w:rsid w:val="005421D3"/>
    <w:rsid w:val="00542292"/>
    <w:rsid w:val="005423D9"/>
    <w:rsid w:val="0054259D"/>
    <w:rsid w:val="00542946"/>
    <w:rsid w:val="005429FB"/>
    <w:rsid w:val="00542A9B"/>
    <w:rsid w:val="00542BE6"/>
    <w:rsid w:val="00542C04"/>
    <w:rsid w:val="00542D86"/>
    <w:rsid w:val="00542F4D"/>
    <w:rsid w:val="00542FE2"/>
    <w:rsid w:val="00543105"/>
    <w:rsid w:val="0054316E"/>
    <w:rsid w:val="00543346"/>
    <w:rsid w:val="005433F5"/>
    <w:rsid w:val="00543434"/>
    <w:rsid w:val="00543548"/>
    <w:rsid w:val="00543597"/>
    <w:rsid w:val="0054378C"/>
    <w:rsid w:val="00543793"/>
    <w:rsid w:val="005437B6"/>
    <w:rsid w:val="00543806"/>
    <w:rsid w:val="00543813"/>
    <w:rsid w:val="00543815"/>
    <w:rsid w:val="00543832"/>
    <w:rsid w:val="005438F5"/>
    <w:rsid w:val="00543AD0"/>
    <w:rsid w:val="00543CA2"/>
    <w:rsid w:val="00543CCB"/>
    <w:rsid w:val="00543D6F"/>
    <w:rsid w:val="00543F60"/>
    <w:rsid w:val="005440C6"/>
    <w:rsid w:val="0054413F"/>
    <w:rsid w:val="00544231"/>
    <w:rsid w:val="005443EC"/>
    <w:rsid w:val="005444F1"/>
    <w:rsid w:val="00544522"/>
    <w:rsid w:val="0054456B"/>
    <w:rsid w:val="005445D5"/>
    <w:rsid w:val="00544628"/>
    <w:rsid w:val="0054469B"/>
    <w:rsid w:val="00544714"/>
    <w:rsid w:val="00544767"/>
    <w:rsid w:val="005447BB"/>
    <w:rsid w:val="00544876"/>
    <w:rsid w:val="00544928"/>
    <w:rsid w:val="00544940"/>
    <w:rsid w:val="00544AEC"/>
    <w:rsid w:val="00544BD9"/>
    <w:rsid w:val="00544C2A"/>
    <w:rsid w:val="00544D0C"/>
    <w:rsid w:val="00544E80"/>
    <w:rsid w:val="00544E81"/>
    <w:rsid w:val="00544F15"/>
    <w:rsid w:val="00545265"/>
    <w:rsid w:val="00545291"/>
    <w:rsid w:val="005452C0"/>
    <w:rsid w:val="0054556E"/>
    <w:rsid w:val="005455A0"/>
    <w:rsid w:val="005455B6"/>
    <w:rsid w:val="005455F3"/>
    <w:rsid w:val="005457BE"/>
    <w:rsid w:val="00545830"/>
    <w:rsid w:val="00545CC1"/>
    <w:rsid w:val="00545CDF"/>
    <w:rsid w:val="00545D6F"/>
    <w:rsid w:val="00545E82"/>
    <w:rsid w:val="00546006"/>
    <w:rsid w:val="00546148"/>
    <w:rsid w:val="005461CC"/>
    <w:rsid w:val="00546263"/>
    <w:rsid w:val="005462D6"/>
    <w:rsid w:val="00546335"/>
    <w:rsid w:val="005463B1"/>
    <w:rsid w:val="00546461"/>
    <w:rsid w:val="0054649C"/>
    <w:rsid w:val="005464AC"/>
    <w:rsid w:val="0054651D"/>
    <w:rsid w:val="0054680A"/>
    <w:rsid w:val="00546842"/>
    <w:rsid w:val="00546891"/>
    <w:rsid w:val="005468F4"/>
    <w:rsid w:val="00546A07"/>
    <w:rsid w:val="00546A52"/>
    <w:rsid w:val="00546A91"/>
    <w:rsid w:val="00546BB3"/>
    <w:rsid w:val="00546C5C"/>
    <w:rsid w:val="00546C77"/>
    <w:rsid w:val="00546D7D"/>
    <w:rsid w:val="00546EC0"/>
    <w:rsid w:val="00546EF2"/>
    <w:rsid w:val="00546F14"/>
    <w:rsid w:val="00546FF5"/>
    <w:rsid w:val="005470AF"/>
    <w:rsid w:val="0054712D"/>
    <w:rsid w:val="0054715C"/>
    <w:rsid w:val="00547182"/>
    <w:rsid w:val="005475F5"/>
    <w:rsid w:val="0054761B"/>
    <w:rsid w:val="00547728"/>
    <w:rsid w:val="00547879"/>
    <w:rsid w:val="005478B1"/>
    <w:rsid w:val="00547A97"/>
    <w:rsid w:val="00547AD0"/>
    <w:rsid w:val="00547DC1"/>
    <w:rsid w:val="00547F55"/>
    <w:rsid w:val="005504B2"/>
    <w:rsid w:val="00550637"/>
    <w:rsid w:val="0055064F"/>
    <w:rsid w:val="0055088C"/>
    <w:rsid w:val="005508EC"/>
    <w:rsid w:val="00550B17"/>
    <w:rsid w:val="00550BF5"/>
    <w:rsid w:val="00550C42"/>
    <w:rsid w:val="00550C8A"/>
    <w:rsid w:val="00550D99"/>
    <w:rsid w:val="00550F06"/>
    <w:rsid w:val="005510B5"/>
    <w:rsid w:val="005512FC"/>
    <w:rsid w:val="00551590"/>
    <w:rsid w:val="00551785"/>
    <w:rsid w:val="005518E9"/>
    <w:rsid w:val="00551ACB"/>
    <w:rsid w:val="00551B7D"/>
    <w:rsid w:val="00551D78"/>
    <w:rsid w:val="00551F2B"/>
    <w:rsid w:val="005520B4"/>
    <w:rsid w:val="005520C9"/>
    <w:rsid w:val="00552390"/>
    <w:rsid w:val="0055241D"/>
    <w:rsid w:val="005525B5"/>
    <w:rsid w:val="005525F2"/>
    <w:rsid w:val="00552630"/>
    <w:rsid w:val="0055276D"/>
    <w:rsid w:val="005527E5"/>
    <w:rsid w:val="005528E5"/>
    <w:rsid w:val="00552BC9"/>
    <w:rsid w:val="00552C31"/>
    <w:rsid w:val="00552C7C"/>
    <w:rsid w:val="00552D05"/>
    <w:rsid w:val="00552D39"/>
    <w:rsid w:val="0055303F"/>
    <w:rsid w:val="00553098"/>
    <w:rsid w:val="005530B5"/>
    <w:rsid w:val="005531A5"/>
    <w:rsid w:val="005534AC"/>
    <w:rsid w:val="005534CF"/>
    <w:rsid w:val="0055351F"/>
    <w:rsid w:val="005535BA"/>
    <w:rsid w:val="00553705"/>
    <w:rsid w:val="00553791"/>
    <w:rsid w:val="00553823"/>
    <w:rsid w:val="0055384C"/>
    <w:rsid w:val="005538A3"/>
    <w:rsid w:val="00553B36"/>
    <w:rsid w:val="00553DCF"/>
    <w:rsid w:val="00553E11"/>
    <w:rsid w:val="00553E26"/>
    <w:rsid w:val="00553FAF"/>
    <w:rsid w:val="00554052"/>
    <w:rsid w:val="0055410E"/>
    <w:rsid w:val="0055424D"/>
    <w:rsid w:val="0055426A"/>
    <w:rsid w:val="005543B2"/>
    <w:rsid w:val="005543FC"/>
    <w:rsid w:val="0055447B"/>
    <w:rsid w:val="005544E6"/>
    <w:rsid w:val="0055463B"/>
    <w:rsid w:val="005546CF"/>
    <w:rsid w:val="005546D9"/>
    <w:rsid w:val="005546E2"/>
    <w:rsid w:val="00554702"/>
    <w:rsid w:val="00554BFE"/>
    <w:rsid w:val="00554F3E"/>
    <w:rsid w:val="005550CA"/>
    <w:rsid w:val="0055513B"/>
    <w:rsid w:val="005553F0"/>
    <w:rsid w:val="0055559D"/>
    <w:rsid w:val="0055569B"/>
    <w:rsid w:val="005556EB"/>
    <w:rsid w:val="00555780"/>
    <w:rsid w:val="0055589D"/>
    <w:rsid w:val="00555ACB"/>
    <w:rsid w:val="00555AE1"/>
    <w:rsid w:val="00555C0B"/>
    <w:rsid w:val="00555DE8"/>
    <w:rsid w:val="005560F2"/>
    <w:rsid w:val="005560F6"/>
    <w:rsid w:val="0055626F"/>
    <w:rsid w:val="0055633C"/>
    <w:rsid w:val="00556500"/>
    <w:rsid w:val="0055664A"/>
    <w:rsid w:val="005566BA"/>
    <w:rsid w:val="00556734"/>
    <w:rsid w:val="00556809"/>
    <w:rsid w:val="0055681D"/>
    <w:rsid w:val="005568FE"/>
    <w:rsid w:val="00556964"/>
    <w:rsid w:val="00556A7D"/>
    <w:rsid w:val="00556A88"/>
    <w:rsid w:val="00556A99"/>
    <w:rsid w:val="00556A9B"/>
    <w:rsid w:val="00556AE6"/>
    <w:rsid w:val="00556BB5"/>
    <w:rsid w:val="00556CA3"/>
    <w:rsid w:val="00556F1E"/>
    <w:rsid w:val="00556FA5"/>
    <w:rsid w:val="00557011"/>
    <w:rsid w:val="005573D4"/>
    <w:rsid w:val="00557459"/>
    <w:rsid w:val="0055763E"/>
    <w:rsid w:val="005576BD"/>
    <w:rsid w:val="00557713"/>
    <w:rsid w:val="00557774"/>
    <w:rsid w:val="005577EC"/>
    <w:rsid w:val="005578A7"/>
    <w:rsid w:val="005579F7"/>
    <w:rsid w:val="00557A14"/>
    <w:rsid w:val="00557BAD"/>
    <w:rsid w:val="00557CC0"/>
    <w:rsid w:val="00557E07"/>
    <w:rsid w:val="00560170"/>
    <w:rsid w:val="0056023B"/>
    <w:rsid w:val="005608A0"/>
    <w:rsid w:val="00560CF9"/>
    <w:rsid w:val="00560D63"/>
    <w:rsid w:val="00560D6C"/>
    <w:rsid w:val="00560E01"/>
    <w:rsid w:val="00560FE6"/>
    <w:rsid w:val="00560FF7"/>
    <w:rsid w:val="00561287"/>
    <w:rsid w:val="00561294"/>
    <w:rsid w:val="0056141B"/>
    <w:rsid w:val="00561534"/>
    <w:rsid w:val="0056174E"/>
    <w:rsid w:val="005618F1"/>
    <w:rsid w:val="005619F0"/>
    <w:rsid w:val="00561A9B"/>
    <w:rsid w:val="00561C23"/>
    <w:rsid w:val="00561D42"/>
    <w:rsid w:val="00561D84"/>
    <w:rsid w:val="00561ED6"/>
    <w:rsid w:val="005620FC"/>
    <w:rsid w:val="005622EF"/>
    <w:rsid w:val="005623EA"/>
    <w:rsid w:val="005623F0"/>
    <w:rsid w:val="005624B6"/>
    <w:rsid w:val="005624C4"/>
    <w:rsid w:val="005625DF"/>
    <w:rsid w:val="00562681"/>
    <w:rsid w:val="00562750"/>
    <w:rsid w:val="0056276D"/>
    <w:rsid w:val="00562A90"/>
    <w:rsid w:val="00562D56"/>
    <w:rsid w:val="00562DB0"/>
    <w:rsid w:val="00562DBF"/>
    <w:rsid w:val="00562E63"/>
    <w:rsid w:val="00562FA3"/>
    <w:rsid w:val="00562FB3"/>
    <w:rsid w:val="00563081"/>
    <w:rsid w:val="005630EB"/>
    <w:rsid w:val="00563238"/>
    <w:rsid w:val="005632A6"/>
    <w:rsid w:val="00563561"/>
    <w:rsid w:val="0056363E"/>
    <w:rsid w:val="0056366D"/>
    <w:rsid w:val="00563678"/>
    <w:rsid w:val="005636FD"/>
    <w:rsid w:val="005637D7"/>
    <w:rsid w:val="00563AB4"/>
    <w:rsid w:val="00563B6F"/>
    <w:rsid w:val="00563C5D"/>
    <w:rsid w:val="00563D57"/>
    <w:rsid w:val="00563D5B"/>
    <w:rsid w:val="00563E63"/>
    <w:rsid w:val="00563EDA"/>
    <w:rsid w:val="00563F32"/>
    <w:rsid w:val="005642C0"/>
    <w:rsid w:val="005643F8"/>
    <w:rsid w:val="00564584"/>
    <w:rsid w:val="00564629"/>
    <w:rsid w:val="00564AE9"/>
    <w:rsid w:val="00564B9A"/>
    <w:rsid w:val="00564DBB"/>
    <w:rsid w:val="00564EFD"/>
    <w:rsid w:val="0056527F"/>
    <w:rsid w:val="005652F6"/>
    <w:rsid w:val="0056548F"/>
    <w:rsid w:val="00565544"/>
    <w:rsid w:val="00565731"/>
    <w:rsid w:val="0056578B"/>
    <w:rsid w:val="00565869"/>
    <w:rsid w:val="005659EA"/>
    <w:rsid w:val="00565A41"/>
    <w:rsid w:val="00565B51"/>
    <w:rsid w:val="00565B73"/>
    <w:rsid w:val="00565BF1"/>
    <w:rsid w:val="00565C6D"/>
    <w:rsid w:val="00565CE8"/>
    <w:rsid w:val="00565E7C"/>
    <w:rsid w:val="00565EED"/>
    <w:rsid w:val="00565FC1"/>
    <w:rsid w:val="005660D5"/>
    <w:rsid w:val="005660DD"/>
    <w:rsid w:val="0056615E"/>
    <w:rsid w:val="00566300"/>
    <w:rsid w:val="00566375"/>
    <w:rsid w:val="00566426"/>
    <w:rsid w:val="00566640"/>
    <w:rsid w:val="00566664"/>
    <w:rsid w:val="005667CE"/>
    <w:rsid w:val="0056681A"/>
    <w:rsid w:val="00566829"/>
    <w:rsid w:val="0056688A"/>
    <w:rsid w:val="005669C2"/>
    <w:rsid w:val="00566A38"/>
    <w:rsid w:val="00566A53"/>
    <w:rsid w:val="00566B0A"/>
    <w:rsid w:val="00566BA3"/>
    <w:rsid w:val="00566C06"/>
    <w:rsid w:val="00566FBE"/>
    <w:rsid w:val="00567027"/>
    <w:rsid w:val="0056704E"/>
    <w:rsid w:val="00567050"/>
    <w:rsid w:val="00567128"/>
    <w:rsid w:val="0056737E"/>
    <w:rsid w:val="00567515"/>
    <w:rsid w:val="00567525"/>
    <w:rsid w:val="0056757F"/>
    <w:rsid w:val="005675C5"/>
    <w:rsid w:val="00567613"/>
    <w:rsid w:val="005678C2"/>
    <w:rsid w:val="005679FA"/>
    <w:rsid w:val="00567A26"/>
    <w:rsid w:val="00567B51"/>
    <w:rsid w:val="00567DDF"/>
    <w:rsid w:val="00570038"/>
    <w:rsid w:val="005700CC"/>
    <w:rsid w:val="005701FE"/>
    <w:rsid w:val="005704CC"/>
    <w:rsid w:val="005705AF"/>
    <w:rsid w:val="005705D2"/>
    <w:rsid w:val="005707CD"/>
    <w:rsid w:val="005708B1"/>
    <w:rsid w:val="005708C9"/>
    <w:rsid w:val="005709F6"/>
    <w:rsid w:val="00570B7E"/>
    <w:rsid w:val="00570BC7"/>
    <w:rsid w:val="00570BEA"/>
    <w:rsid w:val="00570C42"/>
    <w:rsid w:val="00571010"/>
    <w:rsid w:val="00571174"/>
    <w:rsid w:val="0057120C"/>
    <w:rsid w:val="0057139C"/>
    <w:rsid w:val="005713CB"/>
    <w:rsid w:val="00571496"/>
    <w:rsid w:val="005714FB"/>
    <w:rsid w:val="0057153C"/>
    <w:rsid w:val="0057159B"/>
    <w:rsid w:val="005715DC"/>
    <w:rsid w:val="005715E9"/>
    <w:rsid w:val="00571621"/>
    <w:rsid w:val="005717E3"/>
    <w:rsid w:val="005717F3"/>
    <w:rsid w:val="0057180A"/>
    <w:rsid w:val="005718F9"/>
    <w:rsid w:val="005719CE"/>
    <w:rsid w:val="00571A5A"/>
    <w:rsid w:val="00571D9D"/>
    <w:rsid w:val="00571F8F"/>
    <w:rsid w:val="005720B2"/>
    <w:rsid w:val="00572274"/>
    <w:rsid w:val="00572304"/>
    <w:rsid w:val="00572336"/>
    <w:rsid w:val="00572357"/>
    <w:rsid w:val="0057240C"/>
    <w:rsid w:val="00572415"/>
    <w:rsid w:val="00572626"/>
    <w:rsid w:val="0057285D"/>
    <w:rsid w:val="00572899"/>
    <w:rsid w:val="005728B3"/>
    <w:rsid w:val="00572A8A"/>
    <w:rsid w:val="00572B33"/>
    <w:rsid w:val="00572D3B"/>
    <w:rsid w:val="00572FC5"/>
    <w:rsid w:val="005730C9"/>
    <w:rsid w:val="005730EA"/>
    <w:rsid w:val="005731AD"/>
    <w:rsid w:val="00573345"/>
    <w:rsid w:val="005734DF"/>
    <w:rsid w:val="005736BF"/>
    <w:rsid w:val="005737A1"/>
    <w:rsid w:val="005737E9"/>
    <w:rsid w:val="0057390E"/>
    <w:rsid w:val="00573945"/>
    <w:rsid w:val="00573988"/>
    <w:rsid w:val="00573A64"/>
    <w:rsid w:val="00573B29"/>
    <w:rsid w:val="00573EAB"/>
    <w:rsid w:val="00573FA5"/>
    <w:rsid w:val="0057404E"/>
    <w:rsid w:val="00574347"/>
    <w:rsid w:val="0057437D"/>
    <w:rsid w:val="0057441E"/>
    <w:rsid w:val="0057461E"/>
    <w:rsid w:val="00574631"/>
    <w:rsid w:val="005749FB"/>
    <w:rsid w:val="00574B22"/>
    <w:rsid w:val="00574C63"/>
    <w:rsid w:val="00574CE0"/>
    <w:rsid w:val="00574DEC"/>
    <w:rsid w:val="00574E71"/>
    <w:rsid w:val="00574F09"/>
    <w:rsid w:val="005750D8"/>
    <w:rsid w:val="00575156"/>
    <w:rsid w:val="00575172"/>
    <w:rsid w:val="00575199"/>
    <w:rsid w:val="005753B3"/>
    <w:rsid w:val="005753F4"/>
    <w:rsid w:val="0057545D"/>
    <w:rsid w:val="0057577A"/>
    <w:rsid w:val="005758D4"/>
    <w:rsid w:val="00575941"/>
    <w:rsid w:val="00575A3A"/>
    <w:rsid w:val="00575A6A"/>
    <w:rsid w:val="00575AB6"/>
    <w:rsid w:val="00575DCC"/>
    <w:rsid w:val="00576026"/>
    <w:rsid w:val="00576066"/>
    <w:rsid w:val="00576106"/>
    <w:rsid w:val="0057620B"/>
    <w:rsid w:val="00576213"/>
    <w:rsid w:val="0057637C"/>
    <w:rsid w:val="005764D8"/>
    <w:rsid w:val="00576A1D"/>
    <w:rsid w:val="00576B9A"/>
    <w:rsid w:val="00576BF2"/>
    <w:rsid w:val="00576CC5"/>
    <w:rsid w:val="00576E23"/>
    <w:rsid w:val="0057715E"/>
    <w:rsid w:val="00577390"/>
    <w:rsid w:val="005774CB"/>
    <w:rsid w:val="00577604"/>
    <w:rsid w:val="00577659"/>
    <w:rsid w:val="00577726"/>
    <w:rsid w:val="0057777A"/>
    <w:rsid w:val="00577830"/>
    <w:rsid w:val="005778E1"/>
    <w:rsid w:val="00577968"/>
    <w:rsid w:val="00577AA6"/>
    <w:rsid w:val="00577AD2"/>
    <w:rsid w:val="00577BF7"/>
    <w:rsid w:val="00577DE4"/>
    <w:rsid w:val="00577DF6"/>
    <w:rsid w:val="00580002"/>
    <w:rsid w:val="005801D0"/>
    <w:rsid w:val="00580203"/>
    <w:rsid w:val="0058026C"/>
    <w:rsid w:val="005803D9"/>
    <w:rsid w:val="005804C2"/>
    <w:rsid w:val="0058066A"/>
    <w:rsid w:val="00580789"/>
    <w:rsid w:val="0058081D"/>
    <w:rsid w:val="00580AF3"/>
    <w:rsid w:val="00580BE7"/>
    <w:rsid w:val="00580C01"/>
    <w:rsid w:val="00580C08"/>
    <w:rsid w:val="00580C8A"/>
    <w:rsid w:val="00580D9C"/>
    <w:rsid w:val="00580E0C"/>
    <w:rsid w:val="00581011"/>
    <w:rsid w:val="0058109D"/>
    <w:rsid w:val="00581211"/>
    <w:rsid w:val="00581240"/>
    <w:rsid w:val="005812C9"/>
    <w:rsid w:val="005812DA"/>
    <w:rsid w:val="00581355"/>
    <w:rsid w:val="005814C6"/>
    <w:rsid w:val="00581545"/>
    <w:rsid w:val="005816E1"/>
    <w:rsid w:val="0058177C"/>
    <w:rsid w:val="005817D3"/>
    <w:rsid w:val="00581AC6"/>
    <w:rsid w:val="00581B56"/>
    <w:rsid w:val="00581BD9"/>
    <w:rsid w:val="00581C5C"/>
    <w:rsid w:val="00581ECA"/>
    <w:rsid w:val="00581FF4"/>
    <w:rsid w:val="00582164"/>
    <w:rsid w:val="005823A8"/>
    <w:rsid w:val="0058243E"/>
    <w:rsid w:val="00582608"/>
    <w:rsid w:val="00582778"/>
    <w:rsid w:val="0058298C"/>
    <w:rsid w:val="0058298F"/>
    <w:rsid w:val="00582A13"/>
    <w:rsid w:val="00582AB3"/>
    <w:rsid w:val="00582CA2"/>
    <w:rsid w:val="00582DE0"/>
    <w:rsid w:val="005830B8"/>
    <w:rsid w:val="005830CF"/>
    <w:rsid w:val="00583165"/>
    <w:rsid w:val="005833C7"/>
    <w:rsid w:val="0058374D"/>
    <w:rsid w:val="00583842"/>
    <w:rsid w:val="00583914"/>
    <w:rsid w:val="00583A75"/>
    <w:rsid w:val="00583B4A"/>
    <w:rsid w:val="00583DBE"/>
    <w:rsid w:val="00583E67"/>
    <w:rsid w:val="0058411F"/>
    <w:rsid w:val="005841B1"/>
    <w:rsid w:val="00584270"/>
    <w:rsid w:val="00584306"/>
    <w:rsid w:val="0058437F"/>
    <w:rsid w:val="005843F5"/>
    <w:rsid w:val="00584634"/>
    <w:rsid w:val="005847CC"/>
    <w:rsid w:val="005848A0"/>
    <w:rsid w:val="005848CE"/>
    <w:rsid w:val="00584AD3"/>
    <w:rsid w:val="00584AF1"/>
    <w:rsid w:val="00584B02"/>
    <w:rsid w:val="00584C50"/>
    <w:rsid w:val="00584DAE"/>
    <w:rsid w:val="00585157"/>
    <w:rsid w:val="0058521A"/>
    <w:rsid w:val="0058524B"/>
    <w:rsid w:val="005852C9"/>
    <w:rsid w:val="0058554C"/>
    <w:rsid w:val="00585556"/>
    <w:rsid w:val="00585806"/>
    <w:rsid w:val="00585814"/>
    <w:rsid w:val="0058594A"/>
    <w:rsid w:val="005859DB"/>
    <w:rsid w:val="00585AAB"/>
    <w:rsid w:val="00585B28"/>
    <w:rsid w:val="00585C9F"/>
    <w:rsid w:val="00585D6F"/>
    <w:rsid w:val="00585E08"/>
    <w:rsid w:val="0058609C"/>
    <w:rsid w:val="0058611F"/>
    <w:rsid w:val="0058620F"/>
    <w:rsid w:val="005865EF"/>
    <w:rsid w:val="005867F1"/>
    <w:rsid w:val="00586B4F"/>
    <w:rsid w:val="0058701F"/>
    <w:rsid w:val="00587033"/>
    <w:rsid w:val="0058709F"/>
    <w:rsid w:val="00587132"/>
    <w:rsid w:val="00587153"/>
    <w:rsid w:val="0058715B"/>
    <w:rsid w:val="00587339"/>
    <w:rsid w:val="005873C3"/>
    <w:rsid w:val="00587430"/>
    <w:rsid w:val="00587577"/>
    <w:rsid w:val="005875C8"/>
    <w:rsid w:val="00587B5E"/>
    <w:rsid w:val="00587CB9"/>
    <w:rsid w:val="00587D58"/>
    <w:rsid w:val="00587DC3"/>
    <w:rsid w:val="00587DF5"/>
    <w:rsid w:val="00587EA3"/>
    <w:rsid w:val="00590028"/>
    <w:rsid w:val="005900A3"/>
    <w:rsid w:val="005901B3"/>
    <w:rsid w:val="0059026F"/>
    <w:rsid w:val="00590283"/>
    <w:rsid w:val="005903D8"/>
    <w:rsid w:val="005903F4"/>
    <w:rsid w:val="00590412"/>
    <w:rsid w:val="00590563"/>
    <w:rsid w:val="005905EE"/>
    <w:rsid w:val="005907BB"/>
    <w:rsid w:val="005908AC"/>
    <w:rsid w:val="00590912"/>
    <w:rsid w:val="00590C34"/>
    <w:rsid w:val="00590D5E"/>
    <w:rsid w:val="00590D9B"/>
    <w:rsid w:val="00590EFC"/>
    <w:rsid w:val="00590FA3"/>
    <w:rsid w:val="005910C5"/>
    <w:rsid w:val="005910FB"/>
    <w:rsid w:val="0059112A"/>
    <w:rsid w:val="0059124D"/>
    <w:rsid w:val="00591382"/>
    <w:rsid w:val="00591405"/>
    <w:rsid w:val="00591483"/>
    <w:rsid w:val="0059185B"/>
    <w:rsid w:val="00591973"/>
    <w:rsid w:val="00591C53"/>
    <w:rsid w:val="00591CD6"/>
    <w:rsid w:val="00591CF3"/>
    <w:rsid w:val="00591D67"/>
    <w:rsid w:val="00591DA2"/>
    <w:rsid w:val="00591E26"/>
    <w:rsid w:val="00591FD3"/>
    <w:rsid w:val="00592092"/>
    <w:rsid w:val="00592307"/>
    <w:rsid w:val="005923F4"/>
    <w:rsid w:val="00592680"/>
    <w:rsid w:val="00592694"/>
    <w:rsid w:val="0059274D"/>
    <w:rsid w:val="005928BD"/>
    <w:rsid w:val="00592CC8"/>
    <w:rsid w:val="00592E98"/>
    <w:rsid w:val="00592F24"/>
    <w:rsid w:val="00593166"/>
    <w:rsid w:val="00593333"/>
    <w:rsid w:val="00593437"/>
    <w:rsid w:val="005934F4"/>
    <w:rsid w:val="00593531"/>
    <w:rsid w:val="0059369A"/>
    <w:rsid w:val="005937D7"/>
    <w:rsid w:val="005939F4"/>
    <w:rsid w:val="00593B45"/>
    <w:rsid w:val="00593C99"/>
    <w:rsid w:val="00593DA5"/>
    <w:rsid w:val="00593DD0"/>
    <w:rsid w:val="00593E6F"/>
    <w:rsid w:val="00593EB1"/>
    <w:rsid w:val="005940AD"/>
    <w:rsid w:val="005940C8"/>
    <w:rsid w:val="00594255"/>
    <w:rsid w:val="00594296"/>
    <w:rsid w:val="0059435E"/>
    <w:rsid w:val="00594509"/>
    <w:rsid w:val="0059450A"/>
    <w:rsid w:val="00594575"/>
    <w:rsid w:val="00594591"/>
    <w:rsid w:val="00594BEE"/>
    <w:rsid w:val="00594BF3"/>
    <w:rsid w:val="00595258"/>
    <w:rsid w:val="00595272"/>
    <w:rsid w:val="00595291"/>
    <w:rsid w:val="005952C5"/>
    <w:rsid w:val="0059548E"/>
    <w:rsid w:val="0059551F"/>
    <w:rsid w:val="00595552"/>
    <w:rsid w:val="005955D7"/>
    <w:rsid w:val="00595735"/>
    <w:rsid w:val="005957BC"/>
    <w:rsid w:val="00595892"/>
    <w:rsid w:val="00595911"/>
    <w:rsid w:val="005959D5"/>
    <w:rsid w:val="00595AD0"/>
    <w:rsid w:val="00595AD9"/>
    <w:rsid w:val="00595B6E"/>
    <w:rsid w:val="00595C56"/>
    <w:rsid w:val="00595DE2"/>
    <w:rsid w:val="005960A9"/>
    <w:rsid w:val="005961F0"/>
    <w:rsid w:val="0059624D"/>
    <w:rsid w:val="00596344"/>
    <w:rsid w:val="0059671D"/>
    <w:rsid w:val="005967E8"/>
    <w:rsid w:val="00596974"/>
    <w:rsid w:val="00596CC6"/>
    <w:rsid w:val="00596F32"/>
    <w:rsid w:val="00596F4C"/>
    <w:rsid w:val="00596F7E"/>
    <w:rsid w:val="00596F98"/>
    <w:rsid w:val="00596FAF"/>
    <w:rsid w:val="0059720C"/>
    <w:rsid w:val="00597244"/>
    <w:rsid w:val="00597509"/>
    <w:rsid w:val="00597658"/>
    <w:rsid w:val="005976CA"/>
    <w:rsid w:val="0059780D"/>
    <w:rsid w:val="0059785B"/>
    <w:rsid w:val="00597B0F"/>
    <w:rsid w:val="00597E4A"/>
    <w:rsid w:val="00597F36"/>
    <w:rsid w:val="00597F7E"/>
    <w:rsid w:val="00597FB5"/>
    <w:rsid w:val="005A0102"/>
    <w:rsid w:val="005A022D"/>
    <w:rsid w:val="005A0459"/>
    <w:rsid w:val="005A04BB"/>
    <w:rsid w:val="005A070E"/>
    <w:rsid w:val="005A08E5"/>
    <w:rsid w:val="005A0958"/>
    <w:rsid w:val="005A0A6B"/>
    <w:rsid w:val="005A0B08"/>
    <w:rsid w:val="005A0B96"/>
    <w:rsid w:val="005A0BF0"/>
    <w:rsid w:val="005A0E3E"/>
    <w:rsid w:val="005A0EC9"/>
    <w:rsid w:val="005A0EEE"/>
    <w:rsid w:val="005A11BE"/>
    <w:rsid w:val="005A1241"/>
    <w:rsid w:val="005A133C"/>
    <w:rsid w:val="005A15D7"/>
    <w:rsid w:val="005A1733"/>
    <w:rsid w:val="005A1767"/>
    <w:rsid w:val="005A1778"/>
    <w:rsid w:val="005A17DA"/>
    <w:rsid w:val="005A17E5"/>
    <w:rsid w:val="005A1B81"/>
    <w:rsid w:val="005A1C85"/>
    <w:rsid w:val="005A2092"/>
    <w:rsid w:val="005A210C"/>
    <w:rsid w:val="005A21A1"/>
    <w:rsid w:val="005A23C2"/>
    <w:rsid w:val="005A2558"/>
    <w:rsid w:val="005A27CF"/>
    <w:rsid w:val="005A28F9"/>
    <w:rsid w:val="005A2978"/>
    <w:rsid w:val="005A2A69"/>
    <w:rsid w:val="005A2A94"/>
    <w:rsid w:val="005A2ABB"/>
    <w:rsid w:val="005A2DB7"/>
    <w:rsid w:val="005A2F4B"/>
    <w:rsid w:val="005A3236"/>
    <w:rsid w:val="005A33CC"/>
    <w:rsid w:val="005A3478"/>
    <w:rsid w:val="005A3530"/>
    <w:rsid w:val="005A35E6"/>
    <w:rsid w:val="005A35FD"/>
    <w:rsid w:val="005A3641"/>
    <w:rsid w:val="005A3671"/>
    <w:rsid w:val="005A3685"/>
    <w:rsid w:val="005A372D"/>
    <w:rsid w:val="005A3798"/>
    <w:rsid w:val="005A382B"/>
    <w:rsid w:val="005A3951"/>
    <w:rsid w:val="005A3968"/>
    <w:rsid w:val="005A402A"/>
    <w:rsid w:val="005A4375"/>
    <w:rsid w:val="005A43B5"/>
    <w:rsid w:val="005A45BF"/>
    <w:rsid w:val="005A45E3"/>
    <w:rsid w:val="005A492D"/>
    <w:rsid w:val="005A49B1"/>
    <w:rsid w:val="005A4B24"/>
    <w:rsid w:val="005A4C8A"/>
    <w:rsid w:val="005A4D63"/>
    <w:rsid w:val="005A4D70"/>
    <w:rsid w:val="005A4E45"/>
    <w:rsid w:val="005A4E72"/>
    <w:rsid w:val="005A4F0C"/>
    <w:rsid w:val="005A4FC1"/>
    <w:rsid w:val="005A4FF6"/>
    <w:rsid w:val="005A50DB"/>
    <w:rsid w:val="005A514C"/>
    <w:rsid w:val="005A52EC"/>
    <w:rsid w:val="005A5387"/>
    <w:rsid w:val="005A54AE"/>
    <w:rsid w:val="005A559F"/>
    <w:rsid w:val="005A596D"/>
    <w:rsid w:val="005A59C6"/>
    <w:rsid w:val="005A5A32"/>
    <w:rsid w:val="005A5A6D"/>
    <w:rsid w:val="005A5C90"/>
    <w:rsid w:val="005A5CAC"/>
    <w:rsid w:val="005A5E28"/>
    <w:rsid w:val="005A5EB7"/>
    <w:rsid w:val="005A5FC5"/>
    <w:rsid w:val="005A600C"/>
    <w:rsid w:val="005A60CE"/>
    <w:rsid w:val="005A6144"/>
    <w:rsid w:val="005A6278"/>
    <w:rsid w:val="005A62A1"/>
    <w:rsid w:val="005A65C0"/>
    <w:rsid w:val="005A661C"/>
    <w:rsid w:val="005A6627"/>
    <w:rsid w:val="005A6673"/>
    <w:rsid w:val="005A66AF"/>
    <w:rsid w:val="005A66D0"/>
    <w:rsid w:val="005A684A"/>
    <w:rsid w:val="005A68AE"/>
    <w:rsid w:val="005A6964"/>
    <w:rsid w:val="005A6B11"/>
    <w:rsid w:val="005A6C6B"/>
    <w:rsid w:val="005A6CD5"/>
    <w:rsid w:val="005A6D4C"/>
    <w:rsid w:val="005A6EE8"/>
    <w:rsid w:val="005A6EEF"/>
    <w:rsid w:val="005A7061"/>
    <w:rsid w:val="005A7265"/>
    <w:rsid w:val="005A7549"/>
    <w:rsid w:val="005A75F9"/>
    <w:rsid w:val="005A765A"/>
    <w:rsid w:val="005A777C"/>
    <w:rsid w:val="005A782D"/>
    <w:rsid w:val="005A7B0B"/>
    <w:rsid w:val="005A7CE5"/>
    <w:rsid w:val="005A7CEC"/>
    <w:rsid w:val="005A7D33"/>
    <w:rsid w:val="005A7E4E"/>
    <w:rsid w:val="005B0008"/>
    <w:rsid w:val="005B0047"/>
    <w:rsid w:val="005B008D"/>
    <w:rsid w:val="005B01BA"/>
    <w:rsid w:val="005B02F3"/>
    <w:rsid w:val="005B034E"/>
    <w:rsid w:val="005B053B"/>
    <w:rsid w:val="005B05AB"/>
    <w:rsid w:val="005B0714"/>
    <w:rsid w:val="005B0734"/>
    <w:rsid w:val="005B07CB"/>
    <w:rsid w:val="005B07E9"/>
    <w:rsid w:val="005B0860"/>
    <w:rsid w:val="005B0960"/>
    <w:rsid w:val="005B09CA"/>
    <w:rsid w:val="005B0A12"/>
    <w:rsid w:val="005B0BEB"/>
    <w:rsid w:val="005B0C41"/>
    <w:rsid w:val="005B0CA7"/>
    <w:rsid w:val="005B0CE4"/>
    <w:rsid w:val="005B0D21"/>
    <w:rsid w:val="005B0D55"/>
    <w:rsid w:val="005B0EE2"/>
    <w:rsid w:val="005B0EFE"/>
    <w:rsid w:val="005B0FEE"/>
    <w:rsid w:val="005B1037"/>
    <w:rsid w:val="005B11BA"/>
    <w:rsid w:val="005B11C9"/>
    <w:rsid w:val="005B11D3"/>
    <w:rsid w:val="005B1512"/>
    <w:rsid w:val="005B154B"/>
    <w:rsid w:val="005B1680"/>
    <w:rsid w:val="005B16A6"/>
    <w:rsid w:val="005B178A"/>
    <w:rsid w:val="005B17AE"/>
    <w:rsid w:val="005B18C6"/>
    <w:rsid w:val="005B18EB"/>
    <w:rsid w:val="005B1987"/>
    <w:rsid w:val="005B1BAD"/>
    <w:rsid w:val="005B1D4F"/>
    <w:rsid w:val="005B1DBE"/>
    <w:rsid w:val="005B1E19"/>
    <w:rsid w:val="005B1FEE"/>
    <w:rsid w:val="005B2027"/>
    <w:rsid w:val="005B2049"/>
    <w:rsid w:val="005B2091"/>
    <w:rsid w:val="005B20F1"/>
    <w:rsid w:val="005B2167"/>
    <w:rsid w:val="005B21F1"/>
    <w:rsid w:val="005B2222"/>
    <w:rsid w:val="005B22E0"/>
    <w:rsid w:val="005B262B"/>
    <w:rsid w:val="005B275F"/>
    <w:rsid w:val="005B2946"/>
    <w:rsid w:val="005B294A"/>
    <w:rsid w:val="005B2A62"/>
    <w:rsid w:val="005B2AAF"/>
    <w:rsid w:val="005B2B03"/>
    <w:rsid w:val="005B2B13"/>
    <w:rsid w:val="005B2BFE"/>
    <w:rsid w:val="005B2C25"/>
    <w:rsid w:val="005B2CCC"/>
    <w:rsid w:val="005B2DFB"/>
    <w:rsid w:val="005B2E4F"/>
    <w:rsid w:val="005B309C"/>
    <w:rsid w:val="005B30B1"/>
    <w:rsid w:val="005B32B1"/>
    <w:rsid w:val="005B34C3"/>
    <w:rsid w:val="005B3553"/>
    <w:rsid w:val="005B36C3"/>
    <w:rsid w:val="005B3852"/>
    <w:rsid w:val="005B3AA8"/>
    <w:rsid w:val="005B3B56"/>
    <w:rsid w:val="005B3C72"/>
    <w:rsid w:val="005B418D"/>
    <w:rsid w:val="005B41AC"/>
    <w:rsid w:val="005B4243"/>
    <w:rsid w:val="005B4652"/>
    <w:rsid w:val="005B4668"/>
    <w:rsid w:val="005B47C2"/>
    <w:rsid w:val="005B4BFD"/>
    <w:rsid w:val="005B4D7C"/>
    <w:rsid w:val="005B4DEE"/>
    <w:rsid w:val="005B4EEE"/>
    <w:rsid w:val="005B4F97"/>
    <w:rsid w:val="005B4FB1"/>
    <w:rsid w:val="005B5003"/>
    <w:rsid w:val="005B503E"/>
    <w:rsid w:val="005B5245"/>
    <w:rsid w:val="005B555A"/>
    <w:rsid w:val="005B5814"/>
    <w:rsid w:val="005B58B5"/>
    <w:rsid w:val="005B5AFD"/>
    <w:rsid w:val="005B5B01"/>
    <w:rsid w:val="005B5B37"/>
    <w:rsid w:val="005B5B5F"/>
    <w:rsid w:val="005B5B9A"/>
    <w:rsid w:val="005B5DA4"/>
    <w:rsid w:val="005B5E1A"/>
    <w:rsid w:val="005B5FE4"/>
    <w:rsid w:val="005B60B0"/>
    <w:rsid w:val="005B63CD"/>
    <w:rsid w:val="005B650B"/>
    <w:rsid w:val="005B6642"/>
    <w:rsid w:val="005B66DF"/>
    <w:rsid w:val="005B676B"/>
    <w:rsid w:val="005B678A"/>
    <w:rsid w:val="005B6824"/>
    <w:rsid w:val="005B699C"/>
    <w:rsid w:val="005B6A17"/>
    <w:rsid w:val="005B6AF9"/>
    <w:rsid w:val="005B6B21"/>
    <w:rsid w:val="005B6C19"/>
    <w:rsid w:val="005B6D38"/>
    <w:rsid w:val="005B6DCD"/>
    <w:rsid w:val="005B6DE6"/>
    <w:rsid w:val="005B6F35"/>
    <w:rsid w:val="005B6F46"/>
    <w:rsid w:val="005B79FD"/>
    <w:rsid w:val="005B7CD6"/>
    <w:rsid w:val="005B7E65"/>
    <w:rsid w:val="005B7E82"/>
    <w:rsid w:val="005B7F46"/>
    <w:rsid w:val="005BE2CB"/>
    <w:rsid w:val="005C007E"/>
    <w:rsid w:val="005C0537"/>
    <w:rsid w:val="005C081E"/>
    <w:rsid w:val="005C08D6"/>
    <w:rsid w:val="005C0930"/>
    <w:rsid w:val="005C09EE"/>
    <w:rsid w:val="005C0B13"/>
    <w:rsid w:val="005C0B2D"/>
    <w:rsid w:val="005C0D91"/>
    <w:rsid w:val="005C0DCC"/>
    <w:rsid w:val="005C0E1B"/>
    <w:rsid w:val="005C0FBD"/>
    <w:rsid w:val="005C10BF"/>
    <w:rsid w:val="005C11CC"/>
    <w:rsid w:val="005C11D3"/>
    <w:rsid w:val="005C1239"/>
    <w:rsid w:val="005C1442"/>
    <w:rsid w:val="005C1563"/>
    <w:rsid w:val="005C159D"/>
    <w:rsid w:val="005C15A0"/>
    <w:rsid w:val="005C16E0"/>
    <w:rsid w:val="005C173B"/>
    <w:rsid w:val="005C175C"/>
    <w:rsid w:val="005C17D2"/>
    <w:rsid w:val="005C17D7"/>
    <w:rsid w:val="005C1874"/>
    <w:rsid w:val="005C1CB3"/>
    <w:rsid w:val="005C1D54"/>
    <w:rsid w:val="005C1D9B"/>
    <w:rsid w:val="005C1E00"/>
    <w:rsid w:val="005C1F49"/>
    <w:rsid w:val="005C2045"/>
    <w:rsid w:val="005C20B1"/>
    <w:rsid w:val="005C23ED"/>
    <w:rsid w:val="005C2675"/>
    <w:rsid w:val="005C26E7"/>
    <w:rsid w:val="005C2766"/>
    <w:rsid w:val="005C299A"/>
    <w:rsid w:val="005C29F0"/>
    <w:rsid w:val="005C2A2D"/>
    <w:rsid w:val="005C2A79"/>
    <w:rsid w:val="005C2ECF"/>
    <w:rsid w:val="005C2F6B"/>
    <w:rsid w:val="005C2F92"/>
    <w:rsid w:val="005C3273"/>
    <w:rsid w:val="005C3341"/>
    <w:rsid w:val="005C3365"/>
    <w:rsid w:val="005C33BD"/>
    <w:rsid w:val="005C33D0"/>
    <w:rsid w:val="005C3482"/>
    <w:rsid w:val="005C3501"/>
    <w:rsid w:val="005C3555"/>
    <w:rsid w:val="005C356E"/>
    <w:rsid w:val="005C3613"/>
    <w:rsid w:val="005C36F7"/>
    <w:rsid w:val="005C3751"/>
    <w:rsid w:val="005C37FD"/>
    <w:rsid w:val="005C38F6"/>
    <w:rsid w:val="005C3936"/>
    <w:rsid w:val="005C3ABB"/>
    <w:rsid w:val="005C3AE9"/>
    <w:rsid w:val="005C3CAE"/>
    <w:rsid w:val="005C3D19"/>
    <w:rsid w:val="005C3E18"/>
    <w:rsid w:val="005C3E24"/>
    <w:rsid w:val="005C3F05"/>
    <w:rsid w:val="005C3F8C"/>
    <w:rsid w:val="005C4089"/>
    <w:rsid w:val="005C4275"/>
    <w:rsid w:val="005C4288"/>
    <w:rsid w:val="005C431E"/>
    <w:rsid w:val="005C4475"/>
    <w:rsid w:val="005C44F7"/>
    <w:rsid w:val="005C4529"/>
    <w:rsid w:val="005C46ED"/>
    <w:rsid w:val="005C4718"/>
    <w:rsid w:val="005C4815"/>
    <w:rsid w:val="005C486E"/>
    <w:rsid w:val="005C48B1"/>
    <w:rsid w:val="005C4949"/>
    <w:rsid w:val="005C4AEA"/>
    <w:rsid w:val="005C4B85"/>
    <w:rsid w:val="005C4C45"/>
    <w:rsid w:val="005C4F0A"/>
    <w:rsid w:val="005C501A"/>
    <w:rsid w:val="005C5029"/>
    <w:rsid w:val="005C513B"/>
    <w:rsid w:val="005C515A"/>
    <w:rsid w:val="005C5263"/>
    <w:rsid w:val="005C529B"/>
    <w:rsid w:val="005C52A2"/>
    <w:rsid w:val="005C53E0"/>
    <w:rsid w:val="005C5404"/>
    <w:rsid w:val="005C5412"/>
    <w:rsid w:val="005C547D"/>
    <w:rsid w:val="005C5549"/>
    <w:rsid w:val="005C5651"/>
    <w:rsid w:val="005C5847"/>
    <w:rsid w:val="005C59AF"/>
    <w:rsid w:val="005C5BF1"/>
    <w:rsid w:val="005C5C59"/>
    <w:rsid w:val="005C5D65"/>
    <w:rsid w:val="005C5E02"/>
    <w:rsid w:val="005C6032"/>
    <w:rsid w:val="005C606D"/>
    <w:rsid w:val="005C60F3"/>
    <w:rsid w:val="005C6102"/>
    <w:rsid w:val="005C65DB"/>
    <w:rsid w:val="005C66A6"/>
    <w:rsid w:val="005C66D3"/>
    <w:rsid w:val="005C6828"/>
    <w:rsid w:val="005C6AE8"/>
    <w:rsid w:val="005C6B0B"/>
    <w:rsid w:val="005C6B3A"/>
    <w:rsid w:val="005C6C4C"/>
    <w:rsid w:val="005C6C65"/>
    <w:rsid w:val="005C6F4B"/>
    <w:rsid w:val="005C7066"/>
    <w:rsid w:val="005C707C"/>
    <w:rsid w:val="005C7093"/>
    <w:rsid w:val="005C713F"/>
    <w:rsid w:val="005C7219"/>
    <w:rsid w:val="005C7530"/>
    <w:rsid w:val="005C75CE"/>
    <w:rsid w:val="005C768A"/>
    <w:rsid w:val="005C76A5"/>
    <w:rsid w:val="005C786D"/>
    <w:rsid w:val="005C7892"/>
    <w:rsid w:val="005C7CC6"/>
    <w:rsid w:val="005C7D73"/>
    <w:rsid w:val="005C7DAA"/>
    <w:rsid w:val="005D00A1"/>
    <w:rsid w:val="005D02C9"/>
    <w:rsid w:val="005D0494"/>
    <w:rsid w:val="005D04A0"/>
    <w:rsid w:val="005D04D6"/>
    <w:rsid w:val="005D0664"/>
    <w:rsid w:val="005D06E8"/>
    <w:rsid w:val="005D06E9"/>
    <w:rsid w:val="005D091F"/>
    <w:rsid w:val="005D098B"/>
    <w:rsid w:val="005D0B2B"/>
    <w:rsid w:val="005D0BF0"/>
    <w:rsid w:val="005D0D1F"/>
    <w:rsid w:val="005D0EB9"/>
    <w:rsid w:val="005D0FDD"/>
    <w:rsid w:val="005D1091"/>
    <w:rsid w:val="005D11F3"/>
    <w:rsid w:val="005D1210"/>
    <w:rsid w:val="005D1316"/>
    <w:rsid w:val="005D14AB"/>
    <w:rsid w:val="005D151A"/>
    <w:rsid w:val="005D179A"/>
    <w:rsid w:val="005D17CF"/>
    <w:rsid w:val="005D188A"/>
    <w:rsid w:val="005D1964"/>
    <w:rsid w:val="005D1A95"/>
    <w:rsid w:val="005D1ABE"/>
    <w:rsid w:val="005D1ADF"/>
    <w:rsid w:val="005D1BF7"/>
    <w:rsid w:val="005D1D95"/>
    <w:rsid w:val="005D1DDB"/>
    <w:rsid w:val="005D1E03"/>
    <w:rsid w:val="005D1EE8"/>
    <w:rsid w:val="005D207B"/>
    <w:rsid w:val="005D207F"/>
    <w:rsid w:val="005D227C"/>
    <w:rsid w:val="005D22F4"/>
    <w:rsid w:val="005D258A"/>
    <w:rsid w:val="005D2605"/>
    <w:rsid w:val="005D2639"/>
    <w:rsid w:val="005D268F"/>
    <w:rsid w:val="005D26ED"/>
    <w:rsid w:val="005D26F6"/>
    <w:rsid w:val="005D28AB"/>
    <w:rsid w:val="005D29DD"/>
    <w:rsid w:val="005D2B2B"/>
    <w:rsid w:val="005D2B81"/>
    <w:rsid w:val="005D2B88"/>
    <w:rsid w:val="005D302E"/>
    <w:rsid w:val="005D30A3"/>
    <w:rsid w:val="005D316D"/>
    <w:rsid w:val="005D331A"/>
    <w:rsid w:val="005D38E0"/>
    <w:rsid w:val="005D3900"/>
    <w:rsid w:val="005D39D1"/>
    <w:rsid w:val="005D3A1E"/>
    <w:rsid w:val="005D3A6C"/>
    <w:rsid w:val="005D3AD0"/>
    <w:rsid w:val="005D3C6C"/>
    <w:rsid w:val="005D3CD0"/>
    <w:rsid w:val="005D3CE9"/>
    <w:rsid w:val="005D3D71"/>
    <w:rsid w:val="005D3DA9"/>
    <w:rsid w:val="005D3E10"/>
    <w:rsid w:val="005D3E7C"/>
    <w:rsid w:val="005D4120"/>
    <w:rsid w:val="005D4238"/>
    <w:rsid w:val="005D4318"/>
    <w:rsid w:val="005D48C9"/>
    <w:rsid w:val="005D4905"/>
    <w:rsid w:val="005D494F"/>
    <w:rsid w:val="005D49F0"/>
    <w:rsid w:val="005D4A57"/>
    <w:rsid w:val="005D4A60"/>
    <w:rsid w:val="005D4A76"/>
    <w:rsid w:val="005D4AC4"/>
    <w:rsid w:val="005D4FC1"/>
    <w:rsid w:val="005D4FCB"/>
    <w:rsid w:val="005D4FF2"/>
    <w:rsid w:val="005D5257"/>
    <w:rsid w:val="005D541F"/>
    <w:rsid w:val="005D5994"/>
    <w:rsid w:val="005D5B5C"/>
    <w:rsid w:val="005D5DA1"/>
    <w:rsid w:val="005D62AA"/>
    <w:rsid w:val="005D6362"/>
    <w:rsid w:val="005D63DA"/>
    <w:rsid w:val="005D67F3"/>
    <w:rsid w:val="005D6957"/>
    <w:rsid w:val="005D6AE4"/>
    <w:rsid w:val="005D6E35"/>
    <w:rsid w:val="005D6E86"/>
    <w:rsid w:val="005D6F84"/>
    <w:rsid w:val="005D7018"/>
    <w:rsid w:val="005D7281"/>
    <w:rsid w:val="005D7293"/>
    <w:rsid w:val="005D72B9"/>
    <w:rsid w:val="005D737F"/>
    <w:rsid w:val="005D7445"/>
    <w:rsid w:val="005D759D"/>
    <w:rsid w:val="005D7619"/>
    <w:rsid w:val="005D7632"/>
    <w:rsid w:val="005D76B6"/>
    <w:rsid w:val="005D76FB"/>
    <w:rsid w:val="005D7702"/>
    <w:rsid w:val="005D7738"/>
    <w:rsid w:val="005D77AA"/>
    <w:rsid w:val="005D77EC"/>
    <w:rsid w:val="005D78B1"/>
    <w:rsid w:val="005D7BF2"/>
    <w:rsid w:val="005D7E4D"/>
    <w:rsid w:val="005E02B0"/>
    <w:rsid w:val="005E0542"/>
    <w:rsid w:val="005E0731"/>
    <w:rsid w:val="005E074F"/>
    <w:rsid w:val="005E07AC"/>
    <w:rsid w:val="005E089D"/>
    <w:rsid w:val="005E0BFE"/>
    <w:rsid w:val="005E0D7D"/>
    <w:rsid w:val="005E0DAF"/>
    <w:rsid w:val="005E0DC8"/>
    <w:rsid w:val="005E12DE"/>
    <w:rsid w:val="005E12E6"/>
    <w:rsid w:val="005E130E"/>
    <w:rsid w:val="005E13A1"/>
    <w:rsid w:val="005E1438"/>
    <w:rsid w:val="005E15EB"/>
    <w:rsid w:val="005E165C"/>
    <w:rsid w:val="005E1B42"/>
    <w:rsid w:val="005E1B57"/>
    <w:rsid w:val="005E1CC8"/>
    <w:rsid w:val="005E1E2D"/>
    <w:rsid w:val="005E1E7C"/>
    <w:rsid w:val="005E1FEC"/>
    <w:rsid w:val="005E20EE"/>
    <w:rsid w:val="005E21F3"/>
    <w:rsid w:val="005E2204"/>
    <w:rsid w:val="005E228F"/>
    <w:rsid w:val="005E22F3"/>
    <w:rsid w:val="005E23AC"/>
    <w:rsid w:val="005E23EC"/>
    <w:rsid w:val="005E254D"/>
    <w:rsid w:val="005E2614"/>
    <w:rsid w:val="005E26E4"/>
    <w:rsid w:val="005E2760"/>
    <w:rsid w:val="005E28BF"/>
    <w:rsid w:val="005E29FC"/>
    <w:rsid w:val="005E2B1D"/>
    <w:rsid w:val="005E2F90"/>
    <w:rsid w:val="005E301A"/>
    <w:rsid w:val="005E31E5"/>
    <w:rsid w:val="005E3291"/>
    <w:rsid w:val="005E3344"/>
    <w:rsid w:val="005E36F2"/>
    <w:rsid w:val="005E36F8"/>
    <w:rsid w:val="005E3779"/>
    <w:rsid w:val="005E37AD"/>
    <w:rsid w:val="005E39AE"/>
    <w:rsid w:val="005E3A1B"/>
    <w:rsid w:val="005E3C00"/>
    <w:rsid w:val="005E3E62"/>
    <w:rsid w:val="005E3F78"/>
    <w:rsid w:val="005E4132"/>
    <w:rsid w:val="005E438C"/>
    <w:rsid w:val="005E44A0"/>
    <w:rsid w:val="005E4592"/>
    <w:rsid w:val="005E463C"/>
    <w:rsid w:val="005E48E8"/>
    <w:rsid w:val="005E49C6"/>
    <w:rsid w:val="005E4B1E"/>
    <w:rsid w:val="005E4C1C"/>
    <w:rsid w:val="005E4D45"/>
    <w:rsid w:val="005E4E2C"/>
    <w:rsid w:val="005E4F50"/>
    <w:rsid w:val="005E512D"/>
    <w:rsid w:val="005E51DC"/>
    <w:rsid w:val="005E5341"/>
    <w:rsid w:val="005E5453"/>
    <w:rsid w:val="005E54B2"/>
    <w:rsid w:val="005E557E"/>
    <w:rsid w:val="005E578F"/>
    <w:rsid w:val="005E59D5"/>
    <w:rsid w:val="005E5A06"/>
    <w:rsid w:val="005E5C41"/>
    <w:rsid w:val="005E5CDF"/>
    <w:rsid w:val="005E5D1F"/>
    <w:rsid w:val="005E5E9E"/>
    <w:rsid w:val="005E5FA1"/>
    <w:rsid w:val="005E6072"/>
    <w:rsid w:val="005E60ED"/>
    <w:rsid w:val="005E6103"/>
    <w:rsid w:val="005E650A"/>
    <w:rsid w:val="005E6517"/>
    <w:rsid w:val="005E6693"/>
    <w:rsid w:val="005E66E7"/>
    <w:rsid w:val="005E6740"/>
    <w:rsid w:val="005E6880"/>
    <w:rsid w:val="005E6950"/>
    <w:rsid w:val="005E6993"/>
    <w:rsid w:val="005E69EE"/>
    <w:rsid w:val="005E6A06"/>
    <w:rsid w:val="005E6B92"/>
    <w:rsid w:val="005E6C83"/>
    <w:rsid w:val="005E6E5D"/>
    <w:rsid w:val="005E6E7D"/>
    <w:rsid w:val="005E6ED5"/>
    <w:rsid w:val="005E6EE5"/>
    <w:rsid w:val="005E6F04"/>
    <w:rsid w:val="005E7021"/>
    <w:rsid w:val="005E70A6"/>
    <w:rsid w:val="005E70DD"/>
    <w:rsid w:val="005E717D"/>
    <w:rsid w:val="005E718C"/>
    <w:rsid w:val="005E7209"/>
    <w:rsid w:val="005E768C"/>
    <w:rsid w:val="005E7759"/>
    <w:rsid w:val="005E78F1"/>
    <w:rsid w:val="005E799E"/>
    <w:rsid w:val="005E7D23"/>
    <w:rsid w:val="005E7DF1"/>
    <w:rsid w:val="005E7E24"/>
    <w:rsid w:val="005E7E98"/>
    <w:rsid w:val="005F01CE"/>
    <w:rsid w:val="005F03AF"/>
    <w:rsid w:val="005F040A"/>
    <w:rsid w:val="005F04A0"/>
    <w:rsid w:val="005F04B9"/>
    <w:rsid w:val="005F0501"/>
    <w:rsid w:val="005F0515"/>
    <w:rsid w:val="005F0715"/>
    <w:rsid w:val="005F0742"/>
    <w:rsid w:val="005F074A"/>
    <w:rsid w:val="005F0C7D"/>
    <w:rsid w:val="005F0D63"/>
    <w:rsid w:val="005F13FE"/>
    <w:rsid w:val="005F14BA"/>
    <w:rsid w:val="005F1953"/>
    <w:rsid w:val="005F1972"/>
    <w:rsid w:val="005F19DD"/>
    <w:rsid w:val="005F1B08"/>
    <w:rsid w:val="005F1B37"/>
    <w:rsid w:val="005F2025"/>
    <w:rsid w:val="005F2046"/>
    <w:rsid w:val="005F227C"/>
    <w:rsid w:val="005F2355"/>
    <w:rsid w:val="005F24B8"/>
    <w:rsid w:val="005F258B"/>
    <w:rsid w:val="005F2698"/>
    <w:rsid w:val="005F26BE"/>
    <w:rsid w:val="005F2921"/>
    <w:rsid w:val="005F2A1F"/>
    <w:rsid w:val="005F2C9C"/>
    <w:rsid w:val="005F2DF7"/>
    <w:rsid w:val="005F2E70"/>
    <w:rsid w:val="005F2F06"/>
    <w:rsid w:val="005F302F"/>
    <w:rsid w:val="005F31CF"/>
    <w:rsid w:val="005F32B9"/>
    <w:rsid w:val="005F354D"/>
    <w:rsid w:val="005F358F"/>
    <w:rsid w:val="005F3626"/>
    <w:rsid w:val="005F368D"/>
    <w:rsid w:val="005F36A7"/>
    <w:rsid w:val="005F375B"/>
    <w:rsid w:val="005F3958"/>
    <w:rsid w:val="005F3D81"/>
    <w:rsid w:val="005F3E17"/>
    <w:rsid w:val="005F3F4E"/>
    <w:rsid w:val="005F3F92"/>
    <w:rsid w:val="005F3FE7"/>
    <w:rsid w:val="005F4062"/>
    <w:rsid w:val="005F4152"/>
    <w:rsid w:val="005F41DB"/>
    <w:rsid w:val="005F4405"/>
    <w:rsid w:val="005F464C"/>
    <w:rsid w:val="005F46F0"/>
    <w:rsid w:val="005F47B3"/>
    <w:rsid w:val="005F48AB"/>
    <w:rsid w:val="005F4A02"/>
    <w:rsid w:val="005F4A4C"/>
    <w:rsid w:val="005F4B51"/>
    <w:rsid w:val="005F4D1E"/>
    <w:rsid w:val="005F4DBB"/>
    <w:rsid w:val="005F4FEE"/>
    <w:rsid w:val="005F4FFC"/>
    <w:rsid w:val="005F5091"/>
    <w:rsid w:val="005F5336"/>
    <w:rsid w:val="005F5358"/>
    <w:rsid w:val="005F53E0"/>
    <w:rsid w:val="005F570F"/>
    <w:rsid w:val="005F571C"/>
    <w:rsid w:val="005F5752"/>
    <w:rsid w:val="005F5796"/>
    <w:rsid w:val="005F5880"/>
    <w:rsid w:val="005F5905"/>
    <w:rsid w:val="005F5945"/>
    <w:rsid w:val="005F5A6C"/>
    <w:rsid w:val="005F5B1D"/>
    <w:rsid w:val="005F5B2A"/>
    <w:rsid w:val="005F5BFC"/>
    <w:rsid w:val="005F5CD6"/>
    <w:rsid w:val="005F5CF8"/>
    <w:rsid w:val="005F6174"/>
    <w:rsid w:val="005F61A4"/>
    <w:rsid w:val="005F6388"/>
    <w:rsid w:val="005F63F3"/>
    <w:rsid w:val="005F6769"/>
    <w:rsid w:val="005F6818"/>
    <w:rsid w:val="005F6886"/>
    <w:rsid w:val="005F6932"/>
    <w:rsid w:val="005F6A54"/>
    <w:rsid w:val="005F6B19"/>
    <w:rsid w:val="005F6C9A"/>
    <w:rsid w:val="005F6DEF"/>
    <w:rsid w:val="005F6E1A"/>
    <w:rsid w:val="005F6E36"/>
    <w:rsid w:val="005F6EBC"/>
    <w:rsid w:val="005F70DB"/>
    <w:rsid w:val="005F7357"/>
    <w:rsid w:val="005F735C"/>
    <w:rsid w:val="005F73DC"/>
    <w:rsid w:val="005F75C1"/>
    <w:rsid w:val="005F76EE"/>
    <w:rsid w:val="005F7910"/>
    <w:rsid w:val="005F7DD9"/>
    <w:rsid w:val="0060005C"/>
    <w:rsid w:val="00600116"/>
    <w:rsid w:val="00600209"/>
    <w:rsid w:val="0060020E"/>
    <w:rsid w:val="00600215"/>
    <w:rsid w:val="00600266"/>
    <w:rsid w:val="0060056B"/>
    <w:rsid w:val="0060059B"/>
    <w:rsid w:val="006005D1"/>
    <w:rsid w:val="00600639"/>
    <w:rsid w:val="0060065C"/>
    <w:rsid w:val="00600705"/>
    <w:rsid w:val="006007AF"/>
    <w:rsid w:val="0060082B"/>
    <w:rsid w:val="00600839"/>
    <w:rsid w:val="0060090D"/>
    <w:rsid w:val="00600968"/>
    <w:rsid w:val="00600A76"/>
    <w:rsid w:val="00600AC0"/>
    <w:rsid w:val="00600B8F"/>
    <w:rsid w:val="00600BBD"/>
    <w:rsid w:val="00600CA2"/>
    <w:rsid w:val="00600DC9"/>
    <w:rsid w:val="00600FD5"/>
    <w:rsid w:val="006010B5"/>
    <w:rsid w:val="006011C7"/>
    <w:rsid w:val="00601228"/>
    <w:rsid w:val="00601322"/>
    <w:rsid w:val="00601415"/>
    <w:rsid w:val="0060149B"/>
    <w:rsid w:val="0060170E"/>
    <w:rsid w:val="0060179C"/>
    <w:rsid w:val="00601A98"/>
    <w:rsid w:val="00601C57"/>
    <w:rsid w:val="00601DA4"/>
    <w:rsid w:val="00601EBE"/>
    <w:rsid w:val="00602120"/>
    <w:rsid w:val="0060212A"/>
    <w:rsid w:val="0060225E"/>
    <w:rsid w:val="006024D3"/>
    <w:rsid w:val="006024D9"/>
    <w:rsid w:val="0060253D"/>
    <w:rsid w:val="006025C5"/>
    <w:rsid w:val="00602605"/>
    <w:rsid w:val="0060268F"/>
    <w:rsid w:val="006026F2"/>
    <w:rsid w:val="00602753"/>
    <w:rsid w:val="006028E5"/>
    <w:rsid w:val="00602925"/>
    <w:rsid w:val="00602A66"/>
    <w:rsid w:val="00602C42"/>
    <w:rsid w:val="00602E20"/>
    <w:rsid w:val="00602E23"/>
    <w:rsid w:val="00602E93"/>
    <w:rsid w:val="00602FDF"/>
    <w:rsid w:val="00603059"/>
    <w:rsid w:val="0060351C"/>
    <w:rsid w:val="00603634"/>
    <w:rsid w:val="00603658"/>
    <w:rsid w:val="0060384E"/>
    <w:rsid w:val="0060386C"/>
    <w:rsid w:val="00603973"/>
    <w:rsid w:val="00603B54"/>
    <w:rsid w:val="00603CB8"/>
    <w:rsid w:val="00603D8F"/>
    <w:rsid w:val="00603E13"/>
    <w:rsid w:val="00603F32"/>
    <w:rsid w:val="0060411D"/>
    <w:rsid w:val="0060418C"/>
    <w:rsid w:val="00604395"/>
    <w:rsid w:val="00604400"/>
    <w:rsid w:val="0060448E"/>
    <w:rsid w:val="00604644"/>
    <w:rsid w:val="00604650"/>
    <w:rsid w:val="006046A5"/>
    <w:rsid w:val="006048B5"/>
    <w:rsid w:val="00604A30"/>
    <w:rsid w:val="00604ACA"/>
    <w:rsid w:val="00604AE9"/>
    <w:rsid w:val="00604BF7"/>
    <w:rsid w:val="00604D10"/>
    <w:rsid w:val="00604E27"/>
    <w:rsid w:val="00605337"/>
    <w:rsid w:val="00605566"/>
    <w:rsid w:val="006055B5"/>
    <w:rsid w:val="00605637"/>
    <w:rsid w:val="0060565F"/>
    <w:rsid w:val="0060568B"/>
    <w:rsid w:val="006057C4"/>
    <w:rsid w:val="0060588F"/>
    <w:rsid w:val="006058DB"/>
    <w:rsid w:val="0060595C"/>
    <w:rsid w:val="00605A05"/>
    <w:rsid w:val="00605A2C"/>
    <w:rsid w:val="00605B67"/>
    <w:rsid w:val="00605CC3"/>
    <w:rsid w:val="00605D97"/>
    <w:rsid w:val="00605DA9"/>
    <w:rsid w:val="00605F6F"/>
    <w:rsid w:val="00605FA7"/>
    <w:rsid w:val="0060601D"/>
    <w:rsid w:val="00606110"/>
    <w:rsid w:val="00606115"/>
    <w:rsid w:val="0060615E"/>
    <w:rsid w:val="00606298"/>
    <w:rsid w:val="0060643C"/>
    <w:rsid w:val="0060648B"/>
    <w:rsid w:val="0060654C"/>
    <w:rsid w:val="00606872"/>
    <w:rsid w:val="00606873"/>
    <w:rsid w:val="006068BF"/>
    <w:rsid w:val="00606A03"/>
    <w:rsid w:val="00606DF0"/>
    <w:rsid w:val="0060700A"/>
    <w:rsid w:val="006070DE"/>
    <w:rsid w:val="00607292"/>
    <w:rsid w:val="006072FE"/>
    <w:rsid w:val="00607438"/>
    <w:rsid w:val="0060749F"/>
    <w:rsid w:val="00607523"/>
    <w:rsid w:val="00607780"/>
    <w:rsid w:val="00607788"/>
    <w:rsid w:val="006077FA"/>
    <w:rsid w:val="00607831"/>
    <w:rsid w:val="0060784A"/>
    <w:rsid w:val="00607999"/>
    <w:rsid w:val="006079DE"/>
    <w:rsid w:val="00607B29"/>
    <w:rsid w:val="00607B8E"/>
    <w:rsid w:val="00607BB3"/>
    <w:rsid w:val="00607BF6"/>
    <w:rsid w:val="00607CCB"/>
    <w:rsid w:val="00607DE9"/>
    <w:rsid w:val="00610088"/>
    <w:rsid w:val="00610218"/>
    <w:rsid w:val="0061029D"/>
    <w:rsid w:val="006102D5"/>
    <w:rsid w:val="00610486"/>
    <w:rsid w:val="00610523"/>
    <w:rsid w:val="0061068B"/>
    <w:rsid w:val="006106E4"/>
    <w:rsid w:val="00610711"/>
    <w:rsid w:val="006108BB"/>
    <w:rsid w:val="006109E8"/>
    <w:rsid w:val="00610A45"/>
    <w:rsid w:val="00610D76"/>
    <w:rsid w:val="00610EB5"/>
    <w:rsid w:val="00610FC0"/>
    <w:rsid w:val="006110B4"/>
    <w:rsid w:val="00611117"/>
    <w:rsid w:val="00611183"/>
    <w:rsid w:val="006111DB"/>
    <w:rsid w:val="006111DF"/>
    <w:rsid w:val="006113D7"/>
    <w:rsid w:val="00611603"/>
    <w:rsid w:val="0061167B"/>
    <w:rsid w:val="006116F6"/>
    <w:rsid w:val="00611763"/>
    <w:rsid w:val="0061186F"/>
    <w:rsid w:val="00611D42"/>
    <w:rsid w:val="00611D5D"/>
    <w:rsid w:val="00611DC8"/>
    <w:rsid w:val="00611DE3"/>
    <w:rsid w:val="00611DF4"/>
    <w:rsid w:val="00611EC6"/>
    <w:rsid w:val="00612261"/>
    <w:rsid w:val="006123FA"/>
    <w:rsid w:val="0061244A"/>
    <w:rsid w:val="00612665"/>
    <w:rsid w:val="00612669"/>
    <w:rsid w:val="0061266F"/>
    <w:rsid w:val="006126EE"/>
    <w:rsid w:val="0061274C"/>
    <w:rsid w:val="0061278E"/>
    <w:rsid w:val="00612906"/>
    <w:rsid w:val="00612989"/>
    <w:rsid w:val="00612A71"/>
    <w:rsid w:val="00612A8C"/>
    <w:rsid w:val="00612B56"/>
    <w:rsid w:val="00612B5A"/>
    <w:rsid w:val="00612B5F"/>
    <w:rsid w:val="00612CEC"/>
    <w:rsid w:val="00612CFD"/>
    <w:rsid w:val="00612D38"/>
    <w:rsid w:val="00612D41"/>
    <w:rsid w:val="00612D45"/>
    <w:rsid w:val="00612DB6"/>
    <w:rsid w:val="00612E42"/>
    <w:rsid w:val="00612FE6"/>
    <w:rsid w:val="0061321F"/>
    <w:rsid w:val="00613223"/>
    <w:rsid w:val="006132B4"/>
    <w:rsid w:val="0061334E"/>
    <w:rsid w:val="006133C8"/>
    <w:rsid w:val="00613487"/>
    <w:rsid w:val="006134C6"/>
    <w:rsid w:val="006137B4"/>
    <w:rsid w:val="00613823"/>
    <w:rsid w:val="00613BCE"/>
    <w:rsid w:val="00613C48"/>
    <w:rsid w:val="00613F6F"/>
    <w:rsid w:val="00614091"/>
    <w:rsid w:val="006142B6"/>
    <w:rsid w:val="006143AC"/>
    <w:rsid w:val="006143BB"/>
    <w:rsid w:val="006143FC"/>
    <w:rsid w:val="006144AB"/>
    <w:rsid w:val="006147C2"/>
    <w:rsid w:val="006147E6"/>
    <w:rsid w:val="00614843"/>
    <w:rsid w:val="00614A82"/>
    <w:rsid w:val="00614ABF"/>
    <w:rsid w:val="00614E46"/>
    <w:rsid w:val="0061503B"/>
    <w:rsid w:val="00615376"/>
    <w:rsid w:val="0061555D"/>
    <w:rsid w:val="00615650"/>
    <w:rsid w:val="00615A79"/>
    <w:rsid w:val="00615AA9"/>
    <w:rsid w:val="00615BE7"/>
    <w:rsid w:val="00615DD0"/>
    <w:rsid w:val="00615F7B"/>
    <w:rsid w:val="00615FF3"/>
    <w:rsid w:val="006161D3"/>
    <w:rsid w:val="00616261"/>
    <w:rsid w:val="00616586"/>
    <w:rsid w:val="006166D8"/>
    <w:rsid w:val="0061681B"/>
    <w:rsid w:val="00616870"/>
    <w:rsid w:val="006168B4"/>
    <w:rsid w:val="00616916"/>
    <w:rsid w:val="00616B1E"/>
    <w:rsid w:val="00616B4E"/>
    <w:rsid w:val="00616BC2"/>
    <w:rsid w:val="00616BE0"/>
    <w:rsid w:val="00616C77"/>
    <w:rsid w:val="00616D2F"/>
    <w:rsid w:val="00616F1E"/>
    <w:rsid w:val="00616FB5"/>
    <w:rsid w:val="0061716C"/>
    <w:rsid w:val="0061729D"/>
    <w:rsid w:val="0061746B"/>
    <w:rsid w:val="00617570"/>
    <w:rsid w:val="006177CA"/>
    <w:rsid w:val="00617D24"/>
    <w:rsid w:val="00617D8E"/>
    <w:rsid w:val="00617E34"/>
    <w:rsid w:val="00617F22"/>
    <w:rsid w:val="00617F65"/>
    <w:rsid w:val="00617F90"/>
    <w:rsid w:val="00620112"/>
    <w:rsid w:val="006201F3"/>
    <w:rsid w:val="00620363"/>
    <w:rsid w:val="006205D1"/>
    <w:rsid w:val="006208DA"/>
    <w:rsid w:val="0062099E"/>
    <w:rsid w:val="00620BF8"/>
    <w:rsid w:val="00620E07"/>
    <w:rsid w:val="00620E19"/>
    <w:rsid w:val="00620F14"/>
    <w:rsid w:val="00621208"/>
    <w:rsid w:val="0062125F"/>
    <w:rsid w:val="00621348"/>
    <w:rsid w:val="0062136A"/>
    <w:rsid w:val="00621794"/>
    <w:rsid w:val="0062181B"/>
    <w:rsid w:val="0062189D"/>
    <w:rsid w:val="006218D4"/>
    <w:rsid w:val="0062198B"/>
    <w:rsid w:val="00621B49"/>
    <w:rsid w:val="00621C1A"/>
    <w:rsid w:val="00621CFB"/>
    <w:rsid w:val="00621E1D"/>
    <w:rsid w:val="00621FDE"/>
    <w:rsid w:val="00622091"/>
    <w:rsid w:val="006220FA"/>
    <w:rsid w:val="0062210E"/>
    <w:rsid w:val="00622227"/>
    <w:rsid w:val="00622481"/>
    <w:rsid w:val="00622669"/>
    <w:rsid w:val="00622868"/>
    <w:rsid w:val="0062286E"/>
    <w:rsid w:val="00622AAC"/>
    <w:rsid w:val="00622B8F"/>
    <w:rsid w:val="00622FD7"/>
    <w:rsid w:val="00622FFA"/>
    <w:rsid w:val="0062301F"/>
    <w:rsid w:val="0062305A"/>
    <w:rsid w:val="006231B2"/>
    <w:rsid w:val="006231B8"/>
    <w:rsid w:val="00623228"/>
    <w:rsid w:val="006233BB"/>
    <w:rsid w:val="0062359F"/>
    <w:rsid w:val="00623861"/>
    <w:rsid w:val="006238CD"/>
    <w:rsid w:val="006239F1"/>
    <w:rsid w:val="00623B1E"/>
    <w:rsid w:val="00623CC0"/>
    <w:rsid w:val="00623D03"/>
    <w:rsid w:val="00623EEE"/>
    <w:rsid w:val="00623F1A"/>
    <w:rsid w:val="00623FBF"/>
    <w:rsid w:val="0062433D"/>
    <w:rsid w:val="006243DD"/>
    <w:rsid w:val="006244CD"/>
    <w:rsid w:val="0062458D"/>
    <w:rsid w:val="0062464D"/>
    <w:rsid w:val="006246B4"/>
    <w:rsid w:val="006246DC"/>
    <w:rsid w:val="006246E4"/>
    <w:rsid w:val="0062471B"/>
    <w:rsid w:val="0062478A"/>
    <w:rsid w:val="00624A2A"/>
    <w:rsid w:val="00624A80"/>
    <w:rsid w:val="00624ACC"/>
    <w:rsid w:val="00624BA0"/>
    <w:rsid w:val="00624CA6"/>
    <w:rsid w:val="00624E65"/>
    <w:rsid w:val="00625011"/>
    <w:rsid w:val="00625028"/>
    <w:rsid w:val="00625092"/>
    <w:rsid w:val="006250C5"/>
    <w:rsid w:val="00625275"/>
    <w:rsid w:val="006252BB"/>
    <w:rsid w:val="006255C7"/>
    <w:rsid w:val="006255D5"/>
    <w:rsid w:val="0062573E"/>
    <w:rsid w:val="006257B6"/>
    <w:rsid w:val="006257DB"/>
    <w:rsid w:val="0062590F"/>
    <w:rsid w:val="006259AD"/>
    <w:rsid w:val="00625A60"/>
    <w:rsid w:val="00625A6D"/>
    <w:rsid w:val="00625A7C"/>
    <w:rsid w:val="00625A97"/>
    <w:rsid w:val="00625B2B"/>
    <w:rsid w:val="00625BC5"/>
    <w:rsid w:val="00625BE7"/>
    <w:rsid w:val="00625E55"/>
    <w:rsid w:val="00625F5E"/>
    <w:rsid w:val="00626048"/>
    <w:rsid w:val="00626207"/>
    <w:rsid w:val="00626315"/>
    <w:rsid w:val="0062639B"/>
    <w:rsid w:val="006263CD"/>
    <w:rsid w:val="006263EB"/>
    <w:rsid w:val="0062640F"/>
    <w:rsid w:val="006264A1"/>
    <w:rsid w:val="0062664F"/>
    <w:rsid w:val="00626749"/>
    <w:rsid w:val="00626852"/>
    <w:rsid w:val="00626B62"/>
    <w:rsid w:val="00626C34"/>
    <w:rsid w:val="00626DD4"/>
    <w:rsid w:val="00626FE1"/>
    <w:rsid w:val="00627034"/>
    <w:rsid w:val="00627129"/>
    <w:rsid w:val="006272DA"/>
    <w:rsid w:val="0062741C"/>
    <w:rsid w:val="006274F0"/>
    <w:rsid w:val="00627537"/>
    <w:rsid w:val="0062758B"/>
    <w:rsid w:val="006275F1"/>
    <w:rsid w:val="00627732"/>
    <w:rsid w:val="00627784"/>
    <w:rsid w:val="0062780B"/>
    <w:rsid w:val="00627931"/>
    <w:rsid w:val="00627A83"/>
    <w:rsid w:val="00627AFD"/>
    <w:rsid w:val="00627B25"/>
    <w:rsid w:val="00627B9B"/>
    <w:rsid w:val="00627C17"/>
    <w:rsid w:val="00627C4F"/>
    <w:rsid w:val="00627D1B"/>
    <w:rsid w:val="006300A0"/>
    <w:rsid w:val="0063011C"/>
    <w:rsid w:val="006301CF"/>
    <w:rsid w:val="00630243"/>
    <w:rsid w:val="006302D9"/>
    <w:rsid w:val="00630412"/>
    <w:rsid w:val="00630919"/>
    <w:rsid w:val="0063093D"/>
    <w:rsid w:val="006309AE"/>
    <w:rsid w:val="00630C0E"/>
    <w:rsid w:val="00630D1D"/>
    <w:rsid w:val="00630D81"/>
    <w:rsid w:val="00630FB8"/>
    <w:rsid w:val="006310CA"/>
    <w:rsid w:val="006313C0"/>
    <w:rsid w:val="00631692"/>
    <w:rsid w:val="0063185C"/>
    <w:rsid w:val="00631945"/>
    <w:rsid w:val="00631B5D"/>
    <w:rsid w:val="00631BCA"/>
    <w:rsid w:val="00631BCC"/>
    <w:rsid w:val="00631DCA"/>
    <w:rsid w:val="00631F20"/>
    <w:rsid w:val="00632041"/>
    <w:rsid w:val="00632042"/>
    <w:rsid w:val="006321C1"/>
    <w:rsid w:val="00632214"/>
    <w:rsid w:val="00632223"/>
    <w:rsid w:val="006322EC"/>
    <w:rsid w:val="006323B4"/>
    <w:rsid w:val="006324EB"/>
    <w:rsid w:val="0063258E"/>
    <w:rsid w:val="006326A5"/>
    <w:rsid w:val="00632717"/>
    <w:rsid w:val="006328C6"/>
    <w:rsid w:val="00632C32"/>
    <w:rsid w:val="00632F04"/>
    <w:rsid w:val="00632FD7"/>
    <w:rsid w:val="00633004"/>
    <w:rsid w:val="00633077"/>
    <w:rsid w:val="006330AA"/>
    <w:rsid w:val="006332AF"/>
    <w:rsid w:val="006332C4"/>
    <w:rsid w:val="0063337E"/>
    <w:rsid w:val="00633434"/>
    <w:rsid w:val="00633655"/>
    <w:rsid w:val="006337A7"/>
    <w:rsid w:val="0063396A"/>
    <w:rsid w:val="0063397D"/>
    <w:rsid w:val="00633C3C"/>
    <w:rsid w:val="00633CA8"/>
    <w:rsid w:val="00633CE4"/>
    <w:rsid w:val="00633EBB"/>
    <w:rsid w:val="00633F41"/>
    <w:rsid w:val="00633FED"/>
    <w:rsid w:val="0063417A"/>
    <w:rsid w:val="00634278"/>
    <w:rsid w:val="006343B5"/>
    <w:rsid w:val="006343E5"/>
    <w:rsid w:val="00634438"/>
    <w:rsid w:val="00634552"/>
    <w:rsid w:val="006346E0"/>
    <w:rsid w:val="00634799"/>
    <w:rsid w:val="00634912"/>
    <w:rsid w:val="00634986"/>
    <w:rsid w:val="006349FA"/>
    <w:rsid w:val="00634A92"/>
    <w:rsid w:val="00634C03"/>
    <w:rsid w:val="00634CB1"/>
    <w:rsid w:val="00634D50"/>
    <w:rsid w:val="00634E58"/>
    <w:rsid w:val="00634E82"/>
    <w:rsid w:val="006351AF"/>
    <w:rsid w:val="006351F2"/>
    <w:rsid w:val="00635237"/>
    <w:rsid w:val="006353A6"/>
    <w:rsid w:val="006353E4"/>
    <w:rsid w:val="00635416"/>
    <w:rsid w:val="00635456"/>
    <w:rsid w:val="0063545B"/>
    <w:rsid w:val="00635661"/>
    <w:rsid w:val="00635719"/>
    <w:rsid w:val="006358C8"/>
    <w:rsid w:val="006359C7"/>
    <w:rsid w:val="00635B1F"/>
    <w:rsid w:val="00635B22"/>
    <w:rsid w:val="00635B3A"/>
    <w:rsid w:val="00635B87"/>
    <w:rsid w:val="00635BFD"/>
    <w:rsid w:val="00635C39"/>
    <w:rsid w:val="00635C41"/>
    <w:rsid w:val="00635C7D"/>
    <w:rsid w:val="00635D55"/>
    <w:rsid w:val="00635DE1"/>
    <w:rsid w:val="00635EC8"/>
    <w:rsid w:val="00635FE4"/>
    <w:rsid w:val="0063606D"/>
    <w:rsid w:val="00636114"/>
    <w:rsid w:val="0063619F"/>
    <w:rsid w:val="006362B7"/>
    <w:rsid w:val="00636394"/>
    <w:rsid w:val="006364ED"/>
    <w:rsid w:val="006365D3"/>
    <w:rsid w:val="006365F1"/>
    <w:rsid w:val="00636623"/>
    <w:rsid w:val="0063668A"/>
    <w:rsid w:val="006367F1"/>
    <w:rsid w:val="006368C1"/>
    <w:rsid w:val="00636910"/>
    <w:rsid w:val="00636B1D"/>
    <w:rsid w:val="00636C42"/>
    <w:rsid w:val="00636C7E"/>
    <w:rsid w:val="00636E3B"/>
    <w:rsid w:val="00636E8C"/>
    <w:rsid w:val="00637171"/>
    <w:rsid w:val="006374AA"/>
    <w:rsid w:val="006374FC"/>
    <w:rsid w:val="00637541"/>
    <w:rsid w:val="00637611"/>
    <w:rsid w:val="00637622"/>
    <w:rsid w:val="00637930"/>
    <w:rsid w:val="006379B7"/>
    <w:rsid w:val="00637AD1"/>
    <w:rsid w:val="00637B50"/>
    <w:rsid w:val="00637C4F"/>
    <w:rsid w:val="00637C51"/>
    <w:rsid w:val="00637C55"/>
    <w:rsid w:val="00637FCA"/>
    <w:rsid w:val="00640131"/>
    <w:rsid w:val="00640350"/>
    <w:rsid w:val="00640866"/>
    <w:rsid w:val="006408C0"/>
    <w:rsid w:val="006408C1"/>
    <w:rsid w:val="006408E0"/>
    <w:rsid w:val="00640908"/>
    <w:rsid w:val="00640932"/>
    <w:rsid w:val="00640933"/>
    <w:rsid w:val="00640ABF"/>
    <w:rsid w:val="00640B72"/>
    <w:rsid w:val="00640C54"/>
    <w:rsid w:val="00640F2D"/>
    <w:rsid w:val="00640F9C"/>
    <w:rsid w:val="00640FEF"/>
    <w:rsid w:val="0064100B"/>
    <w:rsid w:val="00641065"/>
    <w:rsid w:val="006410A9"/>
    <w:rsid w:val="0064118A"/>
    <w:rsid w:val="00641199"/>
    <w:rsid w:val="006412DB"/>
    <w:rsid w:val="0064149A"/>
    <w:rsid w:val="006415D1"/>
    <w:rsid w:val="006415F4"/>
    <w:rsid w:val="00641859"/>
    <w:rsid w:val="00641AF6"/>
    <w:rsid w:val="00641B0E"/>
    <w:rsid w:val="00641BFF"/>
    <w:rsid w:val="00641C66"/>
    <w:rsid w:val="00641D1A"/>
    <w:rsid w:val="00641D63"/>
    <w:rsid w:val="00641DA2"/>
    <w:rsid w:val="00641DCC"/>
    <w:rsid w:val="00641FE0"/>
    <w:rsid w:val="00642051"/>
    <w:rsid w:val="00642061"/>
    <w:rsid w:val="006421FC"/>
    <w:rsid w:val="0064220B"/>
    <w:rsid w:val="00642215"/>
    <w:rsid w:val="0064225D"/>
    <w:rsid w:val="0064226E"/>
    <w:rsid w:val="00642443"/>
    <w:rsid w:val="0064247F"/>
    <w:rsid w:val="0064257E"/>
    <w:rsid w:val="006425A0"/>
    <w:rsid w:val="006426B8"/>
    <w:rsid w:val="006427C1"/>
    <w:rsid w:val="006427D0"/>
    <w:rsid w:val="00642905"/>
    <w:rsid w:val="006429EF"/>
    <w:rsid w:val="00642BD5"/>
    <w:rsid w:val="00642D96"/>
    <w:rsid w:val="00642E0C"/>
    <w:rsid w:val="00642E89"/>
    <w:rsid w:val="00642EB7"/>
    <w:rsid w:val="00642FED"/>
    <w:rsid w:val="0064305B"/>
    <w:rsid w:val="00643064"/>
    <w:rsid w:val="0064313E"/>
    <w:rsid w:val="00643168"/>
    <w:rsid w:val="0064320D"/>
    <w:rsid w:val="00643340"/>
    <w:rsid w:val="00643452"/>
    <w:rsid w:val="0064358F"/>
    <w:rsid w:val="006435A4"/>
    <w:rsid w:val="0064366C"/>
    <w:rsid w:val="0064381B"/>
    <w:rsid w:val="006439E9"/>
    <w:rsid w:val="00643AFE"/>
    <w:rsid w:val="00643CCC"/>
    <w:rsid w:val="00643E50"/>
    <w:rsid w:val="00643FE7"/>
    <w:rsid w:val="00644034"/>
    <w:rsid w:val="00644095"/>
    <w:rsid w:val="0064413C"/>
    <w:rsid w:val="0064414D"/>
    <w:rsid w:val="00644186"/>
    <w:rsid w:val="0064424D"/>
    <w:rsid w:val="00644337"/>
    <w:rsid w:val="00644697"/>
    <w:rsid w:val="006447AD"/>
    <w:rsid w:val="006447CD"/>
    <w:rsid w:val="00644995"/>
    <w:rsid w:val="00644A45"/>
    <w:rsid w:val="00644BD4"/>
    <w:rsid w:val="00644DAC"/>
    <w:rsid w:val="00644DBC"/>
    <w:rsid w:val="00644DF6"/>
    <w:rsid w:val="00644EC8"/>
    <w:rsid w:val="00644EE5"/>
    <w:rsid w:val="00645027"/>
    <w:rsid w:val="00645051"/>
    <w:rsid w:val="0064505F"/>
    <w:rsid w:val="006450EB"/>
    <w:rsid w:val="006454E3"/>
    <w:rsid w:val="0064552F"/>
    <w:rsid w:val="006457DC"/>
    <w:rsid w:val="00645812"/>
    <w:rsid w:val="00645835"/>
    <w:rsid w:val="0064585E"/>
    <w:rsid w:val="006458A8"/>
    <w:rsid w:val="00645C03"/>
    <w:rsid w:val="00645F55"/>
    <w:rsid w:val="006460FE"/>
    <w:rsid w:val="00646145"/>
    <w:rsid w:val="006461E2"/>
    <w:rsid w:val="00646431"/>
    <w:rsid w:val="00646579"/>
    <w:rsid w:val="00646756"/>
    <w:rsid w:val="00646838"/>
    <w:rsid w:val="006468B6"/>
    <w:rsid w:val="006468E6"/>
    <w:rsid w:val="0064698A"/>
    <w:rsid w:val="00646B30"/>
    <w:rsid w:val="00646B43"/>
    <w:rsid w:val="00646CE4"/>
    <w:rsid w:val="00646DC7"/>
    <w:rsid w:val="00646FE8"/>
    <w:rsid w:val="006471AC"/>
    <w:rsid w:val="006471AE"/>
    <w:rsid w:val="00647267"/>
    <w:rsid w:val="006472AC"/>
    <w:rsid w:val="006473CA"/>
    <w:rsid w:val="006475BF"/>
    <w:rsid w:val="006479C9"/>
    <w:rsid w:val="00647A06"/>
    <w:rsid w:val="00647AC6"/>
    <w:rsid w:val="00647B99"/>
    <w:rsid w:val="00647BD9"/>
    <w:rsid w:val="00647EF4"/>
    <w:rsid w:val="006500C8"/>
    <w:rsid w:val="0065014B"/>
    <w:rsid w:val="0065021D"/>
    <w:rsid w:val="0065042F"/>
    <w:rsid w:val="00650450"/>
    <w:rsid w:val="006504F5"/>
    <w:rsid w:val="00650548"/>
    <w:rsid w:val="00650579"/>
    <w:rsid w:val="00650B56"/>
    <w:rsid w:val="00650B82"/>
    <w:rsid w:val="00650C2B"/>
    <w:rsid w:val="00650DA5"/>
    <w:rsid w:val="00650E13"/>
    <w:rsid w:val="00650E15"/>
    <w:rsid w:val="00650E1D"/>
    <w:rsid w:val="00650F7C"/>
    <w:rsid w:val="006510BE"/>
    <w:rsid w:val="00651140"/>
    <w:rsid w:val="006512AB"/>
    <w:rsid w:val="00651531"/>
    <w:rsid w:val="0065157F"/>
    <w:rsid w:val="006515F1"/>
    <w:rsid w:val="006516F7"/>
    <w:rsid w:val="00651736"/>
    <w:rsid w:val="006517BF"/>
    <w:rsid w:val="006518F6"/>
    <w:rsid w:val="00651B28"/>
    <w:rsid w:val="00651B4E"/>
    <w:rsid w:val="00651BF2"/>
    <w:rsid w:val="00651D5E"/>
    <w:rsid w:val="00651D72"/>
    <w:rsid w:val="00651DB6"/>
    <w:rsid w:val="00652146"/>
    <w:rsid w:val="0065222F"/>
    <w:rsid w:val="0065224E"/>
    <w:rsid w:val="006522DD"/>
    <w:rsid w:val="0065272D"/>
    <w:rsid w:val="0065279C"/>
    <w:rsid w:val="006529E7"/>
    <w:rsid w:val="00652A5B"/>
    <w:rsid w:val="00652B8C"/>
    <w:rsid w:val="00652E2E"/>
    <w:rsid w:val="00652E9C"/>
    <w:rsid w:val="0065306D"/>
    <w:rsid w:val="0065336D"/>
    <w:rsid w:val="006533E0"/>
    <w:rsid w:val="0065341A"/>
    <w:rsid w:val="00653442"/>
    <w:rsid w:val="006535A5"/>
    <w:rsid w:val="006536CA"/>
    <w:rsid w:val="0065394D"/>
    <w:rsid w:val="0065397E"/>
    <w:rsid w:val="0065399C"/>
    <w:rsid w:val="006539FA"/>
    <w:rsid w:val="00653B4C"/>
    <w:rsid w:val="00653D1F"/>
    <w:rsid w:val="00653F2C"/>
    <w:rsid w:val="006540A9"/>
    <w:rsid w:val="00654118"/>
    <w:rsid w:val="00654283"/>
    <w:rsid w:val="006542AD"/>
    <w:rsid w:val="0065449C"/>
    <w:rsid w:val="006546E8"/>
    <w:rsid w:val="006548A7"/>
    <w:rsid w:val="0065490F"/>
    <w:rsid w:val="00654A10"/>
    <w:rsid w:val="00654A8B"/>
    <w:rsid w:val="00654CD5"/>
    <w:rsid w:val="00654D4A"/>
    <w:rsid w:val="00654DE2"/>
    <w:rsid w:val="00654EC1"/>
    <w:rsid w:val="00654FF2"/>
    <w:rsid w:val="006550A4"/>
    <w:rsid w:val="00655301"/>
    <w:rsid w:val="0065534B"/>
    <w:rsid w:val="00655363"/>
    <w:rsid w:val="0065538D"/>
    <w:rsid w:val="0065559E"/>
    <w:rsid w:val="006556A3"/>
    <w:rsid w:val="006556AB"/>
    <w:rsid w:val="0065580C"/>
    <w:rsid w:val="00655B2B"/>
    <w:rsid w:val="00655B34"/>
    <w:rsid w:val="00655C12"/>
    <w:rsid w:val="00655F90"/>
    <w:rsid w:val="006563B2"/>
    <w:rsid w:val="006564E6"/>
    <w:rsid w:val="00656596"/>
    <w:rsid w:val="00656637"/>
    <w:rsid w:val="00656641"/>
    <w:rsid w:val="0065665C"/>
    <w:rsid w:val="006569F4"/>
    <w:rsid w:val="00656A88"/>
    <w:rsid w:val="00656AE3"/>
    <w:rsid w:val="00656F3A"/>
    <w:rsid w:val="00656F44"/>
    <w:rsid w:val="0065710F"/>
    <w:rsid w:val="00657115"/>
    <w:rsid w:val="00657294"/>
    <w:rsid w:val="006572EE"/>
    <w:rsid w:val="0065742D"/>
    <w:rsid w:val="00657434"/>
    <w:rsid w:val="00657469"/>
    <w:rsid w:val="00657822"/>
    <w:rsid w:val="0065784E"/>
    <w:rsid w:val="006579A2"/>
    <w:rsid w:val="00657A7A"/>
    <w:rsid w:val="00657BA0"/>
    <w:rsid w:val="00657C4A"/>
    <w:rsid w:val="00657DD8"/>
    <w:rsid w:val="00657E7E"/>
    <w:rsid w:val="00657ED5"/>
    <w:rsid w:val="00657F03"/>
    <w:rsid w:val="00657F50"/>
    <w:rsid w:val="00657F5C"/>
    <w:rsid w:val="00657FA0"/>
    <w:rsid w:val="00660146"/>
    <w:rsid w:val="00660150"/>
    <w:rsid w:val="0066030D"/>
    <w:rsid w:val="00660627"/>
    <w:rsid w:val="0066064C"/>
    <w:rsid w:val="0066085F"/>
    <w:rsid w:val="00660A62"/>
    <w:rsid w:val="00660B9A"/>
    <w:rsid w:val="00660D14"/>
    <w:rsid w:val="00660DB4"/>
    <w:rsid w:val="00660ECD"/>
    <w:rsid w:val="00660EF3"/>
    <w:rsid w:val="00660F85"/>
    <w:rsid w:val="00661061"/>
    <w:rsid w:val="006610BA"/>
    <w:rsid w:val="00661193"/>
    <w:rsid w:val="00661299"/>
    <w:rsid w:val="006612A5"/>
    <w:rsid w:val="006614DC"/>
    <w:rsid w:val="00661591"/>
    <w:rsid w:val="0066159C"/>
    <w:rsid w:val="0066163F"/>
    <w:rsid w:val="0066177F"/>
    <w:rsid w:val="00661860"/>
    <w:rsid w:val="00661B34"/>
    <w:rsid w:val="00661C0C"/>
    <w:rsid w:val="00661CEA"/>
    <w:rsid w:val="00661D33"/>
    <w:rsid w:val="00661E06"/>
    <w:rsid w:val="00661E1C"/>
    <w:rsid w:val="00661F98"/>
    <w:rsid w:val="0066203D"/>
    <w:rsid w:val="006620DD"/>
    <w:rsid w:val="0066216F"/>
    <w:rsid w:val="0066249B"/>
    <w:rsid w:val="00662577"/>
    <w:rsid w:val="006625AD"/>
    <w:rsid w:val="006625B0"/>
    <w:rsid w:val="0066293F"/>
    <w:rsid w:val="006629D0"/>
    <w:rsid w:val="00662A64"/>
    <w:rsid w:val="00662B2D"/>
    <w:rsid w:val="00662C07"/>
    <w:rsid w:val="00662DBB"/>
    <w:rsid w:val="00662ED0"/>
    <w:rsid w:val="00662F77"/>
    <w:rsid w:val="00662F8D"/>
    <w:rsid w:val="00662FA7"/>
    <w:rsid w:val="00662FEB"/>
    <w:rsid w:val="00663197"/>
    <w:rsid w:val="006631AB"/>
    <w:rsid w:val="0066323A"/>
    <w:rsid w:val="006632A1"/>
    <w:rsid w:val="00663654"/>
    <w:rsid w:val="006636E1"/>
    <w:rsid w:val="00663787"/>
    <w:rsid w:val="0066381D"/>
    <w:rsid w:val="0066393C"/>
    <w:rsid w:val="00663A46"/>
    <w:rsid w:val="00663BC7"/>
    <w:rsid w:val="00663CA8"/>
    <w:rsid w:val="00663D0D"/>
    <w:rsid w:val="00663E98"/>
    <w:rsid w:val="00664031"/>
    <w:rsid w:val="0066410A"/>
    <w:rsid w:val="00664521"/>
    <w:rsid w:val="006646FB"/>
    <w:rsid w:val="006647A1"/>
    <w:rsid w:val="006649F9"/>
    <w:rsid w:val="00664BAE"/>
    <w:rsid w:val="00664E0A"/>
    <w:rsid w:val="00664EF8"/>
    <w:rsid w:val="00664F27"/>
    <w:rsid w:val="00664FAA"/>
    <w:rsid w:val="00664FAB"/>
    <w:rsid w:val="00665121"/>
    <w:rsid w:val="006651F5"/>
    <w:rsid w:val="0066520D"/>
    <w:rsid w:val="00665311"/>
    <w:rsid w:val="00665358"/>
    <w:rsid w:val="00665524"/>
    <w:rsid w:val="00665555"/>
    <w:rsid w:val="006656AA"/>
    <w:rsid w:val="00665AAE"/>
    <w:rsid w:val="00665B01"/>
    <w:rsid w:val="00665B6E"/>
    <w:rsid w:val="00665D25"/>
    <w:rsid w:val="00665D3C"/>
    <w:rsid w:val="00665D6A"/>
    <w:rsid w:val="00665F1D"/>
    <w:rsid w:val="00666049"/>
    <w:rsid w:val="0066610C"/>
    <w:rsid w:val="006662C0"/>
    <w:rsid w:val="00666545"/>
    <w:rsid w:val="006665E5"/>
    <w:rsid w:val="0066661D"/>
    <w:rsid w:val="00666851"/>
    <w:rsid w:val="0066689F"/>
    <w:rsid w:val="00666985"/>
    <w:rsid w:val="00666AF9"/>
    <w:rsid w:val="00666B23"/>
    <w:rsid w:val="00666CBB"/>
    <w:rsid w:val="00666F42"/>
    <w:rsid w:val="00667018"/>
    <w:rsid w:val="00667069"/>
    <w:rsid w:val="006670C9"/>
    <w:rsid w:val="00667106"/>
    <w:rsid w:val="006671AD"/>
    <w:rsid w:val="0066725E"/>
    <w:rsid w:val="006673C1"/>
    <w:rsid w:val="006675C7"/>
    <w:rsid w:val="006677BF"/>
    <w:rsid w:val="0066786D"/>
    <w:rsid w:val="00667A3E"/>
    <w:rsid w:val="0067009B"/>
    <w:rsid w:val="0067014F"/>
    <w:rsid w:val="006701AE"/>
    <w:rsid w:val="006701FB"/>
    <w:rsid w:val="00670235"/>
    <w:rsid w:val="00670289"/>
    <w:rsid w:val="0067033C"/>
    <w:rsid w:val="006703AA"/>
    <w:rsid w:val="006703DD"/>
    <w:rsid w:val="00670485"/>
    <w:rsid w:val="00670520"/>
    <w:rsid w:val="00670713"/>
    <w:rsid w:val="0067074F"/>
    <w:rsid w:val="006707CF"/>
    <w:rsid w:val="00670970"/>
    <w:rsid w:val="0067099F"/>
    <w:rsid w:val="006709A8"/>
    <w:rsid w:val="00670A25"/>
    <w:rsid w:val="00670A6C"/>
    <w:rsid w:val="00670A8D"/>
    <w:rsid w:val="00670B94"/>
    <w:rsid w:val="00670CD9"/>
    <w:rsid w:val="00670E6F"/>
    <w:rsid w:val="00670FC0"/>
    <w:rsid w:val="0067101E"/>
    <w:rsid w:val="0067112D"/>
    <w:rsid w:val="0067117A"/>
    <w:rsid w:val="00671280"/>
    <w:rsid w:val="00671353"/>
    <w:rsid w:val="006713A8"/>
    <w:rsid w:val="00671435"/>
    <w:rsid w:val="00671532"/>
    <w:rsid w:val="0067161C"/>
    <w:rsid w:val="00671716"/>
    <w:rsid w:val="006717A7"/>
    <w:rsid w:val="0067183A"/>
    <w:rsid w:val="00671B0E"/>
    <w:rsid w:val="00671BE3"/>
    <w:rsid w:val="00671D0C"/>
    <w:rsid w:val="00671E26"/>
    <w:rsid w:val="00671FDF"/>
    <w:rsid w:val="00671FE7"/>
    <w:rsid w:val="00672059"/>
    <w:rsid w:val="006720CE"/>
    <w:rsid w:val="00672299"/>
    <w:rsid w:val="00672542"/>
    <w:rsid w:val="00672569"/>
    <w:rsid w:val="006725CF"/>
    <w:rsid w:val="0067262B"/>
    <w:rsid w:val="00672690"/>
    <w:rsid w:val="00672998"/>
    <w:rsid w:val="00672A63"/>
    <w:rsid w:val="00672AB6"/>
    <w:rsid w:val="00672DB3"/>
    <w:rsid w:val="00672DDA"/>
    <w:rsid w:val="00672E45"/>
    <w:rsid w:val="00672E5C"/>
    <w:rsid w:val="00672EF9"/>
    <w:rsid w:val="0067308B"/>
    <w:rsid w:val="006730AB"/>
    <w:rsid w:val="006731BB"/>
    <w:rsid w:val="00673267"/>
    <w:rsid w:val="0067328C"/>
    <w:rsid w:val="0067332B"/>
    <w:rsid w:val="006733BB"/>
    <w:rsid w:val="006734D5"/>
    <w:rsid w:val="00673560"/>
    <w:rsid w:val="006735C7"/>
    <w:rsid w:val="00673601"/>
    <w:rsid w:val="006736E0"/>
    <w:rsid w:val="006736FD"/>
    <w:rsid w:val="0067388E"/>
    <w:rsid w:val="0067393A"/>
    <w:rsid w:val="006739A6"/>
    <w:rsid w:val="00673A68"/>
    <w:rsid w:val="00673ACF"/>
    <w:rsid w:val="00673C5E"/>
    <w:rsid w:val="00673EDF"/>
    <w:rsid w:val="006740B6"/>
    <w:rsid w:val="00674470"/>
    <w:rsid w:val="006745DF"/>
    <w:rsid w:val="0067465C"/>
    <w:rsid w:val="00674708"/>
    <w:rsid w:val="0067479E"/>
    <w:rsid w:val="006747B8"/>
    <w:rsid w:val="00674891"/>
    <w:rsid w:val="006748BB"/>
    <w:rsid w:val="006748CD"/>
    <w:rsid w:val="006749FA"/>
    <w:rsid w:val="00674A23"/>
    <w:rsid w:val="00674A99"/>
    <w:rsid w:val="00674B7F"/>
    <w:rsid w:val="00674D77"/>
    <w:rsid w:val="00674DF0"/>
    <w:rsid w:val="00674F8A"/>
    <w:rsid w:val="006751BD"/>
    <w:rsid w:val="006752D6"/>
    <w:rsid w:val="00675438"/>
    <w:rsid w:val="006754F2"/>
    <w:rsid w:val="006755A9"/>
    <w:rsid w:val="0067581F"/>
    <w:rsid w:val="00675913"/>
    <w:rsid w:val="006759CB"/>
    <w:rsid w:val="00675BC8"/>
    <w:rsid w:val="00675D4C"/>
    <w:rsid w:val="00675DF5"/>
    <w:rsid w:val="00675E63"/>
    <w:rsid w:val="00675E7F"/>
    <w:rsid w:val="00675F90"/>
    <w:rsid w:val="0067619B"/>
    <w:rsid w:val="00676271"/>
    <w:rsid w:val="006762FE"/>
    <w:rsid w:val="006764D5"/>
    <w:rsid w:val="0067657E"/>
    <w:rsid w:val="0067685B"/>
    <w:rsid w:val="006768CF"/>
    <w:rsid w:val="00676D80"/>
    <w:rsid w:val="00677256"/>
    <w:rsid w:val="0067750D"/>
    <w:rsid w:val="00677654"/>
    <w:rsid w:val="00677894"/>
    <w:rsid w:val="00677C40"/>
    <w:rsid w:val="00677C55"/>
    <w:rsid w:val="00677D45"/>
    <w:rsid w:val="00677DC7"/>
    <w:rsid w:val="00680256"/>
    <w:rsid w:val="0068080A"/>
    <w:rsid w:val="006808E9"/>
    <w:rsid w:val="00680980"/>
    <w:rsid w:val="0068099A"/>
    <w:rsid w:val="00680AC5"/>
    <w:rsid w:val="00680B0C"/>
    <w:rsid w:val="00680BDF"/>
    <w:rsid w:val="00680CF0"/>
    <w:rsid w:val="00680D18"/>
    <w:rsid w:val="00680FAA"/>
    <w:rsid w:val="00680FD6"/>
    <w:rsid w:val="00681088"/>
    <w:rsid w:val="006811ED"/>
    <w:rsid w:val="00681386"/>
    <w:rsid w:val="006816EF"/>
    <w:rsid w:val="006818E0"/>
    <w:rsid w:val="00681AF2"/>
    <w:rsid w:val="00681BFE"/>
    <w:rsid w:val="00681C98"/>
    <w:rsid w:val="00681E7A"/>
    <w:rsid w:val="00681F0B"/>
    <w:rsid w:val="0068214A"/>
    <w:rsid w:val="00682173"/>
    <w:rsid w:val="006822A3"/>
    <w:rsid w:val="0068231C"/>
    <w:rsid w:val="00682408"/>
    <w:rsid w:val="00682490"/>
    <w:rsid w:val="006824F2"/>
    <w:rsid w:val="00682552"/>
    <w:rsid w:val="00682602"/>
    <w:rsid w:val="006826A0"/>
    <w:rsid w:val="0068283D"/>
    <w:rsid w:val="00682C63"/>
    <w:rsid w:val="00682D07"/>
    <w:rsid w:val="00682E32"/>
    <w:rsid w:val="00682EC9"/>
    <w:rsid w:val="00682FC2"/>
    <w:rsid w:val="006830E9"/>
    <w:rsid w:val="00683169"/>
    <w:rsid w:val="0068341B"/>
    <w:rsid w:val="00683441"/>
    <w:rsid w:val="00683463"/>
    <w:rsid w:val="00683688"/>
    <w:rsid w:val="0068378C"/>
    <w:rsid w:val="0068388D"/>
    <w:rsid w:val="00683895"/>
    <w:rsid w:val="006839B7"/>
    <w:rsid w:val="00683A75"/>
    <w:rsid w:val="00683B5E"/>
    <w:rsid w:val="00683BBA"/>
    <w:rsid w:val="00683D23"/>
    <w:rsid w:val="00683DFB"/>
    <w:rsid w:val="00683DFF"/>
    <w:rsid w:val="00683F80"/>
    <w:rsid w:val="00683F83"/>
    <w:rsid w:val="006840A0"/>
    <w:rsid w:val="00684153"/>
    <w:rsid w:val="0068435A"/>
    <w:rsid w:val="0068441D"/>
    <w:rsid w:val="00684505"/>
    <w:rsid w:val="00684576"/>
    <w:rsid w:val="006845C7"/>
    <w:rsid w:val="00684982"/>
    <w:rsid w:val="00684E14"/>
    <w:rsid w:val="00684F32"/>
    <w:rsid w:val="00684F95"/>
    <w:rsid w:val="00685025"/>
    <w:rsid w:val="0068527A"/>
    <w:rsid w:val="00685318"/>
    <w:rsid w:val="0068532E"/>
    <w:rsid w:val="00685349"/>
    <w:rsid w:val="00685525"/>
    <w:rsid w:val="006855B8"/>
    <w:rsid w:val="006856BE"/>
    <w:rsid w:val="006858B3"/>
    <w:rsid w:val="00685A3E"/>
    <w:rsid w:val="00685BF0"/>
    <w:rsid w:val="00685C9F"/>
    <w:rsid w:val="00685D98"/>
    <w:rsid w:val="00685DFC"/>
    <w:rsid w:val="00686170"/>
    <w:rsid w:val="00686183"/>
    <w:rsid w:val="006861B8"/>
    <w:rsid w:val="00686245"/>
    <w:rsid w:val="0068631D"/>
    <w:rsid w:val="0068647A"/>
    <w:rsid w:val="0068693E"/>
    <w:rsid w:val="00686A35"/>
    <w:rsid w:val="00686BAD"/>
    <w:rsid w:val="00686C1C"/>
    <w:rsid w:val="00686C6F"/>
    <w:rsid w:val="00686C95"/>
    <w:rsid w:val="00686D16"/>
    <w:rsid w:val="00686E43"/>
    <w:rsid w:val="00686E61"/>
    <w:rsid w:val="00686FA7"/>
    <w:rsid w:val="00687013"/>
    <w:rsid w:val="0068702C"/>
    <w:rsid w:val="006870BC"/>
    <w:rsid w:val="00687156"/>
    <w:rsid w:val="0068721D"/>
    <w:rsid w:val="006872AA"/>
    <w:rsid w:val="006872DA"/>
    <w:rsid w:val="0068747D"/>
    <w:rsid w:val="00687563"/>
    <w:rsid w:val="00687584"/>
    <w:rsid w:val="00687625"/>
    <w:rsid w:val="00687679"/>
    <w:rsid w:val="0068767E"/>
    <w:rsid w:val="006877C5"/>
    <w:rsid w:val="0068789E"/>
    <w:rsid w:val="00687965"/>
    <w:rsid w:val="0068798B"/>
    <w:rsid w:val="00687B1B"/>
    <w:rsid w:val="00687BB1"/>
    <w:rsid w:val="00687BE0"/>
    <w:rsid w:val="00687D2A"/>
    <w:rsid w:val="00687DE4"/>
    <w:rsid w:val="00687E5C"/>
    <w:rsid w:val="00687EC0"/>
    <w:rsid w:val="00687EC5"/>
    <w:rsid w:val="00690123"/>
    <w:rsid w:val="0069019E"/>
    <w:rsid w:val="0069026C"/>
    <w:rsid w:val="006902EE"/>
    <w:rsid w:val="00690424"/>
    <w:rsid w:val="00690459"/>
    <w:rsid w:val="00690593"/>
    <w:rsid w:val="00690671"/>
    <w:rsid w:val="006907EC"/>
    <w:rsid w:val="00690801"/>
    <w:rsid w:val="0069085D"/>
    <w:rsid w:val="0069097C"/>
    <w:rsid w:val="00690B54"/>
    <w:rsid w:val="00690C92"/>
    <w:rsid w:val="00690CB4"/>
    <w:rsid w:val="00690DCA"/>
    <w:rsid w:val="00690E2E"/>
    <w:rsid w:val="00690F4F"/>
    <w:rsid w:val="00691004"/>
    <w:rsid w:val="00691067"/>
    <w:rsid w:val="006910B9"/>
    <w:rsid w:val="00691122"/>
    <w:rsid w:val="006912FF"/>
    <w:rsid w:val="0069132C"/>
    <w:rsid w:val="006913BB"/>
    <w:rsid w:val="006913D3"/>
    <w:rsid w:val="00691428"/>
    <w:rsid w:val="00691478"/>
    <w:rsid w:val="006915EC"/>
    <w:rsid w:val="006919D2"/>
    <w:rsid w:val="00691DF7"/>
    <w:rsid w:val="00691E0D"/>
    <w:rsid w:val="00691E96"/>
    <w:rsid w:val="00692094"/>
    <w:rsid w:val="006920D4"/>
    <w:rsid w:val="00692275"/>
    <w:rsid w:val="00692396"/>
    <w:rsid w:val="006924A0"/>
    <w:rsid w:val="00692576"/>
    <w:rsid w:val="006926A3"/>
    <w:rsid w:val="00692708"/>
    <w:rsid w:val="00692721"/>
    <w:rsid w:val="006927AB"/>
    <w:rsid w:val="006928BF"/>
    <w:rsid w:val="00692AE2"/>
    <w:rsid w:val="00692B9F"/>
    <w:rsid w:val="00692C80"/>
    <w:rsid w:val="00692D8B"/>
    <w:rsid w:val="00692DDA"/>
    <w:rsid w:val="0069339D"/>
    <w:rsid w:val="006933B8"/>
    <w:rsid w:val="00693434"/>
    <w:rsid w:val="00693497"/>
    <w:rsid w:val="00693734"/>
    <w:rsid w:val="0069390D"/>
    <w:rsid w:val="0069391B"/>
    <w:rsid w:val="006939AE"/>
    <w:rsid w:val="00693A37"/>
    <w:rsid w:val="00693AA8"/>
    <w:rsid w:val="00693C6C"/>
    <w:rsid w:val="00693D06"/>
    <w:rsid w:val="00693F75"/>
    <w:rsid w:val="006940B6"/>
    <w:rsid w:val="00694209"/>
    <w:rsid w:val="0069427A"/>
    <w:rsid w:val="006942E7"/>
    <w:rsid w:val="0069433F"/>
    <w:rsid w:val="00694605"/>
    <w:rsid w:val="00694D06"/>
    <w:rsid w:val="00694D94"/>
    <w:rsid w:val="00694F98"/>
    <w:rsid w:val="00695220"/>
    <w:rsid w:val="00695508"/>
    <w:rsid w:val="00695524"/>
    <w:rsid w:val="0069556B"/>
    <w:rsid w:val="006955C1"/>
    <w:rsid w:val="0069586E"/>
    <w:rsid w:val="00695973"/>
    <w:rsid w:val="0069597B"/>
    <w:rsid w:val="0069599D"/>
    <w:rsid w:val="00695B72"/>
    <w:rsid w:val="00695C0D"/>
    <w:rsid w:val="00696381"/>
    <w:rsid w:val="00696391"/>
    <w:rsid w:val="0069644F"/>
    <w:rsid w:val="00696742"/>
    <w:rsid w:val="006967BD"/>
    <w:rsid w:val="006967C5"/>
    <w:rsid w:val="0069685B"/>
    <w:rsid w:val="00696A22"/>
    <w:rsid w:val="00696B7F"/>
    <w:rsid w:val="00696CCC"/>
    <w:rsid w:val="00696CF4"/>
    <w:rsid w:val="00696DE5"/>
    <w:rsid w:val="00696F02"/>
    <w:rsid w:val="00696F0D"/>
    <w:rsid w:val="00696F2D"/>
    <w:rsid w:val="00696FA2"/>
    <w:rsid w:val="0069701E"/>
    <w:rsid w:val="006971B2"/>
    <w:rsid w:val="00697256"/>
    <w:rsid w:val="0069730A"/>
    <w:rsid w:val="006974A8"/>
    <w:rsid w:val="0069778D"/>
    <w:rsid w:val="006977BF"/>
    <w:rsid w:val="00697849"/>
    <w:rsid w:val="00697A7A"/>
    <w:rsid w:val="00697B0D"/>
    <w:rsid w:val="00697C60"/>
    <w:rsid w:val="00697CDB"/>
    <w:rsid w:val="00697DB2"/>
    <w:rsid w:val="00697E2F"/>
    <w:rsid w:val="00697EB6"/>
    <w:rsid w:val="00697F82"/>
    <w:rsid w:val="006A00F9"/>
    <w:rsid w:val="006A010D"/>
    <w:rsid w:val="006A013F"/>
    <w:rsid w:val="006A0222"/>
    <w:rsid w:val="006A03F5"/>
    <w:rsid w:val="006A03FF"/>
    <w:rsid w:val="006A04E4"/>
    <w:rsid w:val="006A052F"/>
    <w:rsid w:val="006A06EC"/>
    <w:rsid w:val="006A06F9"/>
    <w:rsid w:val="006A0C36"/>
    <w:rsid w:val="006A0D91"/>
    <w:rsid w:val="006A0F04"/>
    <w:rsid w:val="006A0F0A"/>
    <w:rsid w:val="006A12B5"/>
    <w:rsid w:val="006A131B"/>
    <w:rsid w:val="006A1465"/>
    <w:rsid w:val="006A1487"/>
    <w:rsid w:val="006A15AD"/>
    <w:rsid w:val="006A195F"/>
    <w:rsid w:val="006A19A2"/>
    <w:rsid w:val="006A19C3"/>
    <w:rsid w:val="006A1A78"/>
    <w:rsid w:val="006A1C7B"/>
    <w:rsid w:val="006A1D98"/>
    <w:rsid w:val="006A1F0A"/>
    <w:rsid w:val="006A1FCC"/>
    <w:rsid w:val="006A2039"/>
    <w:rsid w:val="006A2081"/>
    <w:rsid w:val="006A2135"/>
    <w:rsid w:val="006A2158"/>
    <w:rsid w:val="006A23D3"/>
    <w:rsid w:val="006A264E"/>
    <w:rsid w:val="006A272A"/>
    <w:rsid w:val="006A27B4"/>
    <w:rsid w:val="006A28D9"/>
    <w:rsid w:val="006A299B"/>
    <w:rsid w:val="006A2AE5"/>
    <w:rsid w:val="006A2B18"/>
    <w:rsid w:val="006A2B73"/>
    <w:rsid w:val="006A2C30"/>
    <w:rsid w:val="006A2CC1"/>
    <w:rsid w:val="006A2D15"/>
    <w:rsid w:val="006A2D28"/>
    <w:rsid w:val="006A2DE0"/>
    <w:rsid w:val="006A2E8B"/>
    <w:rsid w:val="006A300C"/>
    <w:rsid w:val="006A322A"/>
    <w:rsid w:val="006A3235"/>
    <w:rsid w:val="006A3283"/>
    <w:rsid w:val="006A3607"/>
    <w:rsid w:val="006A36BA"/>
    <w:rsid w:val="006A36C6"/>
    <w:rsid w:val="006A3737"/>
    <w:rsid w:val="006A382D"/>
    <w:rsid w:val="006A3A9A"/>
    <w:rsid w:val="006A3B3B"/>
    <w:rsid w:val="006A3BEB"/>
    <w:rsid w:val="006A3C8E"/>
    <w:rsid w:val="006A3F2B"/>
    <w:rsid w:val="006A4389"/>
    <w:rsid w:val="006A44B7"/>
    <w:rsid w:val="006A44E9"/>
    <w:rsid w:val="006A457B"/>
    <w:rsid w:val="006A4654"/>
    <w:rsid w:val="006A465B"/>
    <w:rsid w:val="006A4C32"/>
    <w:rsid w:val="006A4C5A"/>
    <w:rsid w:val="006A4EBB"/>
    <w:rsid w:val="006A4F04"/>
    <w:rsid w:val="006A501B"/>
    <w:rsid w:val="006A5048"/>
    <w:rsid w:val="006A50DF"/>
    <w:rsid w:val="006A51A8"/>
    <w:rsid w:val="006A5213"/>
    <w:rsid w:val="006A523C"/>
    <w:rsid w:val="006A52BC"/>
    <w:rsid w:val="006A569A"/>
    <w:rsid w:val="006A58DA"/>
    <w:rsid w:val="006A59AA"/>
    <w:rsid w:val="006A59DC"/>
    <w:rsid w:val="006A5AB1"/>
    <w:rsid w:val="006A5B94"/>
    <w:rsid w:val="006A5FD8"/>
    <w:rsid w:val="006A60C5"/>
    <w:rsid w:val="006A61D2"/>
    <w:rsid w:val="006A62AD"/>
    <w:rsid w:val="006A64E1"/>
    <w:rsid w:val="006A6555"/>
    <w:rsid w:val="006A6640"/>
    <w:rsid w:val="006A6660"/>
    <w:rsid w:val="006A6703"/>
    <w:rsid w:val="006A6A97"/>
    <w:rsid w:val="006A6BAB"/>
    <w:rsid w:val="006A6BEF"/>
    <w:rsid w:val="006A6C63"/>
    <w:rsid w:val="006A6D46"/>
    <w:rsid w:val="006A6D9D"/>
    <w:rsid w:val="006A7258"/>
    <w:rsid w:val="006A72EA"/>
    <w:rsid w:val="006A731C"/>
    <w:rsid w:val="006A73B3"/>
    <w:rsid w:val="006A7416"/>
    <w:rsid w:val="006A743B"/>
    <w:rsid w:val="006A74C9"/>
    <w:rsid w:val="006A74D5"/>
    <w:rsid w:val="006A750B"/>
    <w:rsid w:val="006A7545"/>
    <w:rsid w:val="006A780E"/>
    <w:rsid w:val="006A7845"/>
    <w:rsid w:val="006A7B05"/>
    <w:rsid w:val="006A7BA4"/>
    <w:rsid w:val="006A7BDD"/>
    <w:rsid w:val="006A7BDF"/>
    <w:rsid w:val="006A7C5D"/>
    <w:rsid w:val="006A7CE8"/>
    <w:rsid w:val="006A7D56"/>
    <w:rsid w:val="006A7F53"/>
    <w:rsid w:val="006B0047"/>
    <w:rsid w:val="006B0154"/>
    <w:rsid w:val="006B03B4"/>
    <w:rsid w:val="006B03EC"/>
    <w:rsid w:val="006B071E"/>
    <w:rsid w:val="006B086A"/>
    <w:rsid w:val="006B0916"/>
    <w:rsid w:val="006B0945"/>
    <w:rsid w:val="006B0A38"/>
    <w:rsid w:val="006B0BB8"/>
    <w:rsid w:val="006B0D4F"/>
    <w:rsid w:val="006B0EEB"/>
    <w:rsid w:val="006B11F2"/>
    <w:rsid w:val="006B13A2"/>
    <w:rsid w:val="006B166C"/>
    <w:rsid w:val="006B17CA"/>
    <w:rsid w:val="006B17D6"/>
    <w:rsid w:val="006B18FA"/>
    <w:rsid w:val="006B1A5E"/>
    <w:rsid w:val="006B1AB2"/>
    <w:rsid w:val="006B1B2D"/>
    <w:rsid w:val="006B1BD5"/>
    <w:rsid w:val="006B1BF0"/>
    <w:rsid w:val="006B1C54"/>
    <w:rsid w:val="006B1C91"/>
    <w:rsid w:val="006B1F29"/>
    <w:rsid w:val="006B1F8B"/>
    <w:rsid w:val="006B20E9"/>
    <w:rsid w:val="006B229D"/>
    <w:rsid w:val="006B2342"/>
    <w:rsid w:val="006B2599"/>
    <w:rsid w:val="006B2797"/>
    <w:rsid w:val="006B27D8"/>
    <w:rsid w:val="006B29EA"/>
    <w:rsid w:val="006B29FA"/>
    <w:rsid w:val="006B2ADC"/>
    <w:rsid w:val="006B2AEA"/>
    <w:rsid w:val="006B2B0D"/>
    <w:rsid w:val="006B2B28"/>
    <w:rsid w:val="006B2C09"/>
    <w:rsid w:val="006B2C42"/>
    <w:rsid w:val="006B2C9E"/>
    <w:rsid w:val="006B2D99"/>
    <w:rsid w:val="006B2F71"/>
    <w:rsid w:val="006B31E9"/>
    <w:rsid w:val="006B3219"/>
    <w:rsid w:val="006B3275"/>
    <w:rsid w:val="006B3435"/>
    <w:rsid w:val="006B3500"/>
    <w:rsid w:val="006B3601"/>
    <w:rsid w:val="006B37AC"/>
    <w:rsid w:val="006B385A"/>
    <w:rsid w:val="006B38D8"/>
    <w:rsid w:val="006B3A02"/>
    <w:rsid w:val="006B3AE3"/>
    <w:rsid w:val="006B3AE8"/>
    <w:rsid w:val="006B3AFE"/>
    <w:rsid w:val="006B3BBF"/>
    <w:rsid w:val="006B3DA5"/>
    <w:rsid w:val="006B3E9C"/>
    <w:rsid w:val="006B3F70"/>
    <w:rsid w:val="006B42E1"/>
    <w:rsid w:val="006B4317"/>
    <w:rsid w:val="006B43EE"/>
    <w:rsid w:val="006B4544"/>
    <w:rsid w:val="006B45ED"/>
    <w:rsid w:val="006B466E"/>
    <w:rsid w:val="006B4755"/>
    <w:rsid w:val="006B4ACB"/>
    <w:rsid w:val="006B4C7C"/>
    <w:rsid w:val="006B4CEA"/>
    <w:rsid w:val="006B4D86"/>
    <w:rsid w:val="006B4DBD"/>
    <w:rsid w:val="006B4F13"/>
    <w:rsid w:val="006B4FAF"/>
    <w:rsid w:val="006B5000"/>
    <w:rsid w:val="006B5008"/>
    <w:rsid w:val="006B5041"/>
    <w:rsid w:val="006B5212"/>
    <w:rsid w:val="006B522D"/>
    <w:rsid w:val="006B55A9"/>
    <w:rsid w:val="006B5631"/>
    <w:rsid w:val="006B566B"/>
    <w:rsid w:val="006B5763"/>
    <w:rsid w:val="006B57E6"/>
    <w:rsid w:val="006B5805"/>
    <w:rsid w:val="006B5827"/>
    <w:rsid w:val="006B5A8D"/>
    <w:rsid w:val="006B5AC1"/>
    <w:rsid w:val="006B5B8F"/>
    <w:rsid w:val="006B5DC7"/>
    <w:rsid w:val="006B5E48"/>
    <w:rsid w:val="006B5F36"/>
    <w:rsid w:val="006B602D"/>
    <w:rsid w:val="006B606B"/>
    <w:rsid w:val="006B60C6"/>
    <w:rsid w:val="006B623C"/>
    <w:rsid w:val="006B623D"/>
    <w:rsid w:val="006B683C"/>
    <w:rsid w:val="006B6937"/>
    <w:rsid w:val="006B6953"/>
    <w:rsid w:val="006B69D6"/>
    <w:rsid w:val="006B6A5D"/>
    <w:rsid w:val="006B6C17"/>
    <w:rsid w:val="006B6CE8"/>
    <w:rsid w:val="006B6E42"/>
    <w:rsid w:val="006B6F7B"/>
    <w:rsid w:val="006B7060"/>
    <w:rsid w:val="006B709A"/>
    <w:rsid w:val="006B73B6"/>
    <w:rsid w:val="006B7408"/>
    <w:rsid w:val="006B745D"/>
    <w:rsid w:val="006B74CF"/>
    <w:rsid w:val="006B7614"/>
    <w:rsid w:val="006B7634"/>
    <w:rsid w:val="006B7647"/>
    <w:rsid w:val="006B764A"/>
    <w:rsid w:val="006B7857"/>
    <w:rsid w:val="006B78BC"/>
    <w:rsid w:val="006B78EC"/>
    <w:rsid w:val="006B7AB4"/>
    <w:rsid w:val="006B7BE8"/>
    <w:rsid w:val="006B7C29"/>
    <w:rsid w:val="006B7ED2"/>
    <w:rsid w:val="006C005E"/>
    <w:rsid w:val="006C01B1"/>
    <w:rsid w:val="006C0617"/>
    <w:rsid w:val="006C0664"/>
    <w:rsid w:val="006C06AD"/>
    <w:rsid w:val="006C07CC"/>
    <w:rsid w:val="006C080D"/>
    <w:rsid w:val="006C0857"/>
    <w:rsid w:val="006C08FC"/>
    <w:rsid w:val="006C0B4A"/>
    <w:rsid w:val="006C0DBF"/>
    <w:rsid w:val="006C0E68"/>
    <w:rsid w:val="006C13FF"/>
    <w:rsid w:val="006C14BD"/>
    <w:rsid w:val="006C1688"/>
    <w:rsid w:val="006C16AA"/>
    <w:rsid w:val="006C179D"/>
    <w:rsid w:val="006C1A2F"/>
    <w:rsid w:val="006C1B65"/>
    <w:rsid w:val="006C1D04"/>
    <w:rsid w:val="006C1D21"/>
    <w:rsid w:val="006C1D26"/>
    <w:rsid w:val="006C1DF8"/>
    <w:rsid w:val="006C1EAB"/>
    <w:rsid w:val="006C2224"/>
    <w:rsid w:val="006C2234"/>
    <w:rsid w:val="006C22FA"/>
    <w:rsid w:val="006C236A"/>
    <w:rsid w:val="006C2512"/>
    <w:rsid w:val="006C2691"/>
    <w:rsid w:val="006C2CF1"/>
    <w:rsid w:val="006C2E8D"/>
    <w:rsid w:val="006C30CA"/>
    <w:rsid w:val="006C313E"/>
    <w:rsid w:val="006C321D"/>
    <w:rsid w:val="006C33DB"/>
    <w:rsid w:val="006C34CE"/>
    <w:rsid w:val="006C37E1"/>
    <w:rsid w:val="006C3A11"/>
    <w:rsid w:val="006C3B52"/>
    <w:rsid w:val="006C3C12"/>
    <w:rsid w:val="006C3C5A"/>
    <w:rsid w:val="006C3D5B"/>
    <w:rsid w:val="006C3F26"/>
    <w:rsid w:val="006C4033"/>
    <w:rsid w:val="006C412D"/>
    <w:rsid w:val="006C4372"/>
    <w:rsid w:val="006C4586"/>
    <w:rsid w:val="006C4634"/>
    <w:rsid w:val="006C4806"/>
    <w:rsid w:val="006C480F"/>
    <w:rsid w:val="006C48A9"/>
    <w:rsid w:val="006C48EF"/>
    <w:rsid w:val="006C49B7"/>
    <w:rsid w:val="006C4AE1"/>
    <w:rsid w:val="006C4D53"/>
    <w:rsid w:val="006C4F39"/>
    <w:rsid w:val="006C4F85"/>
    <w:rsid w:val="006C507E"/>
    <w:rsid w:val="006C533F"/>
    <w:rsid w:val="006C5359"/>
    <w:rsid w:val="006C5391"/>
    <w:rsid w:val="006C54D2"/>
    <w:rsid w:val="006C58A1"/>
    <w:rsid w:val="006C58CA"/>
    <w:rsid w:val="006C598A"/>
    <w:rsid w:val="006C5A4A"/>
    <w:rsid w:val="006C5A8E"/>
    <w:rsid w:val="006C5AD5"/>
    <w:rsid w:val="006C5BF1"/>
    <w:rsid w:val="006C5BFA"/>
    <w:rsid w:val="006C5DE0"/>
    <w:rsid w:val="006C6049"/>
    <w:rsid w:val="006C61F7"/>
    <w:rsid w:val="006C62CB"/>
    <w:rsid w:val="006C62F0"/>
    <w:rsid w:val="006C65CE"/>
    <w:rsid w:val="006C6774"/>
    <w:rsid w:val="006C6B2A"/>
    <w:rsid w:val="006C6C4B"/>
    <w:rsid w:val="006C6C88"/>
    <w:rsid w:val="006C704B"/>
    <w:rsid w:val="006C71E8"/>
    <w:rsid w:val="006C726F"/>
    <w:rsid w:val="006C729A"/>
    <w:rsid w:val="006C7374"/>
    <w:rsid w:val="006C756A"/>
    <w:rsid w:val="006C77FD"/>
    <w:rsid w:val="006C789A"/>
    <w:rsid w:val="006C7A50"/>
    <w:rsid w:val="006C7A61"/>
    <w:rsid w:val="006C7C29"/>
    <w:rsid w:val="006C7D29"/>
    <w:rsid w:val="006C7D34"/>
    <w:rsid w:val="006C7E35"/>
    <w:rsid w:val="006C7F39"/>
    <w:rsid w:val="006D003B"/>
    <w:rsid w:val="006D023A"/>
    <w:rsid w:val="006D0255"/>
    <w:rsid w:val="006D0268"/>
    <w:rsid w:val="006D0335"/>
    <w:rsid w:val="006D03E3"/>
    <w:rsid w:val="006D0975"/>
    <w:rsid w:val="006D0A61"/>
    <w:rsid w:val="006D0AA5"/>
    <w:rsid w:val="006D0BB7"/>
    <w:rsid w:val="006D0BD8"/>
    <w:rsid w:val="006D0C3B"/>
    <w:rsid w:val="006D0CBE"/>
    <w:rsid w:val="006D0DDE"/>
    <w:rsid w:val="006D0F20"/>
    <w:rsid w:val="006D103B"/>
    <w:rsid w:val="006D126F"/>
    <w:rsid w:val="006D12D7"/>
    <w:rsid w:val="006D1342"/>
    <w:rsid w:val="006D13BB"/>
    <w:rsid w:val="006D15DD"/>
    <w:rsid w:val="006D1806"/>
    <w:rsid w:val="006D18E4"/>
    <w:rsid w:val="006D19D8"/>
    <w:rsid w:val="006D1B11"/>
    <w:rsid w:val="006D1BB7"/>
    <w:rsid w:val="006D1C6A"/>
    <w:rsid w:val="006D1DFB"/>
    <w:rsid w:val="006D1E2B"/>
    <w:rsid w:val="006D1E4C"/>
    <w:rsid w:val="006D1E99"/>
    <w:rsid w:val="006D1EF5"/>
    <w:rsid w:val="006D2008"/>
    <w:rsid w:val="006D2063"/>
    <w:rsid w:val="006D2096"/>
    <w:rsid w:val="006D239C"/>
    <w:rsid w:val="006D23E0"/>
    <w:rsid w:val="006D24EA"/>
    <w:rsid w:val="006D25B0"/>
    <w:rsid w:val="006D2804"/>
    <w:rsid w:val="006D2862"/>
    <w:rsid w:val="006D2908"/>
    <w:rsid w:val="006D2B5B"/>
    <w:rsid w:val="006D2D3D"/>
    <w:rsid w:val="006D2E68"/>
    <w:rsid w:val="006D2EA7"/>
    <w:rsid w:val="006D2F28"/>
    <w:rsid w:val="006D2F32"/>
    <w:rsid w:val="006D3312"/>
    <w:rsid w:val="006D331B"/>
    <w:rsid w:val="006D3484"/>
    <w:rsid w:val="006D3804"/>
    <w:rsid w:val="006D386B"/>
    <w:rsid w:val="006D3ADF"/>
    <w:rsid w:val="006D3B86"/>
    <w:rsid w:val="006D3B93"/>
    <w:rsid w:val="006D3C80"/>
    <w:rsid w:val="006D3E22"/>
    <w:rsid w:val="006D4145"/>
    <w:rsid w:val="006D44DF"/>
    <w:rsid w:val="006D45F0"/>
    <w:rsid w:val="006D470D"/>
    <w:rsid w:val="006D4757"/>
    <w:rsid w:val="006D4780"/>
    <w:rsid w:val="006D47B3"/>
    <w:rsid w:val="006D48CB"/>
    <w:rsid w:val="006D495A"/>
    <w:rsid w:val="006D4989"/>
    <w:rsid w:val="006D4DE2"/>
    <w:rsid w:val="006D4E2F"/>
    <w:rsid w:val="006D4E42"/>
    <w:rsid w:val="006D4FCB"/>
    <w:rsid w:val="006D529A"/>
    <w:rsid w:val="006D5386"/>
    <w:rsid w:val="006D57DB"/>
    <w:rsid w:val="006D595F"/>
    <w:rsid w:val="006D5A7F"/>
    <w:rsid w:val="006D5B21"/>
    <w:rsid w:val="006D5B3A"/>
    <w:rsid w:val="006D5BE2"/>
    <w:rsid w:val="006D5D2C"/>
    <w:rsid w:val="006D5DBA"/>
    <w:rsid w:val="006D5E4B"/>
    <w:rsid w:val="006D5E7C"/>
    <w:rsid w:val="006D5F3A"/>
    <w:rsid w:val="006D6027"/>
    <w:rsid w:val="006D60E8"/>
    <w:rsid w:val="006D622B"/>
    <w:rsid w:val="006D630D"/>
    <w:rsid w:val="006D641B"/>
    <w:rsid w:val="006D6452"/>
    <w:rsid w:val="006D693D"/>
    <w:rsid w:val="006D69B1"/>
    <w:rsid w:val="006D6B0D"/>
    <w:rsid w:val="006D6BB2"/>
    <w:rsid w:val="006D6BDB"/>
    <w:rsid w:val="006D6C80"/>
    <w:rsid w:val="006D6FB8"/>
    <w:rsid w:val="006D736E"/>
    <w:rsid w:val="006D7451"/>
    <w:rsid w:val="006D7513"/>
    <w:rsid w:val="006D753F"/>
    <w:rsid w:val="006D7664"/>
    <w:rsid w:val="006D776C"/>
    <w:rsid w:val="006D79BB"/>
    <w:rsid w:val="006D7C56"/>
    <w:rsid w:val="006D7CDC"/>
    <w:rsid w:val="006D7CE2"/>
    <w:rsid w:val="006D7D40"/>
    <w:rsid w:val="006D7EDA"/>
    <w:rsid w:val="006D7F38"/>
    <w:rsid w:val="006E0010"/>
    <w:rsid w:val="006E00E7"/>
    <w:rsid w:val="006E05F0"/>
    <w:rsid w:val="006E0690"/>
    <w:rsid w:val="006E0782"/>
    <w:rsid w:val="006E0A0D"/>
    <w:rsid w:val="006E0B13"/>
    <w:rsid w:val="006E0B47"/>
    <w:rsid w:val="006E0C95"/>
    <w:rsid w:val="006E0D81"/>
    <w:rsid w:val="006E0D92"/>
    <w:rsid w:val="006E0D94"/>
    <w:rsid w:val="006E0E89"/>
    <w:rsid w:val="006E0E96"/>
    <w:rsid w:val="006E0F3E"/>
    <w:rsid w:val="006E0F6A"/>
    <w:rsid w:val="006E104E"/>
    <w:rsid w:val="006E10BF"/>
    <w:rsid w:val="006E1274"/>
    <w:rsid w:val="006E12FE"/>
    <w:rsid w:val="006E149B"/>
    <w:rsid w:val="006E15C3"/>
    <w:rsid w:val="006E1616"/>
    <w:rsid w:val="006E18DD"/>
    <w:rsid w:val="006E1A8F"/>
    <w:rsid w:val="006E1AA3"/>
    <w:rsid w:val="006E1B4B"/>
    <w:rsid w:val="006E1BC5"/>
    <w:rsid w:val="006E1CA7"/>
    <w:rsid w:val="006E1F0E"/>
    <w:rsid w:val="006E1F81"/>
    <w:rsid w:val="006E2274"/>
    <w:rsid w:val="006E230C"/>
    <w:rsid w:val="006E290C"/>
    <w:rsid w:val="006E29D4"/>
    <w:rsid w:val="006E2B4A"/>
    <w:rsid w:val="006E2B80"/>
    <w:rsid w:val="006E2C04"/>
    <w:rsid w:val="006E2C39"/>
    <w:rsid w:val="006E2D06"/>
    <w:rsid w:val="006E2F4B"/>
    <w:rsid w:val="006E309C"/>
    <w:rsid w:val="006E3322"/>
    <w:rsid w:val="006E3371"/>
    <w:rsid w:val="006E3388"/>
    <w:rsid w:val="006E34DF"/>
    <w:rsid w:val="006E355C"/>
    <w:rsid w:val="006E3604"/>
    <w:rsid w:val="006E3959"/>
    <w:rsid w:val="006E3C16"/>
    <w:rsid w:val="006E3D1A"/>
    <w:rsid w:val="006E3D7F"/>
    <w:rsid w:val="006E4049"/>
    <w:rsid w:val="006E41E9"/>
    <w:rsid w:val="006E42CF"/>
    <w:rsid w:val="006E43B1"/>
    <w:rsid w:val="006E43B4"/>
    <w:rsid w:val="006E44A0"/>
    <w:rsid w:val="006E4647"/>
    <w:rsid w:val="006E4660"/>
    <w:rsid w:val="006E4737"/>
    <w:rsid w:val="006E474A"/>
    <w:rsid w:val="006E494B"/>
    <w:rsid w:val="006E4978"/>
    <w:rsid w:val="006E49B6"/>
    <w:rsid w:val="006E4A18"/>
    <w:rsid w:val="006E4B5A"/>
    <w:rsid w:val="006E4BA1"/>
    <w:rsid w:val="006E4EE6"/>
    <w:rsid w:val="006E50C7"/>
    <w:rsid w:val="006E5106"/>
    <w:rsid w:val="006E51FE"/>
    <w:rsid w:val="006E5400"/>
    <w:rsid w:val="006E5523"/>
    <w:rsid w:val="006E55CA"/>
    <w:rsid w:val="006E5672"/>
    <w:rsid w:val="006E5691"/>
    <w:rsid w:val="006E5944"/>
    <w:rsid w:val="006E5958"/>
    <w:rsid w:val="006E5B01"/>
    <w:rsid w:val="006E5B6C"/>
    <w:rsid w:val="006E5D65"/>
    <w:rsid w:val="006E5E12"/>
    <w:rsid w:val="006E5F71"/>
    <w:rsid w:val="006E6050"/>
    <w:rsid w:val="006E612A"/>
    <w:rsid w:val="006E615D"/>
    <w:rsid w:val="006E62E3"/>
    <w:rsid w:val="006E64D4"/>
    <w:rsid w:val="006E6524"/>
    <w:rsid w:val="006E6587"/>
    <w:rsid w:val="006E65F4"/>
    <w:rsid w:val="006E6759"/>
    <w:rsid w:val="006E67C1"/>
    <w:rsid w:val="006E683F"/>
    <w:rsid w:val="006E6A22"/>
    <w:rsid w:val="006E6B77"/>
    <w:rsid w:val="006E6D05"/>
    <w:rsid w:val="006E6D7D"/>
    <w:rsid w:val="006E6F98"/>
    <w:rsid w:val="006E6FDD"/>
    <w:rsid w:val="006E710B"/>
    <w:rsid w:val="006E738C"/>
    <w:rsid w:val="006E74A7"/>
    <w:rsid w:val="006E74DF"/>
    <w:rsid w:val="006E752D"/>
    <w:rsid w:val="006E772C"/>
    <w:rsid w:val="006E7780"/>
    <w:rsid w:val="006E789F"/>
    <w:rsid w:val="006E7926"/>
    <w:rsid w:val="006E79C8"/>
    <w:rsid w:val="006E7A40"/>
    <w:rsid w:val="006E7B41"/>
    <w:rsid w:val="006E7C11"/>
    <w:rsid w:val="006E7C43"/>
    <w:rsid w:val="006E7C9D"/>
    <w:rsid w:val="006E7ED8"/>
    <w:rsid w:val="006F00E7"/>
    <w:rsid w:val="006F038A"/>
    <w:rsid w:val="006F03E7"/>
    <w:rsid w:val="006F041D"/>
    <w:rsid w:val="006F0430"/>
    <w:rsid w:val="006F046D"/>
    <w:rsid w:val="006F04B4"/>
    <w:rsid w:val="006F04FC"/>
    <w:rsid w:val="006F05E5"/>
    <w:rsid w:val="006F0AB5"/>
    <w:rsid w:val="006F0AB6"/>
    <w:rsid w:val="006F0B76"/>
    <w:rsid w:val="006F0C86"/>
    <w:rsid w:val="006F0CE4"/>
    <w:rsid w:val="006F0E87"/>
    <w:rsid w:val="006F0EC7"/>
    <w:rsid w:val="006F0F6B"/>
    <w:rsid w:val="006F17C6"/>
    <w:rsid w:val="006F17E7"/>
    <w:rsid w:val="006F1884"/>
    <w:rsid w:val="006F18AF"/>
    <w:rsid w:val="006F18DD"/>
    <w:rsid w:val="006F1921"/>
    <w:rsid w:val="006F19B3"/>
    <w:rsid w:val="006F1B15"/>
    <w:rsid w:val="006F1BEA"/>
    <w:rsid w:val="006F1E8B"/>
    <w:rsid w:val="006F23D7"/>
    <w:rsid w:val="006F26F0"/>
    <w:rsid w:val="006F271B"/>
    <w:rsid w:val="006F2A9E"/>
    <w:rsid w:val="006F2BFE"/>
    <w:rsid w:val="006F2CC9"/>
    <w:rsid w:val="006F2F79"/>
    <w:rsid w:val="006F310A"/>
    <w:rsid w:val="006F311A"/>
    <w:rsid w:val="006F32B5"/>
    <w:rsid w:val="006F3572"/>
    <w:rsid w:val="006F364A"/>
    <w:rsid w:val="006F3757"/>
    <w:rsid w:val="006F386F"/>
    <w:rsid w:val="006F3BB6"/>
    <w:rsid w:val="006F3E9B"/>
    <w:rsid w:val="006F3F55"/>
    <w:rsid w:val="006F4020"/>
    <w:rsid w:val="006F4219"/>
    <w:rsid w:val="006F4446"/>
    <w:rsid w:val="006F44D8"/>
    <w:rsid w:val="006F4597"/>
    <w:rsid w:val="006F4730"/>
    <w:rsid w:val="006F4764"/>
    <w:rsid w:val="006F4822"/>
    <w:rsid w:val="006F48A8"/>
    <w:rsid w:val="006F4923"/>
    <w:rsid w:val="006F4AF6"/>
    <w:rsid w:val="006F4D22"/>
    <w:rsid w:val="006F4DEF"/>
    <w:rsid w:val="006F50DB"/>
    <w:rsid w:val="006F518C"/>
    <w:rsid w:val="006F51A6"/>
    <w:rsid w:val="006F51F3"/>
    <w:rsid w:val="006F5243"/>
    <w:rsid w:val="006F5621"/>
    <w:rsid w:val="006F574C"/>
    <w:rsid w:val="006F586E"/>
    <w:rsid w:val="006F5969"/>
    <w:rsid w:val="006F59B5"/>
    <w:rsid w:val="006F5A47"/>
    <w:rsid w:val="006F5BD6"/>
    <w:rsid w:val="006F5DE6"/>
    <w:rsid w:val="006F60E1"/>
    <w:rsid w:val="006F6176"/>
    <w:rsid w:val="006F61B6"/>
    <w:rsid w:val="006F62E3"/>
    <w:rsid w:val="006F63E4"/>
    <w:rsid w:val="006F641A"/>
    <w:rsid w:val="006F6494"/>
    <w:rsid w:val="006F64FF"/>
    <w:rsid w:val="006F67C5"/>
    <w:rsid w:val="006F6815"/>
    <w:rsid w:val="006F6975"/>
    <w:rsid w:val="006F6AFF"/>
    <w:rsid w:val="006F6BFD"/>
    <w:rsid w:val="006F6D27"/>
    <w:rsid w:val="006F6DC9"/>
    <w:rsid w:val="006F6E6B"/>
    <w:rsid w:val="006F6FBD"/>
    <w:rsid w:val="006F7255"/>
    <w:rsid w:val="006F7549"/>
    <w:rsid w:val="006F765B"/>
    <w:rsid w:val="006F76D5"/>
    <w:rsid w:val="006F7798"/>
    <w:rsid w:val="006F77CE"/>
    <w:rsid w:val="006F782E"/>
    <w:rsid w:val="006F7923"/>
    <w:rsid w:val="006F79A2"/>
    <w:rsid w:val="006F7A2D"/>
    <w:rsid w:val="006F7ACB"/>
    <w:rsid w:val="006F7ADF"/>
    <w:rsid w:val="006F7C05"/>
    <w:rsid w:val="006F7C32"/>
    <w:rsid w:val="006F7C5A"/>
    <w:rsid w:val="006F7CB6"/>
    <w:rsid w:val="006F7DE4"/>
    <w:rsid w:val="006F7EC6"/>
    <w:rsid w:val="006FAD6A"/>
    <w:rsid w:val="007000EF"/>
    <w:rsid w:val="00700151"/>
    <w:rsid w:val="007002A8"/>
    <w:rsid w:val="00700349"/>
    <w:rsid w:val="0070047B"/>
    <w:rsid w:val="0070051F"/>
    <w:rsid w:val="007005D3"/>
    <w:rsid w:val="007006D0"/>
    <w:rsid w:val="007007E4"/>
    <w:rsid w:val="0070091B"/>
    <w:rsid w:val="0070099B"/>
    <w:rsid w:val="00700B32"/>
    <w:rsid w:val="00700D02"/>
    <w:rsid w:val="00700D05"/>
    <w:rsid w:val="00700EE0"/>
    <w:rsid w:val="00700F0B"/>
    <w:rsid w:val="00701278"/>
    <w:rsid w:val="00701308"/>
    <w:rsid w:val="00701443"/>
    <w:rsid w:val="0070181E"/>
    <w:rsid w:val="007019AF"/>
    <w:rsid w:val="007019B4"/>
    <w:rsid w:val="00701A18"/>
    <w:rsid w:val="00701B15"/>
    <w:rsid w:val="00701B36"/>
    <w:rsid w:val="00701BA3"/>
    <w:rsid w:val="00701C4D"/>
    <w:rsid w:val="00701C5C"/>
    <w:rsid w:val="00701D50"/>
    <w:rsid w:val="00701E12"/>
    <w:rsid w:val="0070217F"/>
    <w:rsid w:val="00702472"/>
    <w:rsid w:val="007024AE"/>
    <w:rsid w:val="0070262E"/>
    <w:rsid w:val="00702777"/>
    <w:rsid w:val="0070298B"/>
    <w:rsid w:val="00702B4D"/>
    <w:rsid w:val="00702BE3"/>
    <w:rsid w:val="00702CD8"/>
    <w:rsid w:val="00702E00"/>
    <w:rsid w:val="00702E41"/>
    <w:rsid w:val="00702F9E"/>
    <w:rsid w:val="00702FE9"/>
    <w:rsid w:val="0070307A"/>
    <w:rsid w:val="00703154"/>
    <w:rsid w:val="00703199"/>
    <w:rsid w:val="00703269"/>
    <w:rsid w:val="00703290"/>
    <w:rsid w:val="007033B9"/>
    <w:rsid w:val="007033E5"/>
    <w:rsid w:val="00703446"/>
    <w:rsid w:val="00703715"/>
    <w:rsid w:val="007037C1"/>
    <w:rsid w:val="00703842"/>
    <w:rsid w:val="00703A33"/>
    <w:rsid w:val="00703ACD"/>
    <w:rsid w:val="00703B2D"/>
    <w:rsid w:val="00703B89"/>
    <w:rsid w:val="00703C81"/>
    <w:rsid w:val="00703CBA"/>
    <w:rsid w:val="00703D0E"/>
    <w:rsid w:val="00703EC3"/>
    <w:rsid w:val="00703EF5"/>
    <w:rsid w:val="00704077"/>
    <w:rsid w:val="00704251"/>
    <w:rsid w:val="007042BC"/>
    <w:rsid w:val="00704340"/>
    <w:rsid w:val="007043F9"/>
    <w:rsid w:val="00704669"/>
    <w:rsid w:val="0070474F"/>
    <w:rsid w:val="007047F0"/>
    <w:rsid w:val="00704A7B"/>
    <w:rsid w:val="00704BA3"/>
    <w:rsid w:val="00704C76"/>
    <w:rsid w:val="00704D52"/>
    <w:rsid w:val="00704EDA"/>
    <w:rsid w:val="00705091"/>
    <w:rsid w:val="00705099"/>
    <w:rsid w:val="0070520F"/>
    <w:rsid w:val="00705253"/>
    <w:rsid w:val="0070525E"/>
    <w:rsid w:val="007053B6"/>
    <w:rsid w:val="00705455"/>
    <w:rsid w:val="0070557B"/>
    <w:rsid w:val="0070566F"/>
    <w:rsid w:val="00705691"/>
    <w:rsid w:val="007058C2"/>
    <w:rsid w:val="00705960"/>
    <w:rsid w:val="00705AEF"/>
    <w:rsid w:val="00705C55"/>
    <w:rsid w:val="00705F20"/>
    <w:rsid w:val="00706074"/>
    <w:rsid w:val="00706094"/>
    <w:rsid w:val="007061E2"/>
    <w:rsid w:val="00706316"/>
    <w:rsid w:val="00706376"/>
    <w:rsid w:val="007063BE"/>
    <w:rsid w:val="007064DB"/>
    <w:rsid w:val="0070651C"/>
    <w:rsid w:val="00706606"/>
    <w:rsid w:val="007066BC"/>
    <w:rsid w:val="0070670A"/>
    <w:rsid w:val="0070676E"/>
    <w:rsid w:val="0070683B"/>
    <w:rsid w:val="007068EA"/>
    <w:rsid w:val="00706906"/>
    <w:rsid w:val="007069C2"/>
    <w:rsid w:val="00706B5D"/>
    <w:rsid w:val="00706BA4"/>
    <w:rsid w:val="00706C40"/>
    <w:rsid w:val="00706C58"/>
    <w:rsid w:val="00706C98"/>
    <w:rsid w:val="00706E24"/>
    <w:rsid w:val="00706E49"/>
    <w:rsid w:val="007070B0"/>
    <w:rsid w:val="0070718D"/>
    <w:rsid w:val="007074A1"/>
    <w:rsid w:val="007074F7"/>
    <w:rsid w:val="0070753D"/>
    <w:rsid w:val="007075DB"/>
    <w:rsid w:val="007076F4"/>
    <w:rsid w:val="007078BF"/>
    <w:rsid w:val="00707C4C"/>
    <w:rsid w:val="00707D17"/>
    <w:rsid w:val="00707D5F"/>
    <w:rsid w:val="00707D6E"/>
    <w:rsid w:val="00707E15"/>
    <w:rsid w:val="00707F06"/>
    <w:rsid w:val="00707FA7"/>
    <w:rsid w:val="0070B55F"/>
    <w:rsid w:val="00710298"/>
    <w:rsid w:val="00710317"/>
    <w:rsid w:val="007103D1"/>
    <w:rsid w:val="007103FC"/>
    <w:rsid w:val="00710429"/>
    <w:rsid w:val="00710522"/>
    <w:rsid w:val="00710673"/>
    <w:rsid w:val="00710718"/>
    <w:rsid w:val="0071073E"/>
    <w:rsid w:val="007108E1"/>
    <w:rsid w:val="00710955"/>
    <w:rsid w:val="007109BD"/>
    <w:rsid w:val="00710AD5"/>
    <w:rsid w:val="00710B65"/>
    <w:rsid w:val="00710C1D"/>
    <w:rsid w:val="00710C48"/>
    <w:rsid w:val="00710DDD"/>
    <w:rsid w:val="00710DE7"/>
    <w:rsid w:val="00710ED4"/>
    <w:rsid w:val="00710FB5"/>
    <w:rsid w:val="007111A9"/>
    <w:rsid w:val="00711319"/>
    <w:rsid w:val="00711428"/>
    <w:rsid w:val="007115C6"/>
    <w:rsid w:val="007116EF"/>
    <w:rsid w:val="007118AE"/>
    <w:rsid w:val="00711943"/>
    <w:rsid w:val="007119FA"/>
    <w:rsid w:val="00711AAA"/>
    <w:rsid w:val="00711DF8"/>
    <w:rsid w:val="00711E61"/>
    <w:rsid w:val="00711E83"/>
    <w:rsid w:val="00711FBB"/>
    <w:rsid w:val="00712021"/>
    <w:rsid w:val="00712058"/>
    <w:rsid w:val="0071225D"/>
    <w:rsid w:val="007123B3"/>
    <w:rsid w:val="007123E7"/>
    <w:rsid w:val="00712438"/>
    <w:rsid w:val="00712476"/>
    <w:rsid w:val="00712585"/>
    <w:rsid w:val="0071276F"/>
    <w:rsid w:val="00712879"/>
    <w:rsid w:val="00712957"/>
    <w:rsid w:val="00712A9A"/>
    <w:rsid w:val="00712AB2"/>
    <w:rsid w:val="00712AF0"/>
    <w:rsid w:val="00712D25"/>
    <w:rsid w:val="00712F30"/>
    <w:rsid w:val="00712F6C"/>
    <w:rsid w:val="00713073"/>
    <w:rsid w:val="007130F0"/>
    <w:rsid w:val="00713172"/>
    <w:rsid w:val="0071326D"/>
    <w:rsid w:val="007132B0"/>
    <w:rsid w:val="00713540"/>
    <w:rsid w:val="007136C5"/>
    <w:rsid w:val="007136DE"/>
    <w:rsid w:val="0071376A"/>
    <w:rsid w:val="0071381F"/>
    <w:rsid w:val="007138E2"/>
    <w:rsid w:val="007139B5"/>
    <w:rsid w:val="00713A18"/>
    <w:rsid w:val="00713A54"/>
    <w:rsid w:val="00713A61"/>
    <w:rsid w:val="00713E19"/>
    <w:rsid w:val="00713E41"/>
    <w:rsid w:val="00713F8F"/>
    <w:rsid w:val="00714177"/>
    <w:rsid w:val="007141B9"/>
    <w:rsid w:val="00714286"/>
    <w:rsid w:val="007142E4"/>
    <w:rsid w:val="00714345"/>
    <w:rsid w:val="0071438C"/>
    <w:rsid w:val="007143D2"/>
    <w:rsid w:val="007143D4"/>
    <w:rsid w:val="007145C7"/>
    <w:rsid w:val="007145F6"/>
    <w:rsid w:val="0071460F"/>
    <w:rsid w:val="00714675"/>
    <w:rsid w:val="00714817"/>
    <w:rsid w:val="0071492D"/>
    <w:rsid w:val="00714ABC"/>
    <w:rsid w:val="00715027"/>
    <w:rsid w:val="00715100"/>
    <w:rsid w:val="0071541F"/>
    <w:rsid w:val="0071564E"/>
    <w:rsid w:val="0071566A"/>
    <w:rsid w:val="007156CD"/>
    <w:rsid w:val="007157BD"/>
    <w:rsid w:val="007157D0"/>
    <w:rsid w:val="00715AA2"/>
    <w:rsid w:val="00715BB3"/>
    <w:rsid w:val="00715EF1"/>
    <w:rsid w:val="0071606A"/>
    <w:rsid w:val="007160C6"/>
    <w:rsid w:val="0071613C"/>
    <w:rsid w:val="00716166"/>
    <w:rsid w:val="00716197"/>
    <w:rsid w:val="007161BC"/>
    <w:rsid w:val="007161ED"/>
    <w:rsid w:val="00716205"/>
    <w:rsid w:val="00716300"/>
    <w:rsid w:val="0071636D"/>
    <w:rsid w:val="00716380"/>
    <w:rsid w:val="007163C0"/>
    <w:rsid w:val="0071641A"/>
    <w:rsid w:val="007164B0"/>
    <w:rsid w:val="007165E3"/>
    <w:rsid w:val="007167A1"/>
    <w:rsid w:val="007169A4"/>
    <w:rsid w:val="00716B45"/>
    <w:rsid w:val="00716CAB"/>
    <w:rsid w:val="00716D50"/>
    <w:rsid w:val="00716DDF"/>
    <w:rsid w:val="00716DE3"/>
    <w:rsid w:val="00716E70"/>
    <w:rsid w:val="00716EAD"/>
    <w:rsid w:val="00716FB4"/>
    <w:rsid w:val="00716FE0"/>
    <w:rsid w:val="00717174"/>
    <w:rsid w:val="007172D2"/>
    <w:rsid w:val="007172DB"/>
    <w:rsid w:val="007173B9"/>
    <w:rsid w:val="0071743B"/>
    <w:rsid w:val="00717530"/>
    <w:rsid w:val="007179D0"/>
    <w:rsid w:val="007179DD"/>
    <w:rsid w:val="00717AA2"/>
    <w:rsid w:val="00717D5D"/>
    <w:rsid w:val="00717F1D"/>
    <w:rsid w:val="00717FEB"/>
    <w:rsid w:val="00720625"/>
    <w:rsid w:val="00720AFA"/>
    <w:rsid w:val="00720B37"/>
    <w:rsid w:val="00720D29"/>
    <w:rsid w:val="00720E17"/>
    <w:rsid w:val="00720E5A"/>
    <w:rsid w:val="00720EBF"/>
    <w:rsid w:val="00720F1B"/>
    <w:rsid w:val="00720FCB"/>
    <w:rsid w:val="00720FE6"/>
    <w:rsid w:val="0072108D"/>
    <w:rsid w:val="007210D7"/>
    <w:rsid w:val="007210E1"/>
    <w:rsid w:val="00721209"/>
    <w:rsid w:val="007212EE"/>
    <w:rsid w:val="007214C6"/>
    <w:rsid w:val="0072198D"/>
    <w:rsid w:val="00721A2A"/>
    <w:rsid w:val="00721AA7"/>
    <w:rsid w:val="007220F5"/>
    <w:rsid w:val="00722259"/>
    <w:rsid w:val="0072234F"/>
    <w:rsid w:val="007225B9"/>
    <w:rsid w:val="007227E0"/>
    <w:rsid w:val="00722805"/>
    <w:rsid w:val="00722B15"/>
    <w:rsid w:val="00722B4D"/>
    <w:rsid w:val="00722B51"/>
    <w:rsid w:val="00722DD9"/>
    <w:rsid w:val="00722E71"/>
    <w:rsid w:val="00722F0B"/>
    <w:rsid w:val="00722F85"/>
    <w:rsid w:val="00723067"/>
    <w:rsid w:val="0072320D"/>
    <w:rsid w:val="007232D1"/>
    <w:rsid w:val="007232E9"/>
    <w:rsid w:val="007235FE"/>
    <w:rsid w:val="0072363D"/>
    <w:rsid w:val="0072383D"/>
    <w:rsid w:val="0072389E"/>
    <w:rsid w:val="007239CF"/>
    <w:rsid w:val="007239DA"/>
    <w:rsid w:val="00723CC6"/>
    <w:rsid w:val="00723D56"/>
    <w:rsid w:val="00723EFC"/>
    <w:rsid w:val="00723F3B"/>
    <w:rsid w:val="007240C3"/>
    <w:rsid w:val="00724404"/>
    <w:rsid w:val="007244F3"/>
    <w:rsid w:val="0072463F"/>
    <w:rsid w:val="007246D8"/>
    <w:rsid w:val="007247F2"/>
    <w:rsid w:val="0072480F"/>
    <w:rsid w:val="00724826"/>
    <w:rsid w:val="0072495F"/>
    <w:rsid w:val="00724B43"/>
    <w:rsid w:val="00724B5F"/>
    <w:rsid w:val="00724BE0"/>
    <w:rsid w:val="00724E4D"/>
    <w:rsid w:val="00724EF6"/>
    <w:rsid w:val="007250E9"/>
    <w:rsid w:val="007253AA"/>
    <w:rsid w:val="0072544E"/>
    <w:rsid w:val="00725523"/>
    <w:rsid w:val="007255B1"/>
    <w:rsid w:val="007256E5"/>
    <w:rsid w:val="007258ED"/>
    <w:rsid w:val="00725956"/>
    <w:rsid w:val="00725AC3"/>
    <w:rsid w:val="00725AEF"/>
    <w:rsid w:val="00725B04"/>
    <w:rsid w:val="00725CE0"/>
    <w:rsid w:val="00725DF2"/>
    <w:rsid w:val="0072601E"/>
    <w:rsid w:val="007260D2"/>
    <w:rsid w:val="0072635B"/>
    <w:rsid w:val="007263DB"/>
    <w:rsid w:val="007264EB"/>
    <w:rsid w:val="007265C8"/>
    <w:rsid w:val="0072669A"/>
    <w:rsid w:val="0072679B"/>
    <w:rsid w:val="007267F8"/>
    <w:rsid w:val="00726901"/>
    <w:rsid w:val="00726A5F"/>
    <w:rsid w:val="00726AF6"/>
    <w:rsid w:val="00726C5B"/>
    <w:rsid w:val="00726DB8"/>
    <w:rsid w:val="00726EF1"/>
    <w:rsid w:val="00726F17"/>
    <w:rsid w:val="00727002"/>
    <w:rsid w:val="0072716D"/>
    <w:rsid w:val="007271E0"/>
    <w:rsid w:val="0072725B"/>
    <w:rsid w:val="007273A9"/>
    <w:rsid w:val="007274D4"/>
    <w:rsid w:val="007274FB"/>
    <w:rsid w:val="007277D9"/>
    <w:rsid w:val="00727A46"/>
    <w:rsid w:val="00727B64"/>
    <w:rsid w:val="00727CA1"/>
    <w:rsid w:val="00727E31"/>
    <w:rsid w:val="00727F3E"/>
    <w:rsid w:val="0073012E"/>
    <w:rsid w:val="0073048A"/>
    <w:rsid w:val="0073049E"/>
    <w:rsid w:val="007304D7"/>
    <w:rsid w:val="0073052F"/>
    <w:rsid w:val="007308B2"/>
    <w:rsid w:val="00730903"/>
    <w:rsid w:val="0073098A"/>
    <w:rsid w:val="00730B49"/>
    <w:rsid w:val="00730C06"/>
    <w:rsid w:val="00730D12"/>
    <w:rsid w:val="00730E1C"/>
    <w:rsid w:val="00730E5B"/>
    <w:rsid w:val="00730E8C"/>
    <w:rsid w:val="00730EA3"/>
    <w:rsid w:val="00730F12"/>
    <w:rsid w:val="0073137B"/>
    <w:rsid w:val="007313BD"/>
    <w:rsid w:val="00731444"/>
    <w:rsid w:val="0073155A"/>
    <w:rsid w:val="007316BB"/>
    <w:rsid w:val="00731715"/>
    <w:rsid w:val="0073177E"/>
    <w:rsid w:val="007318F1"/>
    <w:rsid w:val="00731B53"/>
    <w:rsid w:val="00731C21"/>
    <w:rsid w:val="00731E42"/>
    <w:rsid w:val="00731FF6"/>
    <w:rsid w:val="007322FD"/>
    <w:rsid w:val="0073248B"/>
    <w:rsid w:val="00732542"/>
    <w:rsid w:val="007325D6"/>
    <w:rsid w:val="0073271D"/>
    <w:rsid w:val="007327DC"/>
    <w:rsid w:val="0073287D"/>
    <w:rsid w:val="0073292E"/>
    <w:rsid w:val="0073297C"/>
    <w:rsid w:val="007329FA"/>
    <w:rsid w:val="00732A6D"/>
    <w:rsid w:val="00732EEB"/>
    <w:rsid w:val="007332B2"/>
    <w:rsid w:val="00733350"/>
    <w:rsid w:val="007336AF"/>
    <w:rsid w:val="00733B35"/>
    <w:rsid w:val="00733CEE"/>
    <w:rsid w:val="00733EC1"/>
    <w:rsid w:val="00734190"/>
    <w:rsid w:val="00734213"/>
    <w:rsid w:val="007342CD"/>
    <w:rsid w:val="00734324"/>
    <w:rsid w:val="00734337"/>
    <w:rsid w:val="007343A3"/>
    <w:rsid w:val="007343C9"/>
    <w:rsid w:val="00734449"/>
    <w:rsid w:val="007345BF"/>
    <w:rsid w:val="007346A1"/>
    <w:rsid w:val="00734776"/>
    <w:rsid w:val="00734987"/>
    <w:rsid w:val="00734A71"/>
    <w:rsid w:val="00734D89"/>
    <w:rsid w:val="00734E01"/>
    <w:rsid w:val="00734E16"/>
    <w:rsid w:val="0073501D"/>
    <w:rsid w:val="007353E8"/>
    <w:rsid w:val="00735721"/>
    <w:rsid w:val="00735796"/>
    <w:rsid w:val="00735897"/>
    <w:rsid w:val="007358DD"/>
    <w:rsid w:val="00735912"/>
    <w:rsid w:val="00735966"/>
    <w:rsid w:val="00735983"/>
    <w:rsid w:val="00735AF2"/>
    <w:rsid w:val="00735B09"/>
    <w:rsid w:val="00735D52"/>
    <w:rsid w:val="00735D79"/>
    <w:rsid w:val="00735E30"/>
    <w:rsid w:val="00735F41"/>
    <w:rsid w:val="00735F76"/>
    <w:rsid w:val="0073608D"/>
    <w:rsid w:val="007360D0"/>
    <w:rsid w:val="007361C8"/>
    <w:rsid w:val="007367F9"/>
    <w:rsid w:val="0073688F"/>
    <w:rsid w:val="00736C03"/>
    <w:rsid w:val="00736C3F"/>
    <w:rsid w:val="00736D96"/>
    <w:rsid w:val="00736DD6"/>
    <w:rsid w:val="00736EFC"/>
    <w:rsid w:val="00736F46"/>
    <w:rsid w:val="0073701A"/>
    <w:rsid w:val="00737143"/>
    <w:rsid w:val="007371F3"/>
    <w:rsid w:val="0073725A"/>
    <w:rsid w:val="00737281"/>
    <w:rsid w:val="0073730E"/>
    <w:rsid w:val="0073732E"/>
    <w:rsid w:val="007373E5"/>
    <w:rsid w:val="00737548"/>
    <w:rsid w:val="00737585"/>
    <w:rsid w:val="0073767F"/>
    <w:rsid w:val="00737728"/>
    <w:rsid w:val="007377D2"/>
    <w:rsid w:val="0073783A"/>
    <w:rsid w:val="0073785A"/>
    <w:rsid w:val="00737874"/>
    <w:rsid w:val="0073793E"/>
    <w:rsid w:val="007379D3"/>
    <w:rsid w:val="00737BD5"/>
    <w:rsid w:val="00737EC9"/>
    <w:rsid w:val="00737FBA"/>
    <w:rsid w:val="00737FF7"/>
    <w:rsid w:val="007400F5"/>
    <w:rsid w:val="00740144"/>
    <w:rsid w:val="00740169"/>
    <w:rsid w:val="00740220"/>
    <w:rsid w:val="00740224"/>
    <w:rsid w:val="0074032B"/>
    <w:rsid w:val="007403BD"/>
    <w:rsid w:val="007404EC"/>
    <w:rsid w:val="007404F4"/>
    <w:rsid w:val="00740683"/>
    <w:rsid w:val="00740907"/>
    <w:rsid w:val="00740C6C"/>
    <w:rsid w:val="00740C93"/>
    <w:rsid w:val="00740E5B"/>
    <w:rsid w:val="00740EC4"/>
    <w:rsid w:val="00741085"/>
    <w:rsid w:val="007410C0"/>
    <w:rsid w:val="007412B2"/>
    <w:rsid w:val="007412D8"/>
    <w:rsid w:val="007412EE"/>
    <w:rsid w:val="0074135B"/>
    <w:rsid w:val="007414BE"/>
    <w:rsid w:val="007415F7"/>
    <w:rsid w:val="0074178F"/>
    <w:rsid w:val="00741931"/>
    <w:rsid w:val="00741988"/>
    <w:rsid w:val="00741A6B"/>
    <w:rsid w:val="00741AB0"/>
    <w:rsid w:val="00741C7E"/>
    <w:rsid w:val="00741E11"/>
    <w:rsid w:val="00741E61"/>
    <w:rsid w:val="00741F16"/>
    <w:rsid w:val="00741F68"/>
    <w:rsid w:val="00741F99"/>
    <w:rsid w:val="0074225B"/>
    <w:rsid w:val="007423A0"/>
    <w:rsid w:val="007425DC"/>
    <w:rsid w:val="007425E1"/>
    <w:rsid w:val="00742661"/>
    <w:rsid w:val="00742673"/>
    <w:rsid w:val="00742992"/>
    <w:rsid w:val="00742A77"/>
    <w:rsid w:val="00742ECE"/>
    <w:rsid w:val="0074305C"/>
    <w:rsid w:val="007430ED"/>
    <w:rsid w:val="0074322F"/>
    <w:rsid w:val="00743347"/>
    <w:rsid w:val="007434AA"/>
    <w:rsid w:val="0074368F"/>
    <w:rsid w:val="0074370F"/>
    <w:rsid w:val="00743897"/>
    <w:rsid w:val="0074389C"/>
    <w:rsid w:val="00743905"/>
    <w:rsid w:val="00743BAA"/>
    <w:rsid w:val="00743C78"/>
    <w:rsid w:val="00743E69"/>
    <w:rsid w:val="00744048"/>
    <w:rsid w:val="007441D7"/>
    <w:rsid w:val="00744227"/>
    <w:rsid w:val="00744513"/>
    <w:rsid w:val="007445D1"/>
    <w:rsid w:val="0074463E"/>
    <w:rsid w:val="0074484D"/>
    <w:rsid w:val="007448B1"/>
    <w:rsid w:val="007448B7"/>
    <w:rsid w:val="007448DE"/>
    <w:rsid w:val="00744BCF"/>
    <w:rsid w:val="00744D5B"/>
    <w:rsid w:val="00744DD6"/>
    <w:rsid w:val="00744E1A"/>
    <w:rsid w:val="00745029"/>
    <w:rsid w:val="007450B8"/>
    <w:rsid w:val="00745154"/>
    <w:rsid w:val="007452B3"/>
    <w:rsid w:val="00745378"/>
    <w:rsid w:val="00745544"/>
    <w:rsid w:val="007456BE"/>
    <w:rsid w:val="00745793"/>
    <w:rsid w:val="0074594F"/>
    <w:rsid w:val="007459C9"/>
    <w:rsid w:val="00745CAE"/>
    <w:rsid w:val="00745D0F"/>
    <w:rsid w:val="00745EBA"/>
    <w:rsid w:val="00745F0B"/>
    <w:rsid w:val="007461BC"/>
    <w:rsid w:val="007462A8"/>
    <w:rsid w:val="007465B0"/>
    <w:rsid w:val="007465C9"/>
    <w:rsid w:val="007467EC"/>
    <w:rsid w:val="007467FF"/>
    <w:rsid w:val="007468CD"/>
    <w:rsid w:val="00746975"/>
    <w:rsid w:val="00746A3E"/>
    <w:rsid w:val="00746A65"/>
    <w:rsid w:val="00746A8C"/>
    <w:rsid w:val="00746B9C"/>
    <w:rsid w:val="00746C01"/>
    <w:rsid w:val="00746C09"/>
    <w:rsid w:val="00746D66"/>
    <w:rsid w:val="00746E28"/>
    <w:rsid w:val="00746EE7"/>
    <w:rsid w:val="0074711D"/>
    <w:rsid w:val="007472FF"/>
    <w:rsid w:val="00747421"/>
    <w:rsid w:val="0074749C"/>
    <w:rsid w:val="007474BC"/>
    <w:rsid w:val="007474FC"/>
    <w:rsid w:val="007475FD"/>
    <w:rsid w:val="007476C3"/>
    <w:rsid w:val="007478DA"/>
    <w:rsid w:val="00747A21"/>
    <w:rsid w:val="00747A99"/>
    <w:rsid w:val="00747B64"/>
    <w:rsid w:val="00747C22"/>
    <w:rsid w:val="00747C30"/>
    <w:rsid w:val="00750153"/>
    <w:rsid w:val="007501BD"/>
    <w:rsid w:val="0075020E"/>
    <w:rsid w:val="0075021D"/>
    <w:rsid w:val="007502A9"/>
    <w:rsid w:val="007502C3"/>
    <w:rsid w:val="007504B2"/>
    <w:rsid w:val="007504E1"/>
    <w:rsid w:val="00750750"/>
    <w:rsid w:val="007508BC"/>
    <w:rsid w:val="00750A4F"/>
    <w:rsid w:val="00750BBA"/>
    <w:rsid w:val="00750D11"/>
    <w:rsid w:val="00750FB1"/>
    <w:rsid w:val="00751302"/>
    <w:rsid w:val="00751406"/>
    <w:rsid w:val="00751452"/>
    <w:rsid w:val="007515BA"/>
    <w:rsid w:val="007515C4"/>
    <w:rsid w:val="00751835"/>
    <w:rsid w:val="00751B1C"/>
    <w:rsid w:val="0075204B"/>
    <w:rsid w:val="00752629"/>
    <w:rsid w:val="007528D1"/>
    <w:rsid w:val="00752A81"/>
    <w:rsid w:val="00752AD9"/>
    <w:rsid w:val="00752AEF"/>
    <w:rsid w:val="00752C15"/>
    <w:rsid w:val="00752C16"/>
    <w:rsid w:val="00752CDD"/>
    <w:rsid w:val="00752CEC"/>
    <w:rsid w:val="007530AB"/>
    <w:rsid w:val="0075314A"/>
    <w:rsid w:val="007531A2"/>
    <w:rsid w:val="0075334A"/>
    <w:rsid w:val="00753419"/>
    <w:rsid w:val="00753465"/>
    <w:rsid w:val="007534F0"/>
    <w:rsid w:val="007535BF"/>
    <w:rsid w:val="007536C4"/>
    <w:rsid w:val="007536FD"/>
    <w:rsid w:val="00753899"/>
    <w:rsid w:val="007539BC"/>
    <w:rsid w:val="00753B67"/>
    <w:rsid w:val="00753FEC"/>
    <w:rsid w:val="0075411A"/>
    <w:rsid w:val="007541BD"/>
    <w:rsid w:val="007541C3"/>
    <w:rsid w:val="00754445"/>
    <w:rsid w:val="0075445D"/>
    <w:rsid w:val="007545A3"/>
    <w:rsid w:val="007545E6"/>
    <w:rsid w:val="007545EB"/>
    <w:rsid w:val="007546BC"/>
    <w:rsid w:val="00754787"/>
    <w:rsid w:val="007547EF"/>
    <w:rsid w:val="007548A7"/>
    <w:rsid w:val="007548BD"/>
    <w:rsid w:val="007548DA"/>
    <w:rsid w:val="007548FC"/>
    <w:rsid w:val="00755076"/>
    <w:rsid w:val="007550D6"/>
    <w:rsid w:val="007551AC"/>
    <w:rsid w:val="007551FD"/>
    <w:rsid w:val="00755277"/>
    <w:rsid w:val="007553AA"/>
    <w:rsid w:val="00755461"/>
    <w:rsid w:val="007555A2"/>
    <w:rsid w:val="007555EA"/>
    <w:rsid w:val="007557A4"/>
    <w:rsid w:val="007557E8"/>
    <w:rsid w:val="00755B82"/>
    <w:rsid w:val="00755CC4"/>
    <w:rsid w:val="00755CFC"/>
    <w:rsid w:val="00755D3B"/>
    <w:rsid w:val="00755D52"/>
    <w:rsid w:val="00755E06"/>
    <w:rsid w:val="00755EBE"/>
    <w:rsid w:val="00755FB2"/>
    <w:rsid w:val="00756064"/>
    <w:rsid w:val="00756106"/>
    <w:rsid w:val="007564E0"/>
    <w:rsid w:val="0075658C"/>
    <w:rsid w:val="0075660E"/>
    <w:rsid w:val="007566F3"/>
    <w:rsid w:val="007569EC"/>
    <w:rsid w:val="00756AAD"/>
    <w:rsid w:val="00756BA8"/>
    <w:rsid w:val="00756DE5"/>
    <w:rsid w:val="00756E22"/>
    <w:rsid w:val="00756FD4"/>
    <w:rsid w:val="00756FFD"/>
    <w:rsid w:val="00757379"/>
    <w:rsid w:val="00757410"/>
    <w:rsid w:val="00757501"/>
    <w:rsid w:val="00757541"/>
    <w:rsid w:val="00757603"/>
    <w:rsid w:val="007576C9"/>
    <w:rsid w:val="00757785"/>
    <w:rsid w:val="0075782E"/>
    <w:rsid w:val="00757893"/>
    <w:rsid w:val="00757897"/>
    <w:rsid w:val="0075792B"/>
    <w:rsid w:val="0075797D"/>
    <w:rsid w:val="00757B27"/>
    <w:rsid w:val="00757B29"/>
    <w:rsid w:val="00757EBC"/>
    <w:rsid w:val="00757F3E"/>
    <w:rsid w:val="00757F79"/>
    <w:rsid w:val="0076047B"/>
    <w:rsid w:val="007604AE"/>
    <w:rsid w:val="00760576"/>
    <w:rsid w:val="00760577"/>
    <w:rsid w:val="00760593"/>
    <w:rsid w:val="00760629"/>
    <w:rsid w:val="00760684"/>
    <w:rsid w:val="00760803"/>
    <w:rsid w:val="0076098A"/>
    <w:rsid w:val="007609B0"/>
    <w:rsid w:val="00760CE6"/>
    <w:rsid w:val="00760CF9"/>
    <w:rsid w:val="00760E88"/>
    <w:rsid w:val="00760ED6"/>
    <w:rsid w:val="00761038"/>
    <w:rsid w:val="007610A0"/>
    <w:rsid w:val="007610AC"/>
    <w:rsid w:val="007611FD"/>
    <w:rsid w:val="00761569"/>
    <w:rsid w:val="007615FF"/>
    <w:rsid w:val="00761637"/>
    <w:rsid w:val="007617CC"/>
    <w:rsid w:val="007618EE"/>
    <w:rsid w:val="0076199B"/>
    <w:rsid w:val="00761A2E"/>
    <w:rsid w:val="00761A65"/>
    <w:rsid w:val="00761C2E"/>
    <w:rsid w:val="00761F76"/>
    <w:rsid w:val="00761FC3"/>
    <w:rsid w:val="007623A1"/>
    <w:rsid w:val="007624E8"/>
    <w:rsid w:val="00762694"/>
    <w:rsid w:val="007626B3"/>
    <w:rsid w:val="007627D2"/>
    <w:rsid w:val="007628C1"/>
    <w:rsid w:val="007628DC"/>
    <w:rsid w:val="00762A3D"/>
    <w:rsid w:val="00762D40"/>
    <w:rsid w:val="0076303D"/>
    <w:rsid w:val="007630C5"/>
    <w:rsid w:val="00763166"/>
    <w:rsid w:val="00763173"/>
    <w:rsid w:val="00763218"/>
    <w:rsid w:val="007632C8"/>
    <w:rsid w:val="007633A0"/>
    <w:rsid w:val="007633D0"/>
    <w:rsid w:val="0076344E"/>
    <w:rsid w:val="00763617"/>
    <w:rsid w:val="00763698"/>
    <w:rsid w:val="00763749"/>
    <w:rsid w:val="00763774"/>
    <w:rsid w:val="007637DC"/>
    <w:rsid w:val="00763845"/>
    <w:rsid w:val="00763873"/>
    <w:rsid w:val="0076387F"/>
    <w:rsid w:val="0076394A"/>
    <w:rsid w:val="0076394C"/>
    <w:rsid w:val="007639B0"/>
    <w:rsid w:val="00763B0D"/>
    <w:rsid w:val="00763B48"/>
    <w:rsid w:val="00763D7F"/>
    <w:rsid w:val="00763EE2"/>
    <w:rsid w:val="00763F2E"/>
    <w:rsid w:val="00763FAB"/>
    <w:rsid w:val="0076404E"/>
    <w:rsid w:val="007647CF"/>
    <w:rsid w:val="00764853"/>
    <w:rsid w:val="00764A6C"/>
    <w:rsid w:val="00764A75"/>
    <w:rsid w:val="00764B19"/>
    <w:rsid w:val="00764C2D"/>
    <w:rsid w:val="00764D64"/>
    <w:rsid w:val="007650C8"/>
    <w:rsid w:val="0076518F"/>
    <w:rsid w:val="00765191"/>
    <w:rsid w:val="007651CF"/>
    <w:rsid w:val="007651DC"/>
    <w:rsid w:val="007653CB"/>
    <w:rsid w:val="00765564"/>
    <w:rsid w:val="00765570"/>
    <w:rsid w:val="007657FB"/>
    <w:rsid w:val="007658BB"/>
    <w:rsid w:val="00765911"/>
    <w:rsid w:val="007659D9"/>
    <w:rsid w:val="00765ACB"/>
    <w:rsid w:val="00765BA5"/>
    <w:rsid w:val="00765BE8"/>
    <w:rsid w:val="00765C18"/>
    <w:rsid w:val="00765C31"/>
    <w:rsid w:val="00765C93"/>
    <w:rsid w:val="00765D0B"/>
    <w:rsid w:val="00765EEA"/>
    <w:rsid w:val="00766112"/>
    <w:rsid w:val="00766152"/>
    <w:rsid w:val="00766168"/>
    <w:rsid w:val="0076616B"/>
    <w:rsid w:val="00766308"/>
    <w:rsid w:val="0076638A"/>
    <w:rsid w:val="0076648E"/>
    <w:rsid w:val="0076660F"/>
    <w:rsid w:val="0076667D"/>
    <w:rsid w:val="00766AC1"/>
    <w:rsid w:val="00766B16"/>
    <w:rsid w:val="00766D86"/>
    <w:rsid w:val="00766EBB"/>
    <w:rsid w:val="00766F0E"/>
    <w:rsid w:val="00766FB2"/>
    <w:rsid w:val="00766FD9"/>
    <w:rsid w:val="0076700F"/>
    <w:rsid w:val="00767051"/>
    <w:rsid w:val="00767067"/>
    <w:rsid w:val="00767102"/>
    <w:rsid w:val="0076719A"/>
    <w:rsid w:val="0076733A"/>
    <w:rsid w:val="0076743D"/>
    <w:rsid w:val="00767459"/>
    <w:rsid w:val="007675BB"/>
    <w:rsid w:val="0076796D"/>
    <w:rsid w:val="00767974"/>
    <w:rsid w:val="007679A3"/>
    <w:rsid w:val="00767B22"/>
    <w:rsid w:val="00767B89"/>
    <w:rsid w:val="0077018D"/>
    <w:rsid w:val="00770385"/>
    <w:rsid w:val="00770416"/>
    <w:rsid w:val="0077042E"/>
    <w:rsid w:val="00770607"/>
    <w:rsid w:val="0077087B"/>
    <w:rsid w:val="00770B86"/>
    <w:rsid w:val="00770D2A"/>
    <w:rsid w:val="00770DEF"/>
    <w:rsid w:val="00770E39"/>
    <w:rsid w:val="00770E44"/>
    <w:rsid w:val="00770F03"/>
    <w:rsid w:val="00770F58"/>
    <w:rsid w:val="00770FA2"/>
    <w:rsid w:val="0077105E"/>
    <w:rsid w:val="00771288"/>
    <w:rsid w:val="0077129A"/>
    <w:rsid w:val="00771446"/>
    <w:rsid w:val="007714D4"/>
    <w:rsid w:val="00771511"/>
    <w:rsid w:val="0077157B"/>
    <w:rsid w:val="007715D3"/>
    <w:rsid w:val="00771610"/>
    <w:rsid w:val="0077162C"/>
    <w:rsid w:val="00771665"/>
    <w:rsid w:val="00771A1F"/>
    <w:rsid w:val="00771C93"/>
    <w:rsid w:val="00771D71"/>
    <w:rsid w:val="00771E07"/>
    <w:rsid w:val="00771E79"/>
    <w:rsid w:val="00771FAF"/>
    <w:rsid w:val="00772194"/>
    <w:rsid w:val="007722B6"/>
    <w:rsid w:val="007722D8"/>
    <w:rsid w:val="007724D6"/>
    <w:rsid w:val="0077253E"/>
    <w:rsid w:val="00772801"/>
    <w:rsid w:val="00772802"/>
    <w:rsid w:val="00772899"/>
    <w:rsid w:val="0077289C"/>
    <w:rsid w:val="007728EE"/>
    <w:rsid w:val="0077290C"/>
    <w:rsid w:val="00772C22"/>
    <w:rsid w:val="00772DA0"/>
    <w:rsid w:val="00772F67"/>
    <w:rsid w:val="007732AA"/>
    <w:rsid w:val="00773307"/>
    <w:rsid w:val="00773346"/>
    <w:rsid w:val="00773434"/>
    <w:rsid w:val="00773571"/>
    <w:rsid w:val="0077361A"/>
    <w:rsid w:val="00773690"/>
    <w:rsid w:val="00773799"/>
    <w:rsid w:val="007738B6"/>
    <w:rsid w:val="00773939"/>
    <w:rsid w:val="00773D73"/>
    <w:rsid w:val="00774265"/>
    <w:rsid w:val="007743F5"/>
    <w:rsid w:val="00774772"/>
    <w:rsid w:val="00774C7C"/>
    <w:rsid w:val="00774CF5"/>
    <w:rsid w:val="00774F07"/>
    <w:rsid w:val="00774F4E"/>
    <w:rsid w:val="0077504E"/>
    <w:rsid w:val="007750B6"/>
    <w:rsid w:val="00775131"/>
    <w:rsid w:val="0077526A"/>
    <w:rsid w:val="00775399"/>
    <w:rsid w:val="007753A1"/>
    <w:rsid w:val="0077548A"/>
    <w:rsid w:val="00775569"/>
    <w:rsid w:val="007757D4"/>
    <w:rsid w:val="007757EC"/>
    <w:rsid w:val="00775E17"/>
    <w:rsid w:val="00775E27"/>
    <w:rsid w:val="00775F1E"/>
    <w:rsid w:val="00775F49"/>
    <w:rsid w:val="00775F62"/>
    <w:rsid w:val="0077603F"/>
    <w:rsid w:val="007760F2"/>
    <w:rsid w:val="007760F8"/>
    <w:rsid w:val="0077623E"/>
    <w:rsid w:val="007762D0"/>
    <w:rsid w:val="0077630D"/>
    <w:rsid w:val="00776618"/>
    <w:rsid w:val="0077671B"/>
    <w:rsid w:val="00776871"/>
    <w:rsid w:val="007769E8"/>
    <w:rsid w:val="007769FC"/>
    <w:rsid w:val="00776B0E"/>
    <w:rsid w:val="00776C00"/>
    <w:rsid w:val="00776D24"/>
    <w:rsid w:val="00776F02"/>
    <w:rsid w:val="00777053"/>
    <w:rsid w:val="007770C5"/>
    <w:rsid w:val="00777140"/>
    <w:rsid w:val="007771A7"/>
    <w:rsid w:val="00777319"/>
    <w:rsid w:val="007773CC"/>
    <w:rsid w:val="00777500"/>
    <w:rsid w:val="007776A5"/>
    <w:rsid w:val="007776E1"/>
    <w:rsid w:val="007777C2"/>
    <w:rsid w:val="00777A2B"/>
    <w:rsid w:val="00777BED"/>
    <w:rsid w:val="00777F9A"/>
    <w:rsid w:val="00780005"/>
    <w:rsid w:val="007802AB"/>
    <w:rsid w:val="0078036B"/>
    <w:rsid w:val="0078076D"/>
    <w:rsid w:val="00780787"/>
    <w:rsid w:val="00780896"/>
    <w:rsid w:val="0078095A"/>
    <w:rsid w:val="00780BF4"/>
    <w:rsid w:val="00780D55"/>
    <w:rsid w:val="00780DBD"/>
    <w:rsid w:val="00780E6A"/>
    <w:rsid w:val="00781086"/>
    <w:rsid w:val="007810F7"/>
    <w:rsid w:val="007811D5"/>
    <w:rsid w:val="007813EA"/>
    <w:rsid w:val="00781461"/>
    <w:rsid w:val="00781523"/>
    <w:rsid w:val="007815BA"/>
    <w:rsid w:val="00781758"/>
    <w:rsid w:val="00781788"/>
    <w:rsid w:val="007817C7"/>
    <w:rsid w:val="0078197C"/>
    <w:rsid w:val="00781A8A"/>
    <w:rsid w:val="00781BD5"/>
    <w:rsid w:val="00781CE2"/>
    <w:rsid w:val="00781D10"/>
    <w:rsid w:val="00781DDE"/>
    <w:rsid w:val="00781F65"/>
    <w:rsid w:val="00781F95"/>
    <w:rsid w:val="007822F5"/>
    <w:rsid w:val="0078236A"/>
    <w:rsid w:val="007827E5"/>
    <w:rsid w:val="00782940"/>
    <w:rsid w:val="0078296F"/>
    <w:rsid w:val="00782A5D"/>
    <w:rsid w:val="00782B08"/>
    <w:rsid w:val="00782C84"/>
    <w:rsid w:val="00782E37"/>
    <w:rsid w:val="00782ECB"/>
    <w:rsid w:val="00782F30"/>
    <w:rsid w:val="0078300F"/>
    <w:rsid w:val="00783027"/>
    <w:rsid w:val="0078315A"/>
    <w:rsid w:val="0078319D"/>
    <w:rsid w:val="007831B8"/>
    <w:rsid w:val="00783445"/>
    <w:rsid w:val="007834A1"/>
    <w:rsid w:val="0078351F"/>
    <w:rsid w:val="0078355F"/>
    <w:rsid w:val="00783583"/>
    <w:rsid w:val="00783681"/>
    <w:rsid w:val="007836F6"/>
    <w:rsid w:val="00783736"/>
    <w:rsid w:val="007839B6"/>
    <w:rsid w:val="00783A9A"/>
    <w:rsid w:val="00783C0D"/>
    <w:rsid w:val="00783CCB"/>
    <w:rsid w:val="00783EC2"/>
    <w:rsid w:val="00783ED5"/>
    <w:rsid w:val="0078405C"/>
    <w:rsid w:val="00784154"/>
    <w:rsid w:val="00784192"/>
    <w:rsid w:val="007841CB"/>
    <w:rsid w:val="0078420E"/>
    <w:rsid w:val="0078429E"/>
    <w:rsid w:val="00784325"/>
    <w:rsid w:val="00784428"/>
    <w:rsid w:val="00784670"/>
    <w:rsid w:val="00784727"/>
    <w:rsid w:val="00784755"/>
    <w:rsid w:val="0078492E"/>
    <w:rsid w:val="0078495C"/>
    <w:rsid w:val="00784D9F"/>
    <w:rsid w:val="00784E24"/>
    <w:rsid w:val="00784EB9"/>
    <w:rsid w:val="00784EE1"/>
    <w:rsid w:val="00784FF7"/>
    <w:rsid w:val="007850F2"/>
    <w:rsid w:val="007853A3"/>
    <w:rsid w:val="007854A3"/>
    <w:rsid w:val="007854B4"/>
    <w:rsid w:val="007855FC"/>
    <w:rsid w:val="00785836"/>
    <w:rsid w:val="00785BED"/>
    <w:rsid w:val="00785C47"/>
    <w:rsid w:val="00785D79"/>
    <w:rsid w:val="00785D99"/>
    <w:rsid w:val="00785F20"/>
    <w:rsid w:val="00785FD4"/>
    <w:rsid w:val="007861A9"/>
    <w:rsid w:val="0078622C"/>
    <w:rsid w:val="00786368"/>
    <w:rsid w:val="00786379"/>
    <w:rsid w:val="00786438"/>
    <w:rsid w:val="00786798"/>
    <w:rsid w:val="007867F4"/>
    <w:rsid w:val="00786839"/>
    <w:rsid w:val="00786944"/>
    <w:rsid w:val="00786C2C"/>
    <w:rsid w:val="00786C48"/>
    <w:rsid w:val="00786C75"/>
    <w:rsid w:val="00786D61"/>
    <w:rsid w:val="00786ECA"/>
    <w:rsid w:val="007870EF"/>
    <w:rsid w:val="0078725B"/>
    <w:rsid w:val="00787330"/>
    <w:rsid w:val="00787343"/>
    <w:rsid w:val="007873A7"/>
    <w:rsid w:val="00787405"/>
    <w:rsid w:val="00787422"/>
    <w:rsid w:val="00787541"/>
    <w:rsid w:val="0078758F"/>
    <w:rsid w:val="00787664"/>
    <w:rsid w:val="00787788"/>
    <w:rsid w:val="0078790D"/>
    <w:rsid w:val="007879D4"/>
    <w:rsid w:val="00787A10"/>
    <w:rsid w:val="00787B91"/>
    <w:rsid w:val="00787C29"/>
    <w:rsid w:val="00787E40"/>
    <w:rsid w:val="00787ED1"/>
    <w:rsid w:val="00787F1C"/>
    <w:rsid w:val="00790124"/>
    <w:rsid w:val="00790132"/>
    <w:rsid w:val="00790169"/>
    <w:rsid w:val="00790248"/>
    <w:rsid w:val="0079038A"/>
    <w:rsid w:val="0079058F"/>
    <w:rsid w:val="007906B7"/>
    <w:rsid w:val="00790705"/>
    <w:rsid w:val="00790771"/>
    <w:rsid w:val="00790817"/>
    <w:rsid w:val="0079097C"/>
    <w:rsid w:val="007909D7"/>
    <w:rsid w:val="00790D7F"/>
    <w:rsid w:val="00790DC3"/>
    <w:rsid w:val="00790FE0"/>
    <w:rsid w:val="00791161"/>
    <w:rsid w:val="00791245"/>
    <w:rsid w:val="007913AB"/>
    <w:rsid w:val="007914DE"/>
    <w:rsid w:val="007915B4"/>
    <w:rsid w:val="00791654"/>
    <w:rsid w:val="0079166E"/>
    <w:rsid w:val="00791759"/>
    <w:rsid w:val="007918BC"/>
    <w:rsid w:val="00791992"/>
    <w:rsid w:val="00791C50"/>
    <w:rsid w:val="00791C89"/>
    <w:rsid w:val="00791DC5"/>
    <w:rsid w:val="00791FD1"/>
    <w:rsid w:val="00791FE0"/>
    <w:rsid w:val="00792215"/>
    <w:rsid w:val="00792216"/>
    <w:rsid w:val="0079223D"/>
    <w:rsid w:val="007922DE"/>
    <w:rsid w:val="007924A1"/>
    <w:rsid w:val="007925CA"/>
    <w:rsid w:val="00792683"/>
    <w:rsid w:val="00792863"/>
    <w:rsid w:val="00792D17"/>
    <w:rsid w:val="00792E8E"/>
    <w:rsid w:val="00792EEE"/>
    <w:rsid w:val="00792FA4"/>
    <w:rsid w:val="007931E4"/>
    <w:rsid w:val="00793200"/>
    <w:rsid w:val="00793251"/>
    <w:rsid w:val="00793396"/>
    <w:rsid w:val="00793474"/>
    <w:rsid w:val="0079348D"/>
    <w:rsid w:val="007934C9"/>
    <w:rsid w:val="00793655"/>
    <w:rsid w:val="00793766"/>
    <w:rsid w:val="00793786"/>
    <w:rsid w:val="00793A11"/>
    <w:rsid w:val="00793E76"/>
    <w:rsid w:val="00793EC0"/>
    <w:rsid w:val="00794046"/>
    <w:rsid w:val="0079412B"/>
    <w:rsid w:val="00794147"/>
    <w:rsid w:val="0079415D"/>
    <w:rsid w:val="0079426E"/>
    <w:rsid w:val="00794360"/>
    <w:rsid w:val="00794476"/>
    <w:rsid w:val="00794477"/>
    <w:rsid w:val="007944E7"/>
    <w:rsid w:val="00794575"/>
    <w:rsid w:val="007945B0"/>
    <w:rsid w:val="0079461A"/>
    <w:rsid w:val="007947FB"/>
    <w:rsid w:val="00794AA0"/>
    <w:rsid w:val="00794BA3"/>
    <w:rsid w:val="00794C12"/>
    <w:rsid w:val="00794C46"/>
    <w:rsid w:val="00794C5D"/>
    <w:rsid w:val="00794CA9"/>
    <w:rsid w:val="00794F04"/>
    <w:rsid w:val="0079511D"/>
    <w:rsid w:val="0079527D"/>
    <w:rsid w:val="007955E2"/>
    <w:rsid w:val="007955E6"/>
    <w:rsid w:val="007955E8"/>
    <w:rsid w:val="00795610"/>
    <w:rsid w:val="00795743"/>
    <w:rsid w:val="00795828"/>
    <w:rsid w:val="00795ADB"/>
    <w:rsid w:val="00795B77"/>
    <w:rsid w:val="00795EA7"/>
    <w:rsid w:val="007962A5"/>
    <w:rsid w:val="007962C8"/>
    <w:rsid w:val="0079632E"/>
    <w:rsid w:val="00796349"/>
    <w:rsid w:val="0079642D"/>
    <w:rsid w:val="0079645E"/>
    <w:rsid w:val="007964CD"/>
    <w:rsid w:val="0079668C"/>
    <w:rsid w:val="007966A0"/>
    <w:rsid w:val="007966C6"/>
    <w:rsid w:val="007968CA"/>
    <w:rsid w:val="00796901"/>
    <w:rsid w:val="007969E4"/>
    <w:rsid w:val="00796B02"/>
    <w:rsid w:val="00796C7E"/>
    <w:rsid w:val="00796CDC"/>
    <w:rsid w:val="00796CF3"/>
    <w:rsid w:val="00796E7C"/>
    <w:rsid w:val="00796EE6"/>
    <w:rsid w:val="00796F79"/>
    <w:rsid w:val="0079716F"/>
    <w:rsid w:val="007971F0"/>
    <w:rsid w:val="00797401"/>
    <w:rsid w:val="00797591"/>
    <w:rsid w:val="0079762C"/>
    <w:rsid w:val="0079777B"/>
    <w:rsid w:val="007977CA"/>
    <w:rsid w:val="007978C4"/>
    <w:rsid w:val="0079797D"/>
    <w:rsid w:val="00797A5B"/>
    <w:rsid w:val="00797B32"/>
    <w:rsid w:val="00797B61"/>
    <w:rsid w:val="00797C46"/>
    <w:rsid w:val="00797CF4"/>
    <w:rsid w:val="007A000A"/>
    <w:rsid w:val="007A014F"/>
    <w:rsid w:val="007A038F"/>
    <w:rsid w:val="007A051A"/>
    <w:rsid w:val="007A055F"/>
    <w:rsid w:val="007A0589"/>
    <w:rsid w:val="007A05CC"/>
    <w:rsid w:val="007A06CF"/>
    <w:rsid w:val="007A08BF"/>
    <w:rsid w:val="007A0AA8"/>
    <w:rsid w:val="007A0BA8"/>
    <w:rsid w:val="007A0C4D"/>
    <w:rsid w:val="007A0F91"/>
    <w:rsid w:val="007A0F9B"/>
    <w:rsid w:val="007A113A"/>
    <w:rsid w:val="007A1147"/>
    <w:rsid w:val="007A128B"/>
    <w:rsid w:val="007A1390"/>
    <w:rsid w:val="007A13DB"/>
    <w:rsid w:val="007A1476"/>
    <w:rsid w:val="007A1543"/>
    <w:rsid w:val="007A15BE"/>
    <w:rsid w:val="007A15C9"/>
    <w:rsid w:val="007A165F"/>
    <w:rsid w:val="007A16A9"/>
    <w:rsid w:val="007A18AA"/>
    <w:rsid w:val="007A1A8E"/>
    <w:rsid w:val="007A1AAE"/>
    <w:rsid w:val="007A1AE6"/>
    <w:rsid w:val="007A1C65"/>
    <w:rsid w:val="007A1F17"/>
    <w:rsid w:val="007A20BB"/>
    <w:rsid w:val="007A234C"/>
    <w:rsid w:val="007A2485"/>
    <w:rsid w:val="007A24E8"/>
    <w:rsid w:val="007A24F3"/>
    <w:rsid w:val="007A25D3"/>
    <w:rsid w:val="007A2760"/>
    <w:rsid w:val="007A28AD"/>
    <w:rsid w:val="007A28E8"/>
    <w:rsid w:val="007A29E0"/>
    <w:rsid w:val="007A2A89"/>
    <w:rsid w:val="007A2C54"/>
    <w:rsid w:val="007A2CB5"/>
    <w:rsid w:val="007A2DB1"/>
    <w:rsid w:val="007A2EA4"/>
    <w:rsid w:val="007A3084"/>
    <w:rsid w:val="007A3143"/>
    <w:rsid w:val="007A344F"/>
    <w:rsid w:val="007A34D6"/>
    <w:rsid w:val="007A3553"/>
    <w:rsid w:val="007A35AA"/>
    <w:rsid w:val="007A3635"/>
    <w:rsid w:val="007A3752"/>
    <w:rsid w:val="007A393D"/>
    <w:rsid w:val="007A3953"/>
    <w:rsid w:val="007A3A36"/>
    <w:rsid w:val="007A3A75"/>
    <w:rsid w:val="007A3BAB"/>
    <w:rsid w:val="007A3C43"/>
    <w:rsid w:val="007A3D96"/>
    <w:rsid w:val="007A3F19"/>
    <w:rsid w:val="007A3FE4"/>
    <w:rsid w:val="007A4033"/>
    <w:rsid w:val="007A4067"/>
    <w:rsid w:val="007A4214"/>
    <w:rsid w:val="007A4374"/>
    <w:rsid w:val="007A438B"/>
    <w:rsid w:val="007A43CF"/>
    <w:rsid w:val="007A44C9"/>
    <w:rsid w:val="007A45B9"/>
    <w:rsid w:val="007A467F"/>
    <w:rsid w:val="007A4696"/>
    <w:rsid w:val="007A46F4"/>
    <w:rsid w:val="007A4752"/>
    <w:rsid w:val="007A47BA"/>
    <w:rsid w:val="007A49BD"/>
    <w:rsid w:val="007A4BBC"/>
    <w:rsid w:val="007A4BED"/>
    <w:rsid w:val="007A4E42"/>
    <w:rsid w:val="007A508B"/>
    <w:rsid w:val="007A50A7"/>
    <w:rsid w:val="007A5540"/>
    <w:rsid w:val="007A57F4"/>
    <w:rsid w:val="007A5854"/>
    <w:rsid w:val="007A59C8"/>
    <w:rsid w:val="007A5A04"/>
    <w:rsid w:val="007A5C5E"/>
    <w:rsid w:val="007A5D9D"/>
    <w:rsid w:val="007A5DDC"/>
    <w:rsid w:val="007A5E3D"/>
    <w:rsid w:val="007A5F41"/>
    <w:rsid w:val="007A5F96"/>
    <w:rsid w:val="007A6137"/>
    <w:rsid w:val="007A6598"/>
    <w:rsid w:val="007A66A8"/>
    <w:rsid w:val="007A68FA"/>
    <w:rsid w:val="007A69FA"/>
    <w:rsid w:val="007A6A4B"/>
    <w:rsid w:val="007A6A64"/>
    <w:rsid w:val="007A6AAC"/>
    <w:rsid w:val="007A6AB0"/>
    <w:rsid w:val="007A6CAF"/>
    <w:rsid w:val="007A6CC9"/>
    <w:rsid w:val="007A6DC6"/>
    <w:rsid w:val="007A6F22"/>
    <w:rsid w:val="007A7081"/>
    <w:rsid w:val="007A731B"/>
    <w:rsid w:val="007A76C4"/>
    <w:rsid w:val="007A7744"/>
    <w:rsid w:val="007A7772"/>
    <w:rsid w:val="007A7A60"/>
    <w:rsid w:val="007A7C5A"/>
    <w:rsid w:val="007A7C8F"/>
    <w:rsid w:val="007A7CFC"/>
    <w:rsid w:val="007A7D2D"/>
    <w:rsid w:val="007A7D78"/>
    <w:rsid w:val="007A7DAC"/>
    <w:rsid w:val="007A7E7B"/>
    <w:rsid w:val="007B0403"/>
    <w:rsid w:val="007B048F"/>
    <w:rsid w:val="007B0546"/>
    <w:rsid w:val="007B057E"/>
    <w:rsid w:val="007B067E"/>
    <w:rsid w:val="007B072D"/>
    <w:rsid w:val="007B0B0D"/>
    <w:rsid w:val="007B0C48"/>
    <w:rsid w:val="007B0D18"/>
    <w:rsid w:val="007B0D3E"/>
    <w:rsid w:val="007B0EAA"/>
    <w:rsid w:val="007B136F"/>
    <w:rsid w:val="007B15FD"/>
    <w:rsid w:val="007B16AD"/>
    <w:rsid w:val="007B16BB"/>
    <w:rsid w:val="007B17F3"/>
    <w:rsid w:val="007B1873"/>
    <w:rsid w:val="007B198D"/>
    <w:rsid w:val="007B1AC6"/>
    <w:rsid w:val="007B1D9B"/>
    <w:rsid w:val="007B1DE3"/>
    <w:rsid w:val="007B1E06"/>
    <w:rsid w:val="007B1E5F"/>
    <w:rsid w:val="007B2031"/>
    <w:rsid w:val="007B2120"/>
    <w:rsid w:val="007B21EA"/>
    <w:rsid w:val="007B2251"/>
    <w:rsid w:val="007B2422"/>
    <w:rsid w:val="007B2522"/>
    <w:rsid w:val="007B25C4"/>
    <w:rsid w:val="007B273D"/>
    <w:rsid w:val="007B27BB"/>
    <w:rsid w:val="007B285D"/>
    <w:rsid w:val="007B287B"/>
    <w:rsid w:val="007B28A6"/>
    <w:rsid w:val="007B28C2"/>
    <w:rsid w:val="007B2910"/>
    <w:rsid w:val="007B29A5"/>
    <w:rsid w:val="007B32E3"/>
    <w:rsid w:val="007B3420"/>
    <w:rsid w:val="007B35E2"/>
    <w:rsid w:val="007B3663"/>
    <w:rsid w:val="007B36DF"/>
    <w:rsid w:val="007B3727"/>
    <w:rsid w:val="007B383A"/>
    <w:rsid w:val="007B38AF"/>
    <w:rsid w:val="007B397D"/>
    <w:rsid w:val="007B39F5"/>
    <w:rsid w:val="007B3A1F"/>
    <w:rsid w:val="007B3B44"/>
    <w:rsid w:val="007B3B4C"/>
    <w:rsid w:val="007B3C63"/>
    <w:rsid w:val="007B3D88"/>
    <w:rsid w:val="007B3F67"/>
    <w:rsid w:val="007B3F8A"/>
    <w:rsid w:val="007B3FF1"/>
    <w:rsid w:val="007B411E"/>
    <w:rsid w:val="007B42AF"/>
    <w:rsid w:val="007B439F"/>
    <w:rsid w:val="007B43A9"/>
    <w:rsid w:val="007B463B"/>
    <w:rsid w:val="007B47DF"/>
    <w:rsid w:val="007B4821"/>
    <w:rsid w:val="007B49B8"/>
    <w:rsid w:val="007B4BF9"/>
    <w:rsid w:val="007B4EC4"/>
    <w:rsid w:val="007B4FA8"/>
    <w:rsid w:val="007B5047"/>
    <w:rsid w:val="007B5062"/>
    <w:rsid w:val="007B5115"/>
    <w:rsid w:val="007B5287"/>
    <w:rsid w:val="007B5512"/>
    <w:rsid w:val="007B5551"/>
    <w:rsid w:val="007B5646"/>
    <w:rsid w:val="007B5A91"/>
    <w:rsid w:val="007B5BB4"/>
    <w:rsid w:val="007B5BB8"/>
    <w:rsid w:val="007B5F1B"/>
    <w:rsid w:val="007B5FC0"/>
    <w:rsid w:val="007B6028"/>
    <w:rsid w:val="007B6317"/>
    <w:rsid w:val="007B6386"/>
    <w:rsid w:val="007B6389"/>
    <w:rsid w:val="007B659C"/>
    <w:rsid w:val="007B65F8"/>
    <w:rsid w:val="007B66D4"/>
    <w:rsid w:val="007B675A"/>
    <w:rsid w:val="007B677B"/>
    <w:rsid w:val="007B67CB"/>
    <w:rsid w:val="007B67D7"/>
    <w:rsid w:val="007B6870"/>
    <w:rsid w:val="007B68BB"/>
    <w:rsid w:val="007B68BE"/>
    <w:rsid w:val="007B6AF9"/>
    <w:rsid w:val="007B6B19"/>
    <w:rsid w:val="007B6BFB"/>
    <w:rsid w:val="007B6C39"/>
    <w:rsid w:val="007B6D6E"/>
    <w:rsid w:val="007B6E18"/>
    <w:rsid w:val="007B716B"/>
    <w:rsid w:val="007B7231"/>
    <w:rsid w:val="007B736F"/>
    <w:rsid w:val="007B7405"/>
    <w:rsid w:val="007B7408"/>
    <w:rsid w:val="007B74F5"/>
    <w:rsid w:val="007B7839"/>
    <w:rsid w:val="007B7853"/>
    <w:rsid w:val="007B7924"/>
    <w:rsid w:val="007B7A2C"/>
    <w:rsid w:val="007B7A3B"/>
    <w:rsid w:val="007B7B21"/>
    <w:rsid w:val="007B7B69"/>
    <w:rsid w:val="007B7B79"/>
    <w:rsid w:val="007B7BA6"/>
    <w:rsid w:val="007B7C2F"/>
    <w:rsid w:val="007B7C4E"/>
    <w:rsid w:val="007B7D63"/>
    <w:rsid w:val="007B7DCB"/>
    <w:rsid w:val="007B7F01"/>
    <w:rsid w:val="007C0145"/>
    <w:rsid w:val="007C01F7"/>
    <w:rsid w:val="007C034C"/>
    <w:rsid w:val="007C04A3"/>
    <w:rsid w:val="007C076E"/>
    <w:rsid w:val="007C0779"/>
    <w:rsid w:val="007C0A94"/>
    <w:rsid w:val="007C0B11"/>
    <w:rsid w:val="007C0BDD"/>
    <w:rsid w:val="007C0CC8"/>
    <w:rsid w:val="007C0F82"/>
    <w:rsid w:val="007C126E"/>
    <w:rsid w:val="007C12EB"/>
    <w:rsid w:val="007C1347"/>
    <w:rsid w:val="007C13A7"/>
    <w:rsid w:val="007C13B4"/>
    <w:rsid w:val="007C13FA"/>
    <w:rsid w:val="007C14EB"/>
    <w:rsid w:val="007C15A6"/>
    <w:rsid w:val="007C15AD"/>
    <w:rsid w:val="007C165D"/>
    <w:rsid w:val="007C1678"/>
    <w:rsid w:val="007C169D"/>
    <w:rsid w:val="007C17BB"/>
    <w:rsid w:val="007C18BE"/>
    <w:rsid w:val="007C18D9"/>
    <w:rsid w:val="007C1CEA"/>
    <w:rsid w:val="007C1CEC"/>
    <w:rsid w:val="007C1D4E"/>
    <w:rsid w:val="007C1D51"/>
    <w:rsid w:val="007C1E78"/>
    <w:rsid w:val="007C1EFA"/>
    <w:rsid w:val="007C2039"/>
    <w:rsid w:val="007C2044"/>
    <w:rsid w:val="007C205A"/>
    <w:rsid w:val="007C2163"/>
    <w:rsid w:val="007C219D"/>
    <w:rsid w:val="007C21ED"/>
    <w:rsid w:val="007C21FC"/>
    <w:rsid w:val="007C233F"/>
    <w:rsid w:val="007C234C"/>
    <w:rsid w:val="007C25A5"/>
    <w:rsid w:val="007C25AD"/>
    <w:rsid w:val="007C25EA"/>
    <w:rsid w:val="007C288B"/>
    <w:rsid w:val="007C295F"/>
    <w:rsid w:val="007C2D22"/>
    <w:rsid w:val="007C2D84"/>
    <w:rsid w:val="007C3131"/>
    <w:rsid w:val="007C32D7"/>
    <w:rsid w:val="007C33DD"/>
    <w:rsid w:val="007C35E6"/>
    <w:rsid w:val="007C37D8"/>
    <w:rsid w:val="007C3A3B"/>
    <w:rsid w:val="007C3A63"/>
    <w:rsid w:val="007C3B30"/>
    <w:rsid w:val="007C3BC1"/>
    <w:rsid w:val="007C3C3A"/>
    <w:rsid w:val="007C3C84"/>
    <w:rsid w:val="007C3E1E"/>
    <w:rsid w:val="007C3F97"/>
    <w:rsid w:val="007C3F98"/>
    <w:rsid w:val="007C41B0"/>
    <w:rsid w:val="007C42BB"/>
    <w:rsid w:val="007C433C"/>
    <w:rsid w:val="007C4400"/>
    <w:rsid w:val="007C466E"/>
    <w:rsid w:val="007C4687"/>
    <w:rsid w:val="007C4762"/>
    <w:rsid w:val="007C4809"/>
    <w:rsid w:val="007C48F9"/>
    <w:rsid w:val="007C4B44"/>
    <w:rsid w:val="007C4C72"/>
    <w:rsid w:val="007C4D19"/>
    <w:rsid w:val="007C4DAB"/>
    <w:rsid w:val="007C4DE4"/>
    <w:rsid w:val="007C4E22"/>
    <w:rsid w:val="007C4E74"/>
    <w:rsid w:val="007C4FC6"/>
    <w:rsid w:val="007C50A5"/>
    <w:rsid w:val="007C510F"/>
    <w:rsid w:val="007C555D"/>
    <w:rsid w:val="007C58FD"/>
    <w:rsid w:val="007C5BBD"/>
    <w:rsid w:val="007C5D05"/>
    <w:rsid w:val="007C5D9E"/>
    <w:rsid w:val="007C5EDD"/>
    <w:rsid w:val="007C5F91"/>
    <w:rsid w:val="007C6005"/>
    <w:rsid w:val="007C6067"/>
    <w:rsid w:val="007C60F3"/>
    <w:rsid w:val="007C62E4"/>
    <w:rsid w:val="007C6313"/>
    <w:rsid w:val="007C636F"/>
    <w:rsid w:val="007C638C"/>
    <w:rsid w:val="007C63E3"/>
    <w:rsid w:val="007C64A1"/>
    <w:rsid w:val="007C6784"/>
    <w:rsid w:val="007C682C"/>
    <w:rsid w:val="007C6D44"/>
    <w:rsid w:val="007C6DB9"/>
    <w:rsid w:val="007C6DF6"/>
    <w:rsid w:val="007C6EF4"/>
    <w:rsid w:val="007C7154"/>
    <w:rsid w:val="007C7220"/>
    <w:rsid w:val="007C72E6"/>
    <w:rsid w:val="007C7314"/>
    <w:rsid w:val="007C742E"/>
    <w:rsid w:val="007C7466"/>
    <w:rsid w:val="007C746F"/>
    <w:rsid w:val="007C7492"/>
    <w:rsid w:val="007C74C2"/>
    <w:rsid w:val="007C750D"/>
    <w:rsid w:val="007C790D"/>
    <w:rsid w:val="007C7AAC"/>
    <w:rsid w:val="007C7AF8"/>
    <w:rsid w:val="007C7B68"/>
    <w:rsid w:val="007C7BD1"/>
    <w:rsid w:val="007C7BF1"/>
    <w:rsid w:val="007C7D8B"/>
    <w:rsid w:val="007C7E46"/>
    <w:rsid w:val="007C7F50"/>
    <w:rsid w:val="007C7F64"/>
    <w:rsid w:val="007C7FAB"/>
    <w:rsid w:val="007D0031"/>
    <w:rsid w:val="007D01E4"/>
    <w:rsid w:val="007D02B7"/>
    <w:rsid w:val="007D02FC"/>
    <w:rsid w:val="007D044C"/>
    <w:rsid w:val="007D06BC"/>
    <w:rsid w:val="007D0D6F"/>
    <w:rsid w:val="007D0EF6"/>
    <w:rsid w:val="007D0F10"/>
    <w:rsid w:val="007D122C"/>
    <w:rsid w:val="007D177C"/>
    <w:rsid w:val="007D17F4"/>
    <w:rsid w:val="007D18AC"/>
    <w:rsid w:val="007D18F7"/>
    <w:rsid w:val="007D1A0E"/>
    <w:rsid w:val="007D1BAF"/>
    <w:rsid w:val="007D1D49"/>
    <w:rsid w:val="007D1D9F"/>
    <w:rsid w:val="007D20BB"/>
    <w:rsid w:val="007D217B"/>
    <w:rsid w:val="007D23E8"/>
    <w:rsid w:val="007D24E3"/>
    <w:rsid w:val="007D26C5"/>
    <w:rsid w:val="007D295C"/>
    <w:rsid w:val="007D2C0F"/>
    <w:rsid w:val="007D2D1A"/>
    <w:rsid w:val="007D2D79"/>
    <w:rsid w:val="007D2F36"/>
    <w:rsid w:val="007D2F9A"/>
    <w:rsid w:val="007D3062"/>
    <w:rsid w:val="007D3215"/>
    <w:rsid w:val="007D33A9"/>
    <w:rsid w:val="007D33F7"/>
    <w:rsid w:val="007D3552"/>
    <w:rsid w:val="007D364F"/>
    <w:rsid w:val="007D36A8"/>
    <w:rsid w:val="007D38CD"/>
    <w:rsid w:val="007D3901"/>
    <w:rsid w:val="007D391C"/>
    <w:rsid w:val="007D3A56"/>
    <w:rsid w:val="007D3AC9"/>
    <w:rsid w:val="007D3B23"/>
    <w:rsid w:val="007D3FDA"/>
    <w:rsid w:val="007D40FE"/>
    <w:rsid w:val="007D4211"/>
    <w:rsid w:val="007D4268"/>
    <w:rsid w:val="007D427F"/>
    <w:rsid w:val="007D42C0"/>
    <w:rsid w:val="007D4608"/>
    <w:rsid w:val="007D4AD5"/>
    <w:rsid w:val="007D4AE5"/>
    <w:rsid w:val="007D4AE6"/>
    <w:rsid w:val="007D4C60"/>
    <w:rsid w:val="007D4D9D"/>
    <w:rsid w:val="007D503B"/>
    <w:rsid w:val="007D5579"/>
    <w:rsid w:val="007D5971"/>
    <w:rsid w:val="007D5D0E"/>
    <w:rsid w:val="007D5ED1"/>
    <w:rsid w:val="007D5EFF"/>
    <w:rsid w:val="007D60C1"/>
    <w:rsid w:val="007D60CC"/>
    <w:rsid w:val="007D60EE"/>
    <w:rsid w:val="007D6139"/>
    <w:rsid w:val="007D615C"/>
    <w:rsid w:val="007D622B"/>
    <w:rsid w:val="007D63AB"/>
    <w:rsid w:val="007D653D"/>
    <w:rsid w:val="007D6724"/>
    <w:rsid w:val="007D6728"/>
    <w:rsid w:val="007D683A"/>
    <w:rsid w:val="007D69CF"/>
    <w:rsid w:val="007D6A27"/>
    <w:rsid w:val="007D6AEE"/>
    <w:rsid w:val="007D6AF2"/>
    <w:rsid w:val="007D6B0E"/>
    <w:rsid w:val="007D6B7A"/>
    <w:rsid w:val="007D6D30"/>
    <w:rsid w:val="007D6EAD"/>
    <w:rsid w:val="007D7131"/>
    <w:rsid w:val="007D76C2"/>
    <w:rsid w:val="007D79CB"/>
    <w:rsid w:val="007D7BEF"/>
    <w:rsid w:val="007D7C8C"/>
    <w:rsid w:val="007D7CC3"/>
    <w:rsid w:val="007D7E18"/>
    <w:rsid w:val="007D7E22"/>
    <w:rsid w:val="007D7E7B"/>
    <w:rsid w:val="007D7EB1"/>
    <w:rsid w:val="007D7F0F"/>
    <w:rsid w:val="007D7F4A"/>
    <w:rsid w:val="007D7F81"/>
    <w:rsid w:val="007E00CE"/>
    <w:rsid w:val="007E00D2"/>
    <w:rsid w:val="007E00E3"/>
    <w:rsid w:val="007E00F7"/>
    <w:rsid w:val="007E0164"/>
    <w:rsid w:val="007E0270"/>
    <w:rsid w:val="007E084E"/>
    <w:rsid w:val="007E0BAB"/>
    <w:rsid w:val="007E0C61"/>
    <w:rsid w:val="007E0CB3"/>
    <w:rsid w:val="007E0E46"/>
    <w:rsid w:val="007E12BF"/>
    <w:rsid w:val="007E13BF"/>
    <w:rsid w:val="007E1444"/>
    <w:rsid w:val="007E1523"/>
    <w:rsid w:val="007E158F"/>
    <w:rsid w:val="007E172A"/>
    <w:rsid w:val="007E17D6"/>
    <w:rsid w:val="007E19B4"/>
    <w:rsid w:val="007E19FB"/>
    <w:rsid w:val="007E1AAA"/>
    <w:rsid w:val="007E1AB3"/>
    <w:rsid w:val="007E1B66"/>
    <w:rsid w:val="007E1C77"/>
    <w:rsid w:val="007E1C8D"/>
    <w:rsid w:val="007E1E61"/>
    <w:rsid w:val="007E1ED2"/>
    <w:rsid w:val="007E1FF7"/>
    <w:rsid w:val="007E251A"/>
    <w:rsid w:val="007E25E0"/>
    <w:rsid w:val="007E270C"/>
    <w:rsid w:val="007E2DCA"/>
    <w:rsid w:val="007E2ECF"/>
    <w:rsid w:val="007E2FD0"/>
    <w:rsid w:val="007E2FF6"/>
    <w:rsid w:val="007E30F1"/>
    <w:rsid w:val="007E3679"/>
    <w:rsid w:val="007E3694"/>
    <w:rsid w:val="007E36F1"/>
    <w:rsid w:val="007E379D"/>
    <w:rsid w:val="007E3E15"/>
    <w:rsid w:val="007E3E32"/>
    <w:rsid w:val="007E3FD1"/>
    <w:rsid w:val="007E3FEE"/>
    <w:rsid w:val="007E4185"/>
    <w:rsid w:val="007E42C1"/>
    <w:rsid w:val="007E44CD"/>
    <w:rsid w:val="007E46AE"/>
    <w:rsid w:val="007E477A"/>
    <w:rsid w:val="007E4974"/>
    <w:rsid w:val="007E4A13"/>
    <w:rsid w:val="007E4A8B"/>
    <w:rsid w:val="007E50B4"/>
    <w:rsid w:val="007E536D"/>
    <w:rsid w:val="007E542B"/>
    <w:rsid w:val="007E543A"/>
    <w:rsid w:val="007E5460"/>
    <w:rsid w:val="007E5471"/>
    <w:rsid w:val="007E54AD"/>
    <w:rsid w:val="007E5556"/>
    <w:rsid w:val="007E567C"/>
    <w:rsid w:val="007E56A3"/>
    <w:rsid w:val="007E57F0"/>
    <w:rsid w:val="007E5A13"/>
    <w:rsid w:val="007E5E10"/>
    <w:rsid w:val="007E5EA4"/>
    <w:rsid w:val="007E5F97"/>
    <w:rsid w:val="007E5FE9"/>
    <w:rsid w:val="007E6081"/>
    <w:rsid w:val="007E60B3"/>
    <w:rsid w:val="007E60FD"/>
    <w:rsid w:val="007E63DE"/>
    <w:rsid w:val="007E6423"/>
    <w:rsid w:val="007E65E4"/>
    <w:rsid w:val="007E676A"/>
    <w:rsid w:val="007E6969"/>
    <w:rsid w:val="007E69C1"/>
    <w:rsid w:val="007E6A5E"/>
    <w:rsid w:val="007E6A72"/>
    <w:rsid w:val="007E6B96"/>
    <w:rsid w:val="007E6E71"/>
    <w:rsid w:val="007E6F02"/>
    <w:rsid w:val="007E6FAE"/>
    <w:rsid w:val="007E6FCE"/>
    <w:rsid w:val="007E7147"/>
    <w:rsid w:val="007E74FF"/>
    <w:rsid w:val="007E7803"/>
    <w:rsid w:val="007E78BC"/>
    <w:rsid w:val="007E7C38"/>
    <w:rsid w:val="007E7FDF"/>
    <w:rsid w:val="007F001D"/>
    <w:rsid w:val="007F0030"/>
    <w:rsid w:val="007F00E6"/>
    <w:rsid w:val="007F00F8"/>
    <w:rsid w:val="007F0295"/>
    <w:rsid w:val="007F02F3"/>
    <w:rsid w:val="007F037B"/>
    <w:rsid w:val="007F0563"/>
    <w:rsid w:val="007F062F"/>
    <w:rsid w:val="007F0635"/>
    <w:rsid w:val="007F06DC"/>
    <w:rsid w:val="007F0838"/>
    <w:rsid w:val="007F0862"/>
    <w:rsid w:val="007F08CA"/>
    <w:rsid w:val="007F0B18"/>
    <w:rsid w:val="007F0DE7"/>
    <w:rsid w:val="007F0E86"/>
    <w:rsid w:val="007F0F60"/>
    <w:rsid w:val="007F0F82"/>
    <w:rsid w:val="007F109F"/>
    <w:rsid w:val="007F10A9"/>
    <w:rsid w:val="007F1173"/>
    <w:rsid w:val="007F117B"/>
    <w:rsid w:val="007F1280"/>
    <w:rsid w:val="007F1298"/>
    <w:rsid w:val="007F133A"/>
    <w:rsid w:val="007F13CA"/>
    <w:rsid w:val="007F1558"/>
    <w:rsid w:val="007F15DA"/>
    <w:rsid w:val="007F16F3"/>
    <w:rsid w:val="007F17E1"/>
    <w:rsid w:val="007F1895"/>
    <w:rsid w:val="007F18A4"/>
    <w:rsid w:val="007F19FA"/>
    <w:rsid w:val="007F1A48"/>
    <w:rsid w:val="007F1ABD"/>
    <w:rsid w:val="007F1AE0"/>
    <w:rsid w:val="007F1BAC"/>
    <w:rsid w:val="007F2001"/>
    <w:rsid w:val="007F21DC"/>
    <w:rsid w:val="007F2295"/>
    <w:rsid w:val="007F2388"/>
    <w:rsid w:val="007F2397"/>
    <w:rsid w:val="007F2441"/>
    <w:rsid w:val="007F24E1"/>
    <w:rsid w:val="007F2594"/>
    <w:rsid w:val="007F25C0"/>
    <w:rsid w:val="007F25ED"/>
    <w:rsid w:val="007F25FC"/>
    <w:rsid w:val="007F261B"/>
    <w:rsid w:val="007F2674"/>
    <w:rsid w:val="007F2705"/>
    <w:rsid w:val="007F2924"/>
    <w:rsid w:val="007F2A75"/>
    <w:rsid w:val="007F2A76"/>
    <w:rsid w:val="007F2C8D"/>
    <w:rsid w:val="007F2CE7"/>
    <w:rsid w:val="007F2DC1"/>
    <w:rsid w:val="007F2DD4"/>
    <w:rsid w:val="007F2EB9"/>
    <w:rsid w:val="007F2F2B"/>
    <w:rsid w:val="007F3004"/>
    <w:rsid w:val="007F308A"/>
    <w:rsid w:val="007F315B"/>
    <w:rsid w:val="007F3175"/>
    <w:rsid w:val="007F32B3"/>
    <w:rsid w:val="007F3443"/>
    <w:rsid w:val="007F34D3"/>
    <w:rsid w:val="007F3643"/>
    <w:rsid w:val="007F3654"/>
    <w:rsid w:val="007F3838"/>
    <w:rsid w:val="007F3965"/>
    <w:rsid w:val="007F3A49"/>
    <w:rsid w:val="007F4060"/>
    <w:rsid w:val="007F40E9"/>
    <w:rsid w:val="007F4108"/>
    <w:rsid w:val="007F420A"/>
    <w:rsid w:val="007F432F"/>
    <w:rsid w:val="007F4336"/>
    <w:rsid w:val="007F441C"/>
    <w:rsid w:val="007F4522"/>
    <w:rsid w:val="007F4560"/>
    <w:rsid w:val="007F458C"/>
    <w:rsid w:val="007F477D"/>
    <w:rsid w:val="007F49B2"/>
    <w:rsid w:val="007F4A60"/>
    <w:rsid w:val="007F4B37"/>
    <w:rsid w:val="007F4BC1"/>
    <w:rsid w:val="007F4E9A"/>
    <w:rsid w:val="007F4F3B"/>
    <w:rsid w:val="007F51C9"/>
    <w:rsid w:val="007F5285"/>
    <w:rsid w:val="007F52A2"/>
    <w:rsid w:val="007F5314"/>
    <w:rsid w:val="007F5327"/>
    <w:rsid w:val="007F542C"/>
    <w:rsid w:val="007F54B1"/>
    <w:rsid w:val="007F555D"/>
    <w:rsid w:val="007F56AC"/>
    <w:rsid w:val="007F57C6"/>
    <w:rsid w:val="007F5807"/>
    <w:rsid w:val="007F5A62"/>
    <w:rsid w:val="007F5C3E"/>
    <w:rsid w:val="007F5D05"/>
    <w:rsid w:val="007F5F90"/>
    <w:rsid w:val="007F5FA8"/>
    <w:rsid w:val="007F6077"/>
    <w:rsid w:val="007F622F"/>
    <w:rsid w:val="007F6504"/>
    <w:rsid w:val="007F6530"/>
    <w:rsid w:val="007F6584"/>
    <w:rsid w:val="007F6670"/>
    <w:rsid w:val="007F67C8"/>
    <w:rsid w:val="007F6809"/>
    <w:rsid w:val="007F681C"/>
    <w:rsid w:val="007F6838"/>
    <w:rsid w:val="007F684F"/>
    <w:rsid w:val="007F6855"/>
    <w:rsid w:val="007F6AD9"/>
    <w:rsid w:val="007F6BD8"/>
    <w:rsid w:val="007F6E2B"/>
    <w:rsid w:val="007F6E81"/>
    <w:rsid w:val="007F7158"/>
    <w:rsid w:val="007F7283"/>
    <w:rsid w:val="007F72FB"/>
    <w:rsid w:val="007F78D6"/>
    <w:rsid w:val="007F7913"/>
    <w:rsid w:val="007F7942"/>
    <w:rsid w:val="007F7A51"/>
    <w:rsid w:val="007F7B59"/>
    <w:rsid w:val="007F7CBE"/>
    <w:rsid w:val="007F7DE2"/>
    <w:rsid w:val="007F7DE5"/>
    <w:rsid w:val="007F7E17"/>
    <w:rsid w:val="00800065"/>
    <w:rsid w:val="00800092"/>
    <w:rsid w:val="00800102"/>
    <w:rsid w:val="00800406"/>
    <w:rsid w:val="0080052E"/>
    <w:rsid w:val="008005FE"/>
    <w:rsid w:val="00800649"/>
    <w:rsid w:val="00800677"/>
    <w:rsid w:val="008006F1"/>
    <w:rsid w:val="00800816"/>
    <w:rsid w:val="00800B90"/>
    <w:rsid w:val="00800C62"/>
    <w:rsid w:val="00801195"/>
    <w:rsid w:val="0080149D"/>
    <w:rsid w:val="008014C0"/>
    <w:rsid w:val="0080157F"/>
    <w:rsid w:val="00801BE4"/>
    <w:rsid w:val="00801D72"/>
    <w:rsid w:val="00801DE5"/>
    <w:rsid w:val="00801EC3"/>
    <w:rsid w:val="00801FFE"/>
    <w:rsid w:val="00802058"/>
    <w:rsid w:val="00802081"/>
    <w:rsid w:val="0080209C"/>
    <w:rsid w:val="008020D1"/>
    <w:rsid w:val="008020D7"/>
    <w:rsid w:val="008022A0"/>
    <w:rsid w:val="0080232E"/>
    <w:rsid w:val="00802381"/>
    <w:rsid w:val="00802423"/>
    <w:rsid w:val="00802528"/>
    <w:rsid w:val="008027D1"/>
    <w:rsid w:val="008029FB"/>
    <w:rsid w:val="00802ACC"/>
    <w:rsid w:val="00802AF5"/>
    <w:rsid w:val="00802B51"/>
    <w:rsid w:val="00802C00"/>
    <w:rsid w:val="00802CAF"/>
    <w:rsid w:val="00802DC7"/>
    <w:rsid w:val="00802DD7"/>
    <w:rsid w:val="00802DDF"/>
    <w:rsid w:val="00802E8C"/>
    <w:rsid w:val="00802F56"/>
    <w:rsid w:val="00802F9D"/>
    <w:rsid w:val="008032FF"/>
    <w:rsid w:val="0080333C"/>
    <w:rsid w:val="0080334A"/>
    <w:rsid w:val="00803385"/>
    <w:rsid w:val="008033BF"/>
    <w:rsid w:val="008036FF"/>
    <w:rsid w:val="00803794"/>
    <w:rsid w:val="008038F2"/>
    <w:rsid w:val="0080398A"/>
    <w:rsid w:val="00803A10"/>
    <w:rsid w:val="00803D59"/>
    <w:rsid w:val="00803DAD"/>
    <w:rsid w:val="00803DEF"/>
    <w:rsid w:val="00803E3F"/>
    <w:rsid w:val="00803EC7"/>
    <w:rsid w:val="00803F74"/>
    <w:rsid w:val="008040D7"/>
    <w:rsid w:val="0080424A"/>
    <w:rsid w:val="00804443"/>
    <w:rsid w:val="008045C7"/>
    <w:rsid w:val="008045E6"/>
    <w:rsid w:val="00804671"/>
    <w:rsid w:val="008047FE"/>
    <w:rsid w:val="0080484B"/>
    <w:rsid w:val="00804864"/>
    <w:rsid w:val="00804884"/>
    <w:rsid w:val="008048DA"/>
    <w:rsid w:val="008049C7"/>
    <w:rsid w:val="00804AE7"/>
    <w:rsid w:val="00804B29"/>
    <w:rsid w:val="00804D8B"/>
    <w:rsid w:val="00804FB2"/>
    <w:rsid w:val="008050EC"/>
    <w:rsid w:val="0080527B"/>
    <w:rsid w:val="008053D8"/>
    <w:rsid w:val="00805450"/>
    <w:rsid w:val="00805599"/>
    <w:rsid w:val="008056AF"/>
    <w:rsid w:val="00805784"/>
    <w:rsid w:val="008057EC"/>
    <w:rsid w:val="00805819"/>
    <w:rsid w:val="00805945"/>
    <w:rsid w:val="008059C3"/>
    <w:rsid w:val="00805E96"/>
    <w:rsid w:val="008060A9"/>
    <w:rsid w:val="00806161"/>
    <w:rsid w:val="0080628C"/>
    <w:rsid w:val="008063CB"/>
    <w:rsid w:val="008063E8"/>
    <w:rsid w:val="008066F6"/>
    <w:rsid w:val="008066F8"/>
    <w:rsid w:val="0080694C"/>
    <w:rsid w:val="00806B38"/>
    <w:rsid w:val="00806BBB"/>
    <w:rsid w:val="00806BC2"/>
    <w:rsid w:val="00806CB7"/>
    <w:rsid w:val="00806FD4"/>
    <w:rsid w:val="0080714D"/>
    <w:rsid w:val="008073FA"/>
    <w:rsid w:val="008075EE"/>
    <w:rsid w:val="0080789C"/>
    <w:rsid w:val="00807B0A"/>
    <w:rsid w:val="00807B41"/>
    <w:rsid w:val="00807C09"/>
    <w:rsid w:val="00807D9C"/>
    <w:rsid w:val="00807DB5"/>
    <w:rsid w:val="00809B14"/>
    <w:rsid w:val="0081004C"/>
    <w:rsid w:val="00810081"/>
    <w:rsid w:val="008102C8"/>
    <w:rsid w:val="00810432"/>
    <w:rsid w:val="008105A4"/>
    <w:rsid w:val="0081083D"/>
    <w:rsid w:val="00810894"/>
    <w:rsid w:val="00810897"/>
    <w:rsid w:val="00810921"/>
    <w:rsid w:val="00810AF7"/>
    <w:rsid w:val="00810B09"/>
    <w:rsid w:val="00810B60"/>
    <w:rsid w:val="00810B6E"/>
    <w:rsid w:val="00810C56"/>
    <w:rsid w:val="00810C7C"/>
    <w:rsid w:val="00810E92"/>
    <w:rsid w:val="00810FC3"/>
    <w:rsid w:val="00810FEA"/>
    <w:rsid w:val="00811206"/>
    <w:rsid w:val="008112F2"/>
    <w:rsid w:val="0081142B"/>
    <w:rsid w:val="00811447"/>
    <w:rsid w:val="0081150B"/>
    <w:rsid w:val="0081187A"/>
    <w:rsid w:val="00811AE8"/>
    <w:rsid w:val="00811B8E"/>
    <w:rsid w:val="00811C23"/>
    <w:rsid w:val="00811D72"/>
    <w:rsid w:val="00811D83"/>
    <w:rsid w:val="00811D9E"/>
    <w:rsid w:val="0081216D"/>
    <w:rsid w:val="008121C1"/>
    <w:rsid w:val="008121F6"/>
    <w:rsid w:val="0081228B"/>
    <w:rsid w:val="008123AF"/>
    <w:rsid w:val="008123DF"/>
    <w:rsid w:val="0081253A"/>
    <w:rsid w:val="008125DD"/>
    <w:rsid w:val="0081263F"/>
    <w:rsid w:val="008126B5"/>
    <w:rsid w:val="0081272E"/>
    <w:rsid w:val="00812818"/>
    <w:rsid w:val="0081285C"/>
    <w:rsid w:val="00812903"/>
    <w:rsid w:val="00812971"/>
    <w:rsid w:val="008129CB"/>
    <w:rsid w:val="008129F2"/>
    <w:rsid w:val="00812A59"/>
    <w:rsid w:val="00812AA9"/>
    <w:rsid w:val="00812B26"/>
    <w:rsid w:val="00812BFC"/>
    <w:rsid w:val="00812EE6"/>
    <w:rsid w:val="00812F10"/>
    <w:rsid w:val="00812FE8"/>
    <w:rsid w:val="008130AF"/>
    <w:rsid w:val="008132F1"/>
    <w:rsid w:val="00813640"/>
    <w:rsid w:val="00813814"/>
    <w:rsid w:val="0081390E"/>
    <w:rsid w:val="00813A2F"/>
    <w:rsid w:val="00813B53"/>
    <w:rsid w:val="00813F74"/>
    <w:rsid w:val="00813FE8"/>
    <w:rsid w:val="008140D3"/>
    <w:rsid w:val="008143A2"/>
    <w:rsid w:val="00814509"/>
    <w:rsid w:val="008145C6"/>
    <w:rsid w:val="008146FC"/>
    <w:rsid w:val="008147BB"/>
    <w:rsid w:val="00814834"/>
    <w:rsid w:val="00814965"/>
    <w:rsid w:val="008149AF"/>
    <w:rsid w:val="008149CF"/>
    <w:rsid w:val="008149E8"/>
    <w:rsid w:val="00814A73"/>
    <w:rsid w:val="00814BA3"/>
    <w:rsid w:val="00814C41"/>
    <w:rsid w:val="00814E2F"/>
    <w:rsid w:val="00814EDE"/>
    <w:rsid w:val="00814FBE"/>
    <w:rsid w:val="00814FCE"/>
    <w:rsid w:val="00815088"/>
    <w:rsid w:val="00815222"/>
    <w:rsid w:val="00815328"/>
    <w:rsid w:val="00815459"/>
    <w:rsid w:val="008154C1"/>
    <w:rsid w:val="0081578A"/>
    <w:rsid w:val="008158B0"/>
    <w:rsid w:val="00815AA2"/>
    <w:rsid w:val="00815AC2"/>
    <w:rsid w:val="00815AE1"/>
    <w:rsid w:val="00815B04"/>
    <w:rsid w:val="0081618E"/>
    <w:rsid w:val="008162F1"/>
    <w:rsid w:val="0081638E"/>
    <w:rsid w:val="00816441"/>
    <w:rsid w:val="00816542"/>
    <w:rsid w:val="00816548"/>
    <w:rsid w:val="00816655"/>
    <w:rsid w:val="00816918"/>
    <w:rsid w:val="008169D0"/>
    <w:rsid w:val="00816B65"/>
    <w:rsid w:val="00816B67"/>
    <w:rsid w:val="00816C11"/>
    <w:rsid w:val="00816E8F"/>
    <w:rsid w:val="00817120"/>
    <w:rsid w:val="00817121"/>
    <w:rsid w:val="0081715D"/>
    <w:rsid w:val="0081730E"/>
    <w:rsid w:val="00817396"/>
    <w:rsid w:val="00817525"/>
    <w:rsid w:val="008178B8"/>
    <w:rsid w:val="008179C4"/>
    <w:rsid w:val="00817AA5"/>
    <w:rsid w:val="00817B3F"/>
    <w:rsid w:val="00817D91"/>
    <w:rsid w:val="00817FB9"/>
    <w:rsid w:val="00817FE2"/>
    <w:rsid w:val="008200D3"/>
    <w:rsid w:val="00820350"/>
    <w:rsid w:val="008204A7"/>
    <w:rsid w:val="008205BE"/>
    <w:rsid w:val="00820685"/>
    <w:rsid w:val="008208AF"/>
    <w:rsid w:val="008208D2"/>
    <w:rsid w:val="008208F9"/>
    <w:rsid w:val="00820A7A"/>
    <w:rsid w:val="00820AF5"/>
    <w:rsid w:val="00820CE6"/>
    <w:rsid w:val="00820DE0"/>
    <w:rsid w:val="00820F2F"/>
    <w:rsid w:val="00820F63"/>
    <w:rsid w:val="008210F6"/>
    <w:rsid w:val="008211A1"/>
    <w:rsid w:val="008211DB"/>
    <w:rsid w:val="0082127A"/>
    <w:rsid w:val="00821296"/>
    <w:rsid w:val="00821549"/>
    <w:rsid w:val="0082164D"/>
    <w:rsid w:val="0082168F"/>
    <w:rsid w:val="00821821"/>
    <w:rsid w:val="00821A4B"/>
    <w:rsid w:val="00821AB2"/>
    <w:rsid w:val="00821B2D"/>
    <w:rsid w:val="00821BC3"/>
    <w:rsid w:val="00821CBE"/>
    <w:rsid w:val="00821CE3"/>
    <w:rsid w:val="00821E66"/>
    <w:rsid w:val="00821F68"/>
    <w:rsid w:val="00822084"/>
    <w:rsid w:val="00822128"/>
    <w:rsid w:val="00822592"/>
    <w:rsid w:val="00822658"/>
    <w:rsid w:val="0082266A"/>
    <w:rsid w:val="008226E4"/>
    <w:rsid w:val="00822905"/>
    <w:rsid w:val="00822AB4"/>
    <w:rsid w:val="00822B03"/>
    <w:rsid w:val="00822B42"/>
    <w:rsid w:val="00822C5F"/>
    <w:rsid w:val="00822CAC"/>
    <w:rsid w:val="00822CDC"/>
    <w:rsid w:val="00822F93"/>
    <w:rsid w:val="00823064"/>
    <w:rsid w:val="0082336E"/>
    <w:rsid w:val="008233E6"/>
    <w:rsid w:val="008234F4"/>
    <w:rsid w:val="00823599"/>
    <w:rsid w:val="00823605"/>
    <w:rsid w:val="0082364A"/>
    <w:rsid w:val="008237B5"/>
    <w:rsid w:val="00823B05"/>
    <w:rsid w:val="00823B11"/>
    <w:rsid w:val="00823CCF"/>
    <w:rsid w:val="00823F00"/>
    <w:rsid w:val="00823FF4"/>
    <w:rsid w:val="00824219"/>
    <w:rsid w:val="008245AA"/>
    <w:rsid w:val="008246E2"/>
    <w:rsid w:val="0082476D"/>
    <w:rsid w:val="008247C0"/>
    <w:rsid w:val="0082480A"/>
    <w:rsid w:val="008248BD"/>
    <w:rsid w:val="008248DD"/>
    <w:rsid w:val="00824976"/>
    <w:rsid w:val="00824A45"/>
    <w:rsid w:val="00824AFC"/>
    <w:rsid w:val="00824B4C"/>
    <w:rsid w:val="00824CE7"/>
    <w:rsid w:val="00824D2D"/>
    <w:rsid w:val="00824EA8"/>
    <w:rsid w:val="0082509E"/>
    <w:rsid w:val="008250A4"/>
    <w:rsid w:val="008251F8"/>
    <w:rsid w:val="008256AA"/>
    <w:rsid w:val="00825984"/>
    <w:rsid w:val="008259EE"/>
    <w:rsid w:val="00825D6F"/>
    <w:rsid w:val="00825E63"/>
    <w:rsid w:val="00826456"/>
    <w:rsid w:val="0082645D"/>
    <w:rsid w:val="0082650B"/>
    <w:rsid w:val="00826546"/>
    <w:rsid w:val="008269EA"/>
    <w:rsid w:val="00826ADB"/>
    <w:rsid w:val="00826BC3"/>
    <w:rsid w:val="00826C19"/>
    <w:rsid w:val="00826D3E"/>
    <w:rsid w:val="00826E1F"/>
    <w:rsid w:val="0082701C"/>
    <w:rsid w:val="0082739F"/>
    <w:rsid w:val="008273B6"/>
    <w:rsid w:val="008274B3"/>
    <w:rsid w:val="0082750F"/>
    <w:rsid w:val="00827540"/>
    <w:rsid w:val="00827663"/>
    <w:rsid w:val="00827771"/>
    <w:rsid w:val="008277D1"/>
    <w:rsid w:val="00827852"/>
    <w:rsid w:val="00827877"/>
    <w:rsid w:val="008278DE"/>
    <w:rsid w:val="00827F69"/>
    <w:rsid w:val="00827F71"/>
    <w:rsid w:val="0083004F"/>
    <w:rsid w:val="00830082"/>
    <w:rsid w:val="00830161"/>
    <w:rsid w:val="00830504"/>
    <w:rsid w:val="0083073A"/>
    <w:rsid w:val="00830919"/>
    <w:rsid w:val="0083091F"/>
    <w:rsid w:val="00830924"/>
    <w:rsid w:val="008309F1"/>
    <w:rsid w:val="00830AD4"/>
    <w:rsid w:val="00830C90"/>
    <w:rsid w:val="00830CFB"/>
    <w:rsid w:val="00830CFF"/>
    <w:rsid w:val="00830DC7"/>
    <w:rsid w:val="00830F9B"/>
    <w:rsid w:val="00830FAB"/>
    <w:rsid w:val="00831014"/>
    <w:rsid w:val="008312E5"/>
    <w:rsid w:val="00831356"/>
    <w:rsid w:val="008313D4"/>
    <w:rsid w:val="00831440"/>
    <w:rsid w:val="0083151D"/>
    <w:rsid w:val="0083153A"/>
    <w:rsid w:val="00831618"/>
    <w:rsid w:val="008316A1"/>
    <w:rsid w:val="0083177C"/>
    <w:rsid w:val="008317F6"/>
    <w:rsid w:val="0083199A"/>
    <w:rsid w:val="00831A43"/>
    <w:rsid w:val="00831AC3"/>
    <w:rsid w:val="00831BF3"/>
    <w:rsid w:val="00831CE0"/>
    <w:rsid w:val="00831D1F"/>
    <w:rsid w:val="00831D7F"/>
    <w:rsid w:val="00831D9A"/>
    <w:rsid w:val="008321DC"/>
    <w:rsid w:val="00832282"/>
    <w:rsid w:val="00832283"/>
    <w:rsid w:val="00832317"/>
    <w:rsid w:val="008323DB"/>
    <w:rsid w:val="00832478"/>
    <w:rsid w:val="008324B4"/>
    <w:rsid w:val="008325CD"/>
    <w:rsid w:val="008326CF"/>
    <w:rsid w:val="0083273B"/>
    <w:rsid w:val="00832883"/>
    <w:rsid w:val="00832938"/>
    <w:rsid w:val="00832975"/>
    <w:rsid w:val="008329CE"/>
    <w:rsid w:val="00832BA5"/>
    <w:rsid w:val="00832BEE"/>
    <w:rsid w:val="00832EB4"/>
    <w:rsid w:val="00832F81"/>
    <w:rsid w:val="00833002"/>
    <w:rsid w:val="00833048"/>
    <w:rsid w:val="0083306B"/>
    <w:rsid w:val="00833332"/>
    <w:rsid w:val="00833706"/>
    <w:rsid w:val="008337D8"/>
    <w:rsid w:val="0083382D"/>
    <w:rsid w:val="008338DF"/>
    <w:rsid w:val="00833B1C"/>
    <w:rsid w:val="00833B96"/>
    <w:rsid w:val="00833C39"/>
    <w:rsid w:val="00833E20"/>
    <w:rsid w:val="00833F7F"/>
    <w:rsid w:val="00833FCC"/>
    <w:rsid w:val="00833FE2"/>
    <w:rsid w:val="00834053"/>
    <w:rsid w:val="008340A6"/>
    <w:rsid w:val="00834206"/>
    <w:rsid w:val="0083426B"/>
    <w:rsid w:val="0083462F"/>
    <w:rsid w:val="008349D3"/>
    <w:rsid w:val="00834C11"/>
    <w:rsid w:val="00834CFD"/>
    <w:rsid w:val="00835079"/>
    <w:rsid w:val="008350FE"/>
    <w:rsid w:val="00835396"/>
    <w:rsid w:val="008354EC"/>
    <w:rsid w:val="00835790"/>
    <w:rsid w:val="008358CF"/>
    <w:rsid w:val="008358E9"/>
    <w:rsid w:val="00835984"/>
    <w:rsid w:val="0083599E"/>
    <w:rsid w:val="008359B2"/>
    <w:rsid w:val="00835AA4"/>
    <w:rsid w:val="00835C07"/>
    <w:rsid w:val="00835C0B"/>
    <w:rsid w:val="00835C9A"/>
    <w:rsid w:val="00836212"/>
    <w:rsid w:val="00836280"/>
    <w:rsid w:val="008362C5"/>
    <w:rsid w:val="0083646D"/>
    <w:rsid w:val="0083648C"/>
    <w:rsid w:val="008364DA"/>
    <w:rsid w:val="0083652D"/>
    <w:rsid w:val="00836744"/>
    <w:rsid w:val="008367E7"/>
    <w:rsid w:val="0083688D"/>
    <w:rsid w:val="00836955"/>
    <w:rsid w:val="0083697C"/>
    <w:rsid w:val="008369BE"/>
    <w:rsid w:val="00836C25"/>
    <w:rsid w:val="00836D05"/>
    <w:rsid w:val="0083703E"/>
    <w:rsid w:val="008370C6"/>
    <w:rsid w:val="00837198"/>
    <w:rsid w:val="00837246"/>
    <w:rsid w:val="00837342"/>
    <w:rsid w:val="0083744D"/>
    <w:rsid w:val="00837481"/>
    <w:rsid w:val="00837493"/>
    <w:rsid w:val="0083753B"/>
    <w:rsid w:val="0083764F"/>
    <w:rsid w:val="008376FF"/>
    <w:rsid w:val="0083789B"/>
    <w:rsid w:val="008379CC"/>
    <w:rsid w:val="00837AE0"/>
    <w:rsid w:val="00837B95"/>
    <w:rsid w:val="00837F51"/>
    <w:rsid w:val="0084003C"/>
    <w:rsid w:val="008403EA"/>
    <w:rsid w:val="008405B9"/>
    <w:rsid w:val="0084064D"/>
    <w:rsid w:val="0084070F"/>
    <w:rsid w:val="0084077B"/>
    <w:rsid w:val="00840887"/>
    <w:rsid w:val="00840935"/>
    <w:rsid w:val="00840954"/>
    <w:rsid w:val="00840A7A"/>
    <w:rsid w:val="00840A9A"/>
    <w:rsid w:val="00840D15"/>
    <w:rsid w:val="00840D70"/>
    <w:rsid w:val="00840D7E"/>
    <w:rsid w:val="00840DC4"/>
    <w:rsid w:val="00840EBB"/>
    <w:rsid w:val="00841070"/>
    <w:rsid w:val="00841137"/>
    <w:rsid w:val="00841521"/>
    <w:rsid w:val="00841B4D"/>
    <w:rsid w:val="00841C93"/>
    <w:rsid w:val="00841D29"/>
    <w:rsid w:val="00841F4E"/>
    <w:rsid w:val="0084215F"/>
    <w:rsid w:val="0084223B"/>
    <w:rsid w:val="0084226F"/>
    <w:rsid w:val="00842362"/>
    <w:rsid w:val="00842377"/>
    <w:rsid w:val="0084239E"/>
    <w:rsid w:val="0084248D"/>
    <w:rsid w:val="00842492"/>
    <w:rsid w:val="0084250D"/>
    <w:rsid w:val="00842646"/>
    <w:rsid w:val="00842661"/>
    <w:rsid w:val="00842A23"/>
    <w:rsid w:val="00842A3B"/>
    <w:rsid w:val="00842C2E"/>
    <w:rsid w:val="00842CB3"/>
    <w:rsid w:val="00842D39"/>
    <w:rsid w:val="00842D3F"/>
    <w:rsid w:val="00842EEE"/>
    <w:rsid w:val="00842F36"/>
    <w:rsid w:val="00842F43"/>
    <w:rsid w:val="00842FAD"/>
    <w:rsid w:val="0084318A"/>
    <w:rsid w:val="00843427"/>
    <w:rsid w:val="0084356D"/>
    <w:rsid w:val="008436BF"/>
    <w:rsid w:val="00843719"/>
    <w:rsid w:val="00843991"/>
    <w:rsid w:val="008439A9"/>
    <w:rsid w:val="00843AE0"/>
    <w:rsid w:val="00843B85"/>
    <w:rsid w:val="00843BAF"/>
    <w:rsid w:val="00843CEC"/>
    <w:rsid w:val="00843D87"/>
    <w:rsid w:val="00843FA3"/>
    <w:rsid w:val="0084432C"/>
    <w:rsid w:val="008443EC"/>
    <w:rsid w:val="0084440A"/>
    <w:rsid w:val="0084461F"/>
    <w:rsid w:val="00844A53"/>
    <w:rsid w:val="00844B47"/>
    <w:rsid w:val="00844BEE"/>
    <w:rsid w:val="00844CD1"/>
    <w:rsid w:val="00844D26"/>
    <w:rsid w:val="00844E75"/>
    <w:rsid w:val="00845111"/>
    <w:rsid w:val="008451A8"/>
    <w:rsid w:val="0084538E"/>
    <w:rsid w:val="00845414"/>
    <w:rsid w:val="00845487"/>
    <w:rsid w:val="00845534"/>
    <w:rsid w:val="0084590A"/>
    <w:rsid w:val="00845971"/>
    <w:rsid w:val="008459D9"/>
    <w:rsid w:val="008459FB"/>
    <w:rsid w:val="00845B5B"/>
    <w:rsid w:val="00845B99"/>
    <w:rsid w:val="00845C9C"/>
    <w:rsid w:val="00845CAF"/>
    <w:rsid w:val="00845DC0"/>
    <w:rsid w:val="00845F18"/>
    <w:rsid w:val="00845F3C"/>
    <w:rsid w:val="00845F8F"/>
    <w:rsid w:val="00846006"/>
    <w:rsid w:val="008461DD"/>
    <w:rsid w:val="00846323"/>
    <w:rsid w:val="00846364"/>
    <w:rsid w:val="008465DF"/>
    <w:rsid w:val="00846753"/>
    <w:rsid w:val="008468E3"/>
    <w:rsid w:val="008468F7"/>
    <w:rsid w:val="0084695E"/>
    <w:rsid w:val="00846C86"/>
    <w:rsid w:val="00846CC8"/>
    <w:rsid w:val="00846F6F"/>
    <w:rsid w:val="0084716A"/>
    <w:rsid w:val="0084725B"/>
    <w:rsid w:val="008474E7"/>
    <w:rsid w:val="00847597"/>
    <w:rsid w:val="008475B0"/>
    <w:rsid w:val="008477DC"/>
    <w:rsid w:val="0084794E"/>
    <w:rsid w:val="00847974"/>
    <w:rsid w:val="00847984"/>
    <w:rsid w:val="00847C28"/>
    <w:rsid w:val="00847C2F"/>
    <w:rsid w:val="00847C9B"/>
    <w:rsid w:val="00847E59"/>
    <w:rsid w:val="00847EB7"/>
    <w:rsid w:val="00850097"/>
    <w:rsid w:val="008501C3"/>
    <w:rsid w:val="008501DE"/>
    <w:rsid w:val="0085032A"/>
    <w:rsid w:val="00850358"/>
    <w:rsid w:val="008503AE"/>
    <w:rsid w:val="008503FB"/>
    <w:rsid w:val="008504B8"/>
    <w:rsid w:val="0085081C"/>
    <w:rsid w:val="00850963"/>
    <w:rsid w:val="00850A2A"/>
    <w:rsid w:val="00850A55"/>
    <w:rsid w:val="00850BA0"/>
    <w:rsid w:val="00850BA1"/>
    <w:rsid w:val="00850BD5"/>
    <w:rsid w:val="00850E5B"/>
    <w:rsid w:val="00850EC9"/>
    <w:rsid w:val="00851102"/>
    <w:rsid w:val="008511DD"/>
    <w:rsid w:val="00851267"/>
    <w:rsid w:val="0085158F"/>
    <w:rsid w:val="008515A0"/>
    <w:rsid w:val="008515BB"/>
    <w:rsid w:val="00851621"/>
    <w:rsid w:val="008516B3"/>
    <w:rsid w:val="008516C1"/>
    <w:rsid w:val="00851709"/>
    <w:rsid w:val="008517AB"/>
    <w:rsid w:val="008517E8"/>
    <w:rsid w:val="0085187C"/>
    <w:rsid w:val="008519CD"/>
    <w:rsid w:val="00851A40"/>
    <w:rsid w:val="00851D0B"/>
    <w:rsid w:val="00851D51"/>
    <w:rsid w:val="00851F94"/>
    <w:rsid w:val="00852017"/>
    <w:rsid w:val="00852345"/>
    <w:rsid w:val="00852524"/>
    <w:rsid w:val="0085256F"/>
    <w:rsid w:val="0085281E"/>
    <w:rsid w:val="00852995"/>
    <w:rsid w:val="00852D63"/>
    <w:rsid w:val="00852DB2"/>
    <w:rsid w:val="00853160"/>
    <w:rsid w:val="008532F6"/>
    <w:rsid w:val="00853412"/>
    <w:rsid w:val="00853462"/>
    <w:rsid w:val="008534B3"/>
    <w:rsid w:val="0085356A"/>
    <w:rsid w:val="008535B8"/>
    <w:rsid w:val="00853762"/>
    <w:rsid w:val="00853908"/>
    <w:rsid w:val="00853A90"/>
    <w:rsid w:val="00853AE4"/>
    <w:rsid w:val="00853AEA"/>
    <w:rsid w:val="00853B4A"/>
    <w:rsid w:val="00853CA6"/>
    <w:rsid w:val="00853D85"/>
    <w:rsid w:val="00853EE0"/>
    <w:rsid w:val="00853EEE"/>
    <w:rsid w:val="00853FDE"/>
    <w:rsid w:val="008540AE"/>
    <w:rsid w:val="008543AF"/>
    <w:rsid w:val="008543E6"/>
    <w:rsid w:val="0085450A"/>
    <w:rsid w:val="00854B27"/>
    <w:rsid w:val="00854F01"/>
    <w:rsid w:val="00854FAA"/>
    <w:rsid w:val="00855155"/>
    <w:rsid w:val="00855165"/>
    <w:rsid w:val="00855286"/>
    <w:rsid w:val="008553BB"/>
    <w:rsid w:val="008554C5"/>
    <w:rsid w:val="008555B7"/>
    <w:rsid w:val="008557D2"/>
    <w:rsid w:val="008558B4"/>
    <w:rsid w:val="0085595F"/>
    <w:rsid w:val="00855A05"/>
    <w:rsid w:val="00855A49"/>
    <w:rsid w:val="00855B9C"/>
    <w:rsid w:val="00855D16"/>
    <w:rsid w:val="00855D30"/>
    <w:rsid w:val="00855E9D"/>
    <w:rsid w:val="00855FF0"/>
    <w:rsid w:val="00856040"/>
    <w:rsid w:val="0085606E"/>
    <w:rsid w:val="0085615C"/>
    <w:rsid w:val="00856243"/>
    <w:rsid w:val="0085639C"/>
    <w:rsid w:val="00856445"/>
    <w:rsid w:val="008564D2"/>
    <w:rsid w:val="00856524"/>
    <w:rsid w:val="0085653C"/>
    <w:rsid w:val="0085668A"/>
    <w:rsid w:val="00856861"/>
    <w:rsid w:val="008568C0"/>
    <w:rsid w:val="008568E9"/>
    <w:rsid w:val="00856939"/>
    <w:rsid w:val="00856BB7"/>
    <w:rsid w:val="00856D63"/>
    <w:rsid w:val="00856F64"/>
    <w:rsid w:val="008570BC"/>
    <w:rsid w:val="008570E3"/>
    <w:rsid w:val="008573AB"/>
    <w:rsid w:val="008573EE"/>
    <w:rsid w:val="008574B9"/>
    <w:rsid w:val="00857534"/>
    <w:rsid w:val="0085753D"/>
    <w:rsid w:val="008576B2"/>
    <w:rsid w:val="00857861"/>
    <w:rsid w:val="008578B6"/>
    <w:rsid w:val="00857BAD"/>
    <w:rsid w:val="00857CAD"/>
    <w:rsid w:val="00857CEC"/>
    <w:rsid w:val="00857E6D"/>
    <w:rsid w:val="00857F4B"/>
    <w:rsid w:val="0086000E"/>
    <w:rsid w:val="008600AF"/>
    <w:rsid w:val="00860339"/>
    <w:rsid w:val="0086037B"/>
    <w:rsid w:val="00860390"/>
    <w:rsid w:val="00860509"/>
    <w:rsid w:val="0086068E"/>
    <w:rsid w:val="00860865"/>
    <w:rsid w:val="008608C4"/>
    <w:rsid w:val="008609CD"/>
    <w:rsid w:val="00860A59"/>
    <w:rsid w:val="00860CD1"/>
    <w:rsid w:val="00860D48"/>
    <w:rsid w:val="00860D62"/>
    <w:rsid w:val="00860DD9"/>
    <w:rsid w:val="00860E2D"/>
    <w:rsid w:val="00860F09"/>
    <w:rsid w:val="00860FEB"/>
    <w:rsid w:val="0086128F"/>
    <w:rsid w:val="0086143A"/>
    <w:rsid w:val="00861460"/>
    <w:rsid w:val="008614D2"/>
    <w:rsid w:val="00861977"/>
    <w:rsid w:val="00861B0E"/>
    <w:rsid w:val="00861BB3"/>
    <w:rsid w:val="00861CC7"/>
    <w:rsid w:val="0086217E"/>
    <w:rsid w:val="008623EE"/>
    <w:rsid w:val="0086241B"/>
    <w:rsid w:val="00862502"/>
    <w:rsid w:val="00862588"/>
    <w:rsid w:val="008625F0"/>
    <w:rsid w:val="0086260D"/>
    <w:rsid w:val="0086269D"/>
    <w:rsid w:val="00862863"/>
    <w:rsid w:val="008629FE"/>
    <w:rsid w:val="00862C45"/>
    <w:rsid w:val="00862C79"/>
    <w:rsid w:val="00862DDC"/>
    <w:rsid w:val="00862E34"/>
    <w:rsid w:val="00863226"/>
    <w:rsid w:val="008632B6"/>
    <w:rsid w:val="008632C4"/>
    <w:rsid w:val="008635B6"/>
    <w:rsid w:val="0086373F"/>
    <w:rsid w:val="00863878"/>
    <w:rsid w:val="008639DC"/>
    <w:rsid w:val="00863A9C"/>
    <w:rsid w:val="00863AE9"/>
    <w:rsid w:val="00863C1F"/>
    <w:rsid w:val="00863C64"/>
    <w:rsid w:val="00863CE2"/>
    <w:rsid w:val="00863D1D"/>
    <w:rsid w:val="00863DA2"/>
    <w:rsid w:val="00863ED5"/>
    <w:rsid w:val="00863F89"/>
    <w:rsid w:val="008641F5"/>
    <w:rsid w:val="00864255"/>
    <w:rsid w:val="008642EA"/>
    <w:rsid w:val="008647B4"/>
    <w:rsid w:val="0086486F"/>
    <w:rsid w:val="008648FF"/>
    <w:rsid w:val="0086492A"/>
    <w:rsid w:val="0086499C"/>
    <w:rsid w:val="008649C9"/>
    <w:rsid w:val="008649D1"/>
    <w:rsid w:val="00864AA0"/>
    <w:rsid w:val="00864B3C"/>
    <w:rsid w:val="00864B92"/>
    <w:rsid w:val="00865176"/>
    <w:rsid w:val="008651A1"/>
    <w:rsid w:val="008651F9"/>
    <w:rsid w:val="00865287"/>
    <w:rsid w:val="008657DA"/>
    <w:rsid w:val="008658A6"/>
    <w:rsid w:val="008658C1"/>
    <w:rsid w:val="008658C2"/>
    <w:rsid w:val="008659A5"/>
    <w:rsid w:val="008659C1"/>
    <w:rsid w:val="00865ED2"/>
    <w:rsid w:val="008660AC"/>
    <w:rsid w:val="008660E2"/>
    <w:rsid w:val="008661AC"/>
    <w:rsid w:val="008663C7"/>
    <w:rsid w:val="00866406"/>
    <w:rsid w:val="00866462"/>
    <w:rsid w:val="00866558"/>
    <w:rsid w:val="00866629"/>
    <w:rsid w:val="00866714"/>
    <w:rsid w:val="00866808"/>
    <w:rsid w:val="00866853"/>
    <w:rsid w:val="00866B7E"/>
    <w:rsid w:val="00866C5F"/>
    <w:rsid w:val="00866D80"/>
    <w:rsid w:val="00866EBD"/>
    <w:rsid w:val="0086785B"/>
    <w:rsid w:val="0086796C"/>
    <w:rsid w:val="008679B5"/>
    <w:rsid w:val="008679F6"/>
    <w:rsid w:val="00867CEF"/>
    <w:rsid w:val="00867EC6"/>
    <w:rsid w:val="00867FA5"/>
    <w:rsid w:val="0087003C"/>
    <w:rsid w:val="008700B5"/>
    <w:rsid w:val="00870205"/>
    <w:rsid w:val="0087034D"/>
    <w:rsid w:val="00870384"/>
    <w:rsid w:val="00870388"/>
    <w:rsid w:val="00870408"/>
    <w:rsid w:val="00870431"/>
    <w:rsid w:val="008704D6"/>
    <w:rsid w:val="008705FB"/>
    <w:rsid w:val="0087087F"/>
    <w:rsid w:val="00870AF4"/>
    <w:rsid w:val="00870D89"/>
    <w:rsid w:val="00870ED6"/>
    <w:rsid w:val="00870F8B"/>
    <w:rsid w:val="008710DA"/>
    <w:rsid w:val="008710E5"/>
    <w:rsid w:val="008711C8"/>
    <w:rsid w:val="0087131D"/>
    <w:rsid w:val="008713FE"/>
    <w:rsid w:val="00871547"/>
    <w:rsid w:val="0087154E"/>
    <w:rsid w:val="0087185A"/>
    <w:rsid w:val="00871933"/>
    <w:rsid w:val="00871AAA"/>
    <w:rsid w:val="00871BFB"/>
    <w:rsid w:val="00871C48"/>
    <w:rsid w:val="00871C8F"/>
    <w:rsid w:val="00871D46"/>
    <w:rsid w:val="00871E4A"/>
    <w:rsid w:val="00871ECF"/>
    <w:rsid w:val="00871F14"/>
    <w:rsid w:val="00871F90"/>
    <w:rsid w:val="00872285"/>
    <w:rsid w:val="00872410"/>
    <w:rsid w:val="00872521"/>
    <w:rsid w:val="008725AF"/>
    <w:rsid w:val="00872600"/>
    <w:rsid w:val="00872915"/>
    <w:rsid w:val="00872A8A"/>
    <w:rsid w:val="00872C39"/>
    <w:rsid w:val="00872C78"/>
    <w:rsid w:val="00872C8E"/>
    <w:rsid w:val="00872E59"/>
    <w:rsid w:val="00872F13"/>
    <w:rsid w:val="008730C6"/>
    <w:rsid w:val="008732A4"/>
    <w:rsid w:val="008734BB"/>
    <w:rsid w:val="008734D4"/>
    <w:rsid w:val="00873545"/>
    <w:rsid w:val="00873646"/>
    <w:rsid w:val="008736BC"/>
    <w:rsid w:val="00873725"/>
    <w:rsid w:val="0087379A"/>
    <w:rsid w:val="008737B0"/>
    <w:rsid w:val="0087382F"/>
    <w:rsid w:val="00873A6B"/>
    <w:rsid w:val="00873C50"/>
    <w:rsid w:val="00873E7D"/>
    <w:rsid w:val="00873FB9"/>
    <w:rsid w:val="0087412D"/>
    <w:rsid w:val="00874390"/>
    <w:rsid w:val="008744B2"/>
    <w:rsid w:val="008745DD"/>
    <w:rsid w:val="0087460F"/>
    <w:rsid w:val="008749E1"/>
    <w:rsid w:val="00874AB5"/>
    <w:rsid w:val="00874B3A"/>
    <w:rsid w:val="00874C4B"/>
    <w:rsid w:val="00874D3E"/>
    <w:rsid w:val="00874DA6"/>
    <w:rsid w:val="00874EAF"/>
    <w:rsid w:val="00874EC1"/>
    <w:rsid w:val="00874F28"/>
    <w:rsid w:val="00874FA7"/>
    <w:rsid w:val="00875285"/>
    <w:rsid w:val="00875286"/>
    <w:rsid w:val="008753C1"/>
    <w:rsid w:val="00875516"/>
    <w:rsid w:val="008755F2"/>
    <w:rsid w:val="00875604"/>
    <w:rsid w:val="00875692"/>
    <w:rsid w:val="008756D6"/>
    <w:rsid w:val="00875A51"/>
    <w:rsid w:val="00875A8C"/>
    <w:rsid w:val="00875A9C"/>
    <w:rsid w:val="00875B50"/>
    <w:rsid w:val="00875BFF"/>
    <w:rsid w:val="00875DC2"/>
    <w:rsid w:val="00875DCF"/>
    <w:rsid w:val="00875EFB"/>
    <w:rsid w:val="00875FDF"/>
    <w:rsid w:val="00876142"/>
    <w:rsid w:val="00876144"/>
    <w:rsid w:val="008761B3"/>
    <w:rsid w:val="008763DF"/>
    <w:rsid w:val="008763EF"/>
    <w:rsid w:val="00876523"/>
    <w:rsid w:val="00876612"/>
    <w:rsid w:val="0087663E"/>
    <w:rsid w:val="00876761"/>
    <w:rsid w:val="008767AB"/>
    <w:rsid w:val="00876B22"/>
    <w:rsid w:val="00876B3B"/>
    <w:rsid w:val="00876CD0"/>
    <w:rsid w:val="00876D66"/>
    <w:rsid w:val="00876FD5"/>
    <w:rsid w:val="008770F5"/>
    <w:rsid w:val="00877103"/>
    <w:rsid w:val="00877261"/>
    <w:rsid w:val="008772A9"/>
    <w:rsid w:val="00877364"/>
    <w:rsid w:val="00877373"/>
    <w:rsid w:val="008773AE"/>
    <w:rsid w:val="008773F3"/>
    <w:rsid w:val="0087744B"/>
    <w:rsid w:val="00877536"/>
    <w:rsid w:val="00877576"/>
    <w:rsid w:val="00877600"/>
    <w:rsid w:val="0087797F"/>
    <w:rsid w:val="008779F4"/>
    <w:rsid w:val="00877B5D"/>
    <w:rsid w:val="00877B91"/>
    <w:rsid w:val="00877BFE"/>
    <w:rsid w:val="00877CBC"/>
    <w:rsid w:val="00877D53"/>
    <w:rsid w:val="00877DB8"/>
    <w:rsid w:val="00877E21"/>
    <w:rsid w:val="00877E90"/>
    <w:rsid w:val="00877F04"/>
    <w:rsid w:val="00877FB5"/>
    <w:rsid w:val="00880202"/>
    <w:rsid w:val="008803ED"/>
    <w:rsid w:val="00880455"/>
    <w:rsid w:val="0088068B"/>
    <w:rsid w:val="00880791"/>
    <w:rsid w:val="00880846"/>
    <w:rsid w:val="00880849"/>
    <w:rsid w:val="00880A80"/>
    <w:rsid w:val="00880BF0"/>
    <w:rsid w:val="00880CB6"/>
    <w:rsid w:val="00880EBF"/>
    <w:rsid w:val="00880F73"/>
    <w:rsid w:val="00880FBD"/>
    <w:rsid w:val="0088139E"/>
    <w:rsid w:val="008814E0"/>
    <w:rsid w:val="0088151C"/>
    <w:rsid w:val="0088189E"/>
    <w:rsid w:val="008818C7"/>
    <w:rsid w:val="008818D2"/>
    <w:rsid w:val="008819EF"/>
    <w:rsid w:val="00881A14"/>
    <w:rsid w:val="00881BEE"/>
    <w:rsid w:val="00881C05"/>
    <w:rsid w:val="00881C99"/>
    <w:rsid w:val="00881E5E"/>
    <w:rsid w:val="00881F09"/>
    <w:rsid w:val="00881F8F"/>
    <w:rsid w:val="0088204B"/>
    <w:rsid w:val="008820A6"/>
    <w:rsid w:val="00882269"/>
    <w:rsid w:val="008823EC"/>
    <w:rsid w:val="008825C4"/>
    <w:rsid w:val="00882748"/>
    <w:rsid w:val="0088280C"/>
    <w:rsid w:val="008828E9"/>
    <w:rsid w:val="00882A3A"/>
    <w:rsid w:val="00882CC6"/>
    <w:rsid w:val="00882DBA"/>
    <w:rsid w:val="00882E86"/>
    <w:rsid w:val="00882F55"/>
    <w:rsid w:val="00883024"/>
    <w:rsid w:val="00883339"/>
    <w:rsid w:val="00883359"/>
    <w:rsid w:val="008833BA"/>
    <w:rsid w:val="008836B1"/>
    <w:rsid w:val="0088380C"/>
    <w:rsid w:val="008838C9"/>
    <w:rsid w:val="008839C1"/>
    <w:rsid w:val="008839DD"/>
    <w:rsid w:val="008839E1"/>
    <w:rsid w:val="008839F6"/>
    <w:rsid w:val="00883DE8"/>
    <w:rsid w:val="00883E9D"/>
    <w:rsid w:val="0088407F"/>
    <w:rsid w:val="008840D8"/>
    <w:rsid w:val="008840E8"/>
    <w:rsid w:val="00884665"/>
    <w:rsid w:val="00884737"/>
    <w:rsid w:val="0088476A"/>
    <w:rsid w:val="00884B9F"/>
    <w:rsid w:val="00884D1B"/>
    <w:rsid w:val="00884D56"/>
    <w:rsid w:val="00884DCE"/>
    <w:rsid w:val="00884E01"/>
    <w:rsid w:val="00884F05"/>
    <w:rsid w:val="0088506F"/>
    <w:rsid w:val="0088514A"/>
    <w:rsid w:val="008852ED"/>
    <w:rsid w:val="00885370"/>
    <w:rsid w:val="008853D5"/>
    <w:rsid w:val="00885404"/>
    <w:rsid w:val="00885488"/>
    <w:rsid w:val="00885516"/>
    <w:rsid w:val="00885518"/>
    <w:rsid w:val="0088552A"/>
    <w:rsid w:val="0088559C"/>
    <w:rsid w:val="0088568A"/>
    <w:rsid w:val="008857E8"/>
    <w:rsid w:val="008857E9"/>
    <w:rsid w:val="00885988"/>
    <w:rsid w:val="008859E2"/>
    <w:rsid w:val="00885A57"/>
    <w:rsid w:val="00885B4E"/>
    <w:rsid w:val="00885BAA"/>
    <w:rsid w:val="00885C99"/>
    <w:rsid w:val="00885CB8"/>
    <w:rsid w:val="00885EA3"/>
    <w:rsid w:val="00885EC0"/>
    <w:rsid w:val="00885EEA"/>
    <w:rsid w:val="00885F5D"/>
    <w:rsid w:val="00885FC4"/>
    <w:rsid w:val="008860AD"/>
    <w:rsid w:val="008861EF"/>
    <w:rsid w:val="008862CF"/>
    <w:rsid w:val="008862F5"/>
    <w:rsid w:val="00886353"/>
    <w:rsid w:val="008863DE"/>
    <w:rsid w:val="0088641B"/>
    <w:rsid w:val="008864C2"/>
    <w:rsid w:val="0088651E"/>
    <w:rsid w:val="0088661D"/>
    <w:rsid w:val="0088683C"/>
    <w:rsid w:val="008868C1"/>
    <w:rsid w:val="00886B29"/>
    <w:rsid w:val="00886BB4"/>
    <w:rsid w:val="00886C1C"/>
    <w:rsid w:val="00886C70"/>
    <w:rsid w:val="00886CBE"/>
    <w:rsid w:val="00886EAD"/>
    <w:rsid w:val="00886EFB"/>
    <w:rsid w:val="00886F65"/>
    <w:rsid w:val="00886F95"/>
    <w:rsid w:val="00887029"/>
    <w:rsid w:val="00887190"/>
    <w:rsid w:val="0088719E"/>
    <w:rsid w:val="0088745E"/>
    <w:rsid w:val="008875AD"/>
    <w:rsid w:val="00887AF3"/>
    <w:rsid w:val="00887B30"/>
    <w:rsid w:val="00887BC0"/>
    <w:rsid w:val="00887D0F"/>
    <w:rsid w:val="00887DA6"/>
    <w:rsid w:val="00887E05"/>
    <w:rsid w:val="00887FA3"/>
    <w:rsid w:val="008900F2"/>
    <w:rsid w:val="008901E0"/>
    <w:rsid w:val="0089030C"/>
    <w:rsid w:val="00890446"/>
    <w:rsid w:val="00890452"/>
    <w:rsid w:val="008904CE"/>
    <w:rsid w:val="008905EE"/>
    <w:rsid w:val="008907E5"/>
    <w:rsid w:val="0089083B"/>
    <w:rsid w:val="008908C7"/>
    <w:rsid w:val="0089092A"/>
    <w:rsid w:val="0089099D"/>
    <w:rsid w:val="00890AB1"/>
    <w:rsid w:val="00890B9A"/>
    <w:rsid w:val="00890C17"/>
    <w:rsid w:val="00890C8E"/>
    <w:rsid w:val="00890E32"/>
    <w:rsid w:val="00890E5E"/>
    <w:rsid w:val="0089101B"/>
    <w:rsid w:val="008910C1"/>
    <w:rsid w:val="00891175"/>
    <w:rsid w:val="00891203"/>
    <w:rsid w:val="008913A5"/>
    <w:rsid w:val="0089147D"/>
    <w:rsid w:val="00891686"/>
    <w:rsid w:val="008916CE"/>
    <w:rsid w:val="008917D0"/>
    <w:rsid w:val="00891875"/>
    <w:rsid w:val="008918AD"/>
    <w:rsid w:val="00891B9F"/>
    <w:rsid w:val="00891EEF"/>
    <w:rsid w:val="008920A7"/>
    <w:rsid w:val="0089233F"/>
    <w:rsid w:val="008923B0"/>
    <w:rsid w:val="0089250C"/>
    <w:rsid w:val="00892528"/>
    <w:rsid w:val="008925AD"/>
    <w:rsid w:val="00892746"/>
    <w:rsid w:val="00892758"/>
    <w:rsid w:val="0089291E"/>
    <w:rsid w:val="00892923"/>
    <w:rsid w:val="00892BBD"/>
    <w:rsid w:val="00892CB5"/>
    <w:rsid w:val="00892CD2"/>
    <w:rsid w:val="00892FB3"/>
    <w:rsid w:val="00892FC8"/>
    <w:rsid w:val="008931DD"/>
    <w:rsid w:val="00893205"/>
    <w:rsid w:val="008932AB"/>
    <w:rsid w:val="008932D2"/>
    <w:rsid w:val="008932FE"/>
    <w:rsid w:val="00893399"/>
    <w:rsid w:val="0089353D"/>
    <w:rsid w:val="00893649"/>
    <w:rsid w:val="0089364D"/>
    <w:rsid w:val="00893719"/>
    <w:rsid w:val="008937DF"/>
    <w:rsid w:val="008939E5"/>
    <w:rsid w:val="00893B21"/>
    <w:rsid w:val="00893B33"/>
    <w:rsid w:val="00893DDC"/>
    <w:rsid w:val="00893E6F"/>
    <w:rsid w:val="00893FCC"/>
    <w:rsid w:val="0089413B"/>
    <w:rsid w:val="008941A5"/>
    <w:rsid w:val="0089438F"/>
    <w:rsid w:val="00894501"/>
    <w:rsid w:val="00894616"/>
    <w:rsid w:val="008946A6"/>
    <w:rsid w:val="00894743"/>
    <w:rsid w:val="00894850"/>
    <w:rsid w:val="008948B9"/>
    <w:rsid w:val="00894C43"/>
    <w:rsid w:val="00894DB6"/>
    <w:rsid w:val="008950B7"/>
    <w:rsid w:val="00895267"/>
    <w:rsid w:val="008952FA"/>
    <w:rsid w:val="00895491"/>
    <w:rsid w:val="00895591"/>
    <w:rsid w:val="00895636"/>
    <w:rsid w:val="00895649"/>
    <w:rsid w:val="008956CF"/>
    <w:rsid w:val="0089594C"/>
    <w:rsid w:val="00895C61"/>
    <w:rsid w:val="00895C76"/>
    <w:rsid w:val="00895DF9"/>
    <w:rsid w:val="00895E4C"/>
    <w:rsid w:val="008961BA"/>
    <w:rsid w:val="00896445"/>
    <w:rsid w:val="0089654E"/>
    <w:rsid w:val="00896566"/>
    <w:rsid w:val="00896633"/>
    <w:rsid w:val="00896743"/>
    <w:rsid w:val="00896829"/>
    <w:rsid w:val="00896913"/>
    <w:rsid w:val="008969F7"/>
    <w:rsid w:val="00896A5D"/>
    <w:rsid w:val="00896CD3"/>
    <w:rsid w:val="00896FF6"/>
    <w:rsid w:val="00897035"/>
    <w:rsid w:val="0089709C"/>
    <w:rsid w:val="008975EA"/>
    <w:rsid w:val="00897627"/>
    <w:rsid w:val="00897633"/>
    <w:rsid w:val="0089769A"/>
    <w:rsid w:val="00897971"/>
    <w:rsid w:val="0089797C"/>
    <w:rsid w:val="00897986"/>
    <w:rsid w:val="00897999"/>
    <w:rsid w:val="008979FB"/>
    <w:rsid w:val="00897A31"/>
    <w:rsid w:val="00897A86"/>
    <w:rsid w:val="00897ABB"/>
    <w:rsid w:val="00897AE7"/>
    <w:rsid w:val="00897C0D"/>
    <w:rsid w:val="00897D4F"/>
    <w:rsid w:val="00897EB9"/>
    <w:rsid w:val="00897F83"/>
    <w:rsid w:val="008A04C4"/>
    <w:rsid w:val="008A0589"/>
    <w:rsid w:val="008A05E4"/>
    <w:rsid w:val="008A0993"/>
    <w:rsid w:val="008A09BA"/>
    <w:rsid w:val="008A0A15"/>
    <w:rsid w:val="008A0BFC"/>
    <w:rsid w:val="008A0D99"/>
    <w:rsid w:val="008A116F"/>
    <w:rsid w:val="008A13B6"/>
    <w:rsid w:val="008A147B"/>
    <w:rsid w:val="008A1696"/>
    <w:rsid w:val="008A1860"/>
    <w:rsid w:val="008A1A0E"/>
    <w:rsid w:val="008A1B09"/>
    <w:rsid w:val="008A1CEE"/>
    <w:rsid w:val="008A1CF0"/>
    <w:rsid w:val="008A1DCE"/>
    <w:rsid w:val="008A1E3F"/>
    <w:rsid w:val="008A1FA9"/>
    <w:rsid w:val="008A1FAD"/>
    <w:rsid w:val="008A2087"/>
    <w:rsid w:val="008A2099"/>
    <w:rsid w:val="008A23DF"/>
    <w:rsid w:val="008A245E"/>
    <w:rsid w:val="008A27B0"/>
    <w:rsid w:val="008A29CE"/>
    <w:rsid w:val="008A2B41"/>
    <w:rsid w:val="008A2C38"/>
    <w:rsid w:val="008A2CDC"/>
    <w:rsid w:val="008A30EE"/>
    <w:rsid w:val="008A32D1"/>
    <w:rsid w:val="008A33B2"/>
    <w:rsid w:val="008A34F8"/>
    <w:rsid w:val="008A35B9"/>
    <w:rsid w:val="008A3653"/>
    <w:rsid w:val="008A37B0"/>
    <w:rsid w:val="008A385F"/>
    <w:rsid w:val="008A38C2"/>
    <w:rsid w:val="008A399C"/>
    <w:rsid w:val="008A39EA"/>
    <w:rsid w:val="008A3BE0"/>
    <w:rsid w:val="008A3C19"/>
    <w:rsid w:val="008A3C47"/>
    <w:rsid w:val="008A3C4F"/>
    <w:rsid w:val="008A3D93"/>
    <w:rsid w:val="008A3DAA"/>
    <w:rsid w:val="008A3DCF"/>
    <w:rsid w:val="008A3DEF"/>
    <w:rsid w:val="008A3F81"/>
    <w:rsid w:val="008A3F97"/>
    <w:rsid w:val="008A3FE1"/>
    <w:rsid w:val="008A40A1"/>
    <w:rsid w:val="008A4494"/>
    <w:rsid w:val="008A44FB"/>
    <w:rsid w:val="008A480A"/>
    <w:rsid w:val="008A48FF"/>
    <w:rsid w:val="008A4BA6"/>
    <w:rsid w:val="008A4D26"/>
    <w:rsid w:val="008A4E58"/>
    <w:rsid w:val="008A4E9C"/>
    <w:rsid w:val="008A4FCB"/>
    <w:rsid w:val="008A502A"/>
    <w:rsid w:val="008A50D8"/>
    <w:rsid w:val="008A5227"/>
    <w:rsid w:val="008A533E"/>
    <w:rsid w:val="008A5477"/>
    <w:rsid w:val="008A54E9"/>
    <w:rsid w:val="008A562F"/>
    <w:rsid w:val="008A5662"/>
    <w:rsid w:val="008A583E"/>
    <w:rsid w:val="008A58C7"/>
    <w:rsid w:val="008A58CD"/>
    <w:rsid w:val="008A59ED"/>
    <w:rsid w:val="008A5A2D"/>
    <w:rsid w:val="008A5ACD"/>
    <w:rsid w:val="008A5BFE"/>
    <w:rsid w:val="008A5D74"/>
    <w:rsid w:val="008A5D91"/>
    <w:rsid w:val="008A5F85"/>
    <w:rsid w:val="008A644D"/>
    <w:rsid w:val="008A646B"/>
    <w:rsid w:val="008A6647"/>
    <w:rsid w:val="008A6961"/>
    <w:rsid w:val="008A6EA6"/>
    <w:rsid w:val="008A6F53"/>
    <w:rsid w:val="008A6FFF"/>
    <w:rsid w:val="008A7551"/>
    <w:rsid w:val="008A75B4"/>
    <w:rsid w:val="008A7723"/>
    <w:rsid w:val="008A77E4"/>
    <w:rsid w:val="008A7868"/>
    <w:rsid w:val="008A79CC"/>
    <w:rsid w:val="008A7D45"/>
    <w:rsid w:val="008A7DB1"/>
    <w:rsid w:val="008A7E4B"/>
    <w:rsid w:val="008A7EA0"/>
    <w:rsid w:val="008B0032"/>
    <w:rsid w:val="008B00F7"/>
    <w:rsid w:val="008B014F"/>
    <w:rsid w:val="008B0445"/>
    <w:rsid w:val="008B0517"/>
    <w:rsid w:val="008B0649"/>
    <w:rsid w:val="008B0848"/>
    <w:rsid w:val="008B08A8"/>
    <w:rsid w:val="008B08B8"/>
    <w:rsid w:val="008B08FB"/>
    <w:rsid w:val="008B0B2B"/>
    <w:rsid w:val="008B0B2C"/>
    <w:rsid w:val="008B0B7E"/>
    <w:rsid w:val="008B0BBE"/>
    <w:rsid w:val="008B0EE0"/>
    <w:rsid w:val="008B0F0A"/>
    <w:rsid w:val="008B0F7C"/>
    <w:rsid w:val="008B1592"/>
    <w:rsid w:val="008B16FF"/>
    <w:rsid w:val="008B18E1"/>
    <w:rsid w:val="008B18FA"/>
    <w:rsid w:val="008B18FC"/>
    <w:rsid w:val="008B1BBB"/>
    <w:rsid w:val="008B1C4A"/>
    <w:rsid w:val="008B20F3"/>
    <w:rsid w:val="008B21DB"/>
    <w:rsid w:val="008B21EB"/>
    <w:rsid w:val="008B2702"/>
    <w:rsid w:val="008B2745"/>
    <w:rsid w:val="008B285C"/>
    <w:rsid w:val="008B294A"/>
    <w:rsid w:val="008B2BB4"/>
    <w:rsid w:val="008B2D53"/>
    <w:rsid w:val="008B2D66"/>
    <w:rsid w:val="008B2D95"/>
    <w:rsid w:val="008B2E17"/>
    <w:rsid w:val="008B2EDE"/>
    <w:rsid w:val="008B2FB6"/>
    <w:rsid w:val="008B2FC0"/>
    <w:rsid w:val="008B2FFE"/>
    <w:rsid w:val="008B3110"/>
    <w:rsid w:val="008B3220"/>
    <w:rsid w:val="008B33C1"/>
    <w:rsid w:val="008B35B2"/>
    <w:rsid w:val="008B36DD"/>
    <w:rsid w:val="008B3767"/>
    <w:rsid w:val="008B3923"/>
    <w:rsid w:val="008B39C3"/>
    <w:rsid w:val="008B3B09"/>
    <w:rsid w:val="008B3C2F"/>
    <w:rsid w:val="008B3CC4"/>
    <w:rsid w:val="008B3E0D"/>
    <w:rsid w:val="008B3E24"/>
    <w:rsid w:val="008B3E46"/>
    <w:rsid w:val="008B3E7D"/>
    <w:rsid w:val="008B3EC8"/>
    <w:rsid w:val="008B3FAC"/>
    <w:rsid w:val="008B3FD2"/>
    <w:rsid w:val="008B401B"/>
    <w:rsid w:val="008B40A2"/>
    <w:rsid w:val="008B4102"/>
    <w:rsid w:val="008B4249"/>
    <w:rsid w:val="008B425D"/>
    <w:rsid w:val="008B4299"/>
    <w:rsid w:val="008B438C"/>
    <w:rsid w:val="008B4442"/>
    <w:rsid w:val="008B4459"/>
    <w:rsid w:val="008B446F"/>
    <w:rsid w:val="008B44E8"/>
    <w:rsid w:val="008B4586"/>
    <w:rsid w:val="008B4588"/>
    <w:rsid w:val="008B4893"/>
    <w:rsid w:val="008B490A"/>
    <w:rsid w:val="008B4C5D"/>
    <w:rsid w:val="008B4D4B"/>
    <w:rsid w:val="008B4D54"/>
    <w:rsid w:val="008B4E4E"/>
    <w:rsid w:val="008B4FD6"/>
    <w:rsid w:val="008B50C8"/>
    <w:rsid w:val="008B52FD"/>
    <w:rsid w:val="008B5517"/>
    <w:rsid w:val="008B55DF"/>
    <w:rsid w:val="008B5620"/>
    <w:rsid w:val="008B583D"/>
    <w:rsid w:val="008B5872"/>
    <w:rsid w:val="008B5892"/>
    <w:rsid w:val="008B595C"/>
    <w:rsid w:val="008B5DBC"/>
    <w:rsid w:val="008B6077"/>
    <w:rsid w:val="008B60B4"/>
    <w:rsid w:val="008B625F"/>
    <w:rsid w:val="008B636F"/>
    <w:rsid w:val="008B66D9"/>
    <w:rsid w:val="008B6789"/>
    <w:rsid w:val="008B683D"/>
    <w:rsid w:val="008B6851"/>
    <w:rsid w:val="008B6A20"/>
    <w:rsid w:val="008B6AAC"/>
    <w:rsid w:val="008B6B35"/>
    <w:rsid w:val="008B6CB9"/>
    <w:rsid w:val="008B6D52"/>
    <w:rsid w:val="008B6D58"/>
    <w:rsid w:val="008B6F23"/>
    <w:rsid w:val="008B6F37"/>
    <w:rsid w:val="008B6FD4"/>
    <w:rsid w:val="008B7022"/>
    <w:rsid w:val="008B703F"/>
    <w:rsid w:val="008B70C2"/>
    <w:rsid w:val="008B70F3"/>
    <w:rsid w:val="008B71E4"/>
    <w:rsid w:val="008B724C"/>
    <w:rsid w:val="008B735B"/>
    <w:rsid w:val="008B74B9"/>
    <w:rsid w:val="008B7507"/>
    <w:rsid w:val="008B7599"/>
    <w:rsid w:val="008B75F8"/>
    <w:rsid w:val="008B76C0"/>
    <w:rsid w:val="008B76D0"/>
    <w:rsid w:val="008B7760"/>
    <w:rsid w:val="008B78BB"/>
    <w:rsid w:val="008B7A9D"/>
    <w:rsid w:val="008B7CA4"/>
    <w:rsid w:val="008B7DFC"/>
    <w:rsid w:val="008B7F1E"/>
    <w:rsid w:val="008B7FAB"/>
    <w:rsid w:val="008C00D3"/>
    <w:rsid w:val="008C02BE"/>
    <w:rsid w:val="008C02FD"/>
    <w:rsid w:val="008C03C0"/>
    <w:rsid w:val="008C0480"/>
    <w:rsid w:val="008C057F"/>
    <w:rsid w:val="008C0895"/>
    <w:rsid w:val="008C0CC9"/>
    <w:rsid w:val="008C0EB1"/>
    <w:rsid w:val="008C11AE"/>
    <w:rsid w:val="008C135A"/>
    <w:rsid w:val="008C143E"/>
    <w:rsid w:val="008C1881"/>
    <w:rsid w:val="008C18E1"/>
    <w:rsid w:val="008C198F"/>
    <w:rsid w:val="008C19A1"/>
    <w:rsid w:val="008C1C87"/>
    <w:rsid w:val="008C1E5B"/>
    <w:rsid w:val="008C1FC3"/>
    <w:rsid w:val="008C2020"/>
    <w:rsid w:val="008C2180"/>
    <w:rsid w:val="008C2483"/>
    <w:rsid w:val="008C25A0"/>
    <w:rsid w:val="008C25FB"/>
    <w:rsid w:val="008C2856"/>
    <w:rsid w:val="008C297E"/>
    <w:rsid w:val="008C2B9A"/>
    <w:rsid w:val="008C2BFF"/>
    <w:rsid w:val="008C2D0E"/>
    <w:rsid w:val="008C2D58"/>
    <w:rsid w:val="008C2D6C"/>
    <w:rsid w:val="008C2DC9"/>
    <w:rsid w:val="008C2F3E"/>
    <w:rsid w:val="008C2FB2"/>
    <w:rsid w:val="008C3093"/>
    <w:rsid w:val="008C3131"/>
    <w:rsid w:val="008C3387"/>
    <w:rsid w:val="008C33AE"/>
    <w:rsid w:val="008C34A5"/>
    <w:rsid w:val="008C3548"/>
    <w:rsid w:val="008C3596"/>
    <w:rsid w:val="008C367C"/>
    <w:rsid w:val="008C36E2"/>
    <w:rsid w:val="008C3967"/>
    <w:rsid w:val="008C39DB"/>
    <w:rsid w:val="008C3A9D"/>
    <w:rsid w:val="008C3E55"/>
    <w:rsid w:val="008C3FAA"/>
    <w:rsid w:val="008C41F8"/>
    <w:rsid w:val="008C428F"/>
    <w:rsid w:val="008C43B6"/>
    <w:rsid w:val="008C446F"/>
    <w:rsid w:val="008C44B3"/>
    <w:rsid w:val="008C46FB"/>
    <w:rsid w:val="008C47A9"/>
    <w:rsid w:val="008C49B0"/>
    <w:rsid w:val="008C4A10"/>
    <w:rsid w:val="008C4B5D"/>
    <w:rsid w:val="008C4B8D"/>
    <w:rsid w:val="008C4C94"/>
    <w:rsid w:val="008C4DBB"/>
    <w:rsid w:val="008C4DF8"/>
    <w:rsid w:val="008C4EBB"/>
    <w:rsid w:val="008C50EF"/>
    <w:rsid w:val="008C550E"/>
    <w:rsid w:val="008C563A"/>
    <w:rsid w:val="008C5682"/>
    <w:rsid w:val="008C5724"/>
    <w:rsid w:val="008C5731"/>
    <w:rsid w:val="008C59A5"/>
    <w:rsid w:val="008C5AF8"/>
    <w:rsid w:val="008C5AFF"/>
    <w:rsid w:val="008C5BAE"/>
    <w:rsid w:val="008C5CE9"/>
    <w:rsid w:val="008C5DE0"/>
    <w:rsid w:val="008C5E53"/>
    <w:rsid w:val="008C5F0C"/>
    <w:rsid w:val="008C5FD3"/>
    <w:rsid w:val="008C6177"/>
    <w:rsid w:val="008C628A"/>
    <w:rsid w:val="008C641A"/>
    <w:rsid w:val="008C64D3"/>
    <w:rsid w:val="008C661D"/>
    <w:rsid w:val="008C692A"/>
    <w:rsid w:val="008C6A42"/>
    <w:rsid w:val="008C6A5A"/>
    <w:rsid w:val="008C6AC0"/>
    <w:rsid w:val="008C6C90"/>
    <w:rsid w:val="008C6CF8"/>
    <w:rsid w:val="008C6F99"/>
    <w:rsid w:val="008C6F9A"/>
    <w:rsid w:val="008C7030"/>
    <w:rsid w:val="008C7077"/>
    <w:rsid w:val="008C70B9"/>
    <w:rsid w:val="008C71F1"/>
    <w:rsid w:val="008C72C7"/>
    <w:rsid w:val="008C73F9"/>
    <w:rsid w:val="008C74D4"/>
    <w:rsid w:val="008C74F9"/>
    <w:rsid w:val="008C751E"/>
    <w:rsid w:val="008C75D1"/>
    <w:rsid w:val="008C7685"/>
    <w:rsid w:val="008C7831"/>
    <w:rsid w:val="008C7835"/>
    <w:rsid w:val="008C78EA"/>
    <w:rsid w:val="008C78F8"/>
    <w:rsid w:val="008C7A26"/>
    <w:rsid w:val="008C7A2A"/>
    <w:rsid w:val="008C7B32"/>
    <w:rsid w:val="008C7B37"/>
    <w:rsid w:val="008C7DD2"/>
    <w:rsid w:val="008C7E0E"/>
    <w:rsid w:val="008C7F3C"/>
    <w:rsid w:val="008D005E"/>
    <w:rsid w:val="008D00BE"/>
    <w:rsid w:val="008D0109"/>
    <w:rsid w:val="008D0221"/>
    <w:rsid w:val="008D0328"/>
    <w:rsid w:val="008D0334"/>
    <w:rsid w:val="008D066F"/>
    <w:rsid w:val="008D06EA"/>
    <w:rsid w:val="008D06FB"/>
    <w:rsid w:val="008D0820"/>
    <w:rsid w:val="008D08F1"/>
    <w:rsid w:val="008D09B3"/>
    <w:rsid w:val="008D09BB"/>
    <w:rsid w:val="008D0A10"/>
    <w:rsid w:val="008D0D67"/>
    <w:rsid w:val="008D0E7B"/>
    <w:rsid w:val="008D0ECC"/>
    <w:rsid w:val="008D0F2D"/>
    <w:rsid w:val="008D11B4"/>
    <w:rsid w:val="008D11E6"/>
    <w:rsid w:val="008D1290"/>
    <w:rsid w:val="008D1314"/>
    <w:rsid w:val="008D14B9"/>
    <w:rsid w:val="008D163B"/>
    <w:rsid w:val="008D186B"/>
    <w:rsid w:val="008D190D"/>
    <w:rsid w:val="008D1B9A"/>
    <w:rsid w:val="008D1DF6"/>
    <w:rsid w:val="008D1EBF"/>
    <w:rsid w:val="008D1EE7"/>
    <w:rsid w:val="008D1EFF"/>
    <w:rsid w:val="008D209F"/>
    <w:rsid w:val="008D20AF"/>
    <w:rsid w:val="008D20C2"/>
    <w:rsid w:val="008D2208"/>
    <w:rsid w:val="008D24D1"/>
    <w:rsid w:val="008D2654"/>
    <w:rsid w:val="008D275B"/>
    <w:rsid w:val="008D27D3"/>
    <w:rsid w:val="008D2825"/>
    <w:rsid w:val="008D2902"/>
    <w:rsid w:val="008D29C8"/>
    <w:rsid w:val="008D2B4F"/>
    <w:rsid w:val="008D2BCC"/>
    <w:rsid w:val="008D2BD1"/>
    <w:rsid w:val="008D2DBD"/>
    <w:rsid w:val="008D2E10"/>
    <w:rsid w:val="008D30F9"/>
    <w:rsid w:val="008D316A"/>
    <w:rsid w:val="008D33CC"/>
    <w:rsid w:val="008D34B3"/>
    <w:rsid w:val="008D38C0"/>
    <w:rsid w:val="008D3D2F"/>
    <w:rsid w:val="008D3DBB"/>
    <w:rsid w:val="008D3DDC"/>
    <w:rsid w:val="008D3DDF"/>
    <w:rsid w:val="008D3E0F"/>
    <w:rsid w:val="008D3F44"/>
    <w:rsid w:val="008D3FA1"/>
    <w:rsid w:val="008D3FD4"/>
    <w:rsid w:val="008D402F"/>
    <w:rsid w:val="008D4050"/>
    <w:rsid w:val="008D42FE"/>
    <w:rsid w:val="008D44D3"/>
    <w:rsid w:val="008D453D"/>
    <w:rsid w:val="008D4770"/>
    <w:rsid w:val="008D4BAD"/>
    <w:rsid w:val="008D4C2B"/>
    <w:rsid w:val="008D4F35"/>
    <w:rsid w:val="008D51A0"/>
    <w:rsid w:val="008D5279"/>
    <w:rsid w:val="008D5321"/>
    <w:rsid w:val="008D5342"/>
    <w:rsid w:val="008D5450"/>
    <w:rsid w:val="008D5624"/>
    <w:rsid w:val="008D56A8"/>
    <w:rsid w:val="008D56DC"/>
    <w:rsid w:val="008D57A7"/>
    <w:rsid w:val="008D587B"/>
    <w:rsid w:val="008D5AA8"/>
    <w:rsid w:val="008D5BED"/>
    <w:rsid w:val="008D5C27"/>
    <w:rsid w:val="008D5C81"/>
    <w:rsid w:val="008D5CEF"/>
    <w:rsid w:val="008D5D35"/>
    <w:rsid w:val="008D5D76"/>
    <w:rsid w:val="008D5E12"/>
    <w:rsid w:val="008D622F"/>
    <w:rsid w:val="008D63E3"/>
    <w:rsid w:val="008D6467"/>
    <w:rsid w:val="008D6552"/>
    <w:rsid w:val="008D6597"/>
    <w:rsid w:val="008D6665"/>
    <w:rsid w:val="008D66D5"/>
    <w:rsid w:val="008D6720"/>
    <w:rsid w:val="008D677D"/>
    <w:rsid w:val="008D67A0"/>
    <w:rsid w:val="008D67F6"/>
    <w:rsid w:val="008D6942"/>
    <w:rsid w:val="008D6952"/>
    <w:rsid w:val="008D69B1"/>
    <w:rsid w:val="008D6BC8"/>
    <w:rsid w:val="008D6D9E"/>
    <w:rsid w:val="008D6F20"/>
    <w:rsid w:val="008D707C"/>
    <w:rsid w:val="008D70C6"/>
    <w:rsid w:val="008D720C"/>
    <w:rsid w:val="008D74B1"/>
    <w:rsid w:val="008D74F0"/>
    <w:rsid w:val="008D7525"/>
    <w:rsid w:val="008D77AF"/>
    <w:rsid w:val="008D7A16"/>
    <w:rsid w:val="008D7A45"/>
    <w:rsid w:val="008D7B92"/>
    <w:rsid w:val="008D7DE5"/>
    <w:rsid w:val="008E0047"/>
    <w:rsid w:val="008E0082"/>
    <w:rsid w:val="008E009A"/>
    <w:rsid w:val="008E02ED"/>
    <w:rsid w:val="008E04BB"/>
    <w:rsid w:val="008E054B"/>
    <w:rsid w:val="008E0570"/>
    <w:rsid w:val="008E0988"/>
    <w:rsid w:val="008E0AEE"/>
    <w:rsid w:val="008E0BA8"/>
    <w:rsid w:val="008E0C98"/>
    <w:rsid w:val="008E0D21"/>
    <w:rsid w:val="008E0DF5"/>
    <w:rsid w:val="008E0E12"/>
    <w:rsid w:val="008E0E33"/>
    <w:rsid w:val="008E0EB0"/>
    <w:rsid w:val="008E0EBD"/>
    <w:rsid w:val="008E0F11"/>
    <w:rsid w:val="008E1099"/>
    <w:rsid w:val="008E1192"/>
    <w:rsid w:val="008E15B5"/>
    <w:rsid w:val="008E1647"/>
    <w:rsid w:val="008E1999"/>
    <w:rsid w:val="008E19E6"/>
    <w:rsid w:val="008E1AA1"/>
    <w:rsid w:val="008E1B66"/>
    <w:rsid w:val="008E1C34"/>
    <w:rsid w:val="008E1DA0"/>
    <w:rsid w:val="008E1EC2"/>
    <w:rsid w:val="008E2069"/>
    <w:rsid w:val="008E223B"/>
    <w:rsid w:val="008E22C3"/>
    <w:rsid w:val="008E232D"/>
    <w:rsid w:val="008E24E2"/>
    <w:rsid w:val="008E26B6"/>
    <w:rsid w:val="008E2771"/>
    <w:rsid w:val="008E2793"/>
    <w:rsid w:val="008E2935"/>
    <w:rsid w:val="008E2A99"/>
    <w:rsid w:val="008E2BA0"/>
    <w:rsid w:val="008E2BC5"/>
    <w:rsid w:val="008E2D2C"/>
    <w:rsid w:val="008E2D84"/>
    <w:rsid w:val="008E2FAA"/>
    <w:rsid w:val="008E3014"/>
    <w:rsid w:val="008E30A0"/>
    <w:rsid w:val="008E3154"/>
    <w:rsid w:val="008E31BC"/>
    <w:rsid w:val="008E326C"/>
    <w:rsid w:val="008E3529"/>
    <w:rsid w:val="008E3584"/>
    <w:rsid w:val="008E3654"/>
    <w:rsid w:val="008E3794"/>
    <w:rsid w:val="008E37BF"/>
    <w:rsid w:val="008E37C6"/>
    <w:rsid w:val="008E3878"/>
    <w:rsid w:val="008E39B3"/>
    <w:rsid w:val="008E3A57"/>
    <w:rsid w:val="008E3B42"/>
    <w:rsid w:val="008E3C9F"/>
    <w:rsid w:val="008E3D06"/>
    <w:rsid w:val="008E407B"/>
    <w:rsid w:val="008E414B"/>
    <w:rsid w:val="008E4256"/>
    <w:rsid w:val="008E4373"/>
    <w:rsid w:val="008E440B"/>
    <w:rsid w:val="008E4697"/>
    <w:rsid w:val="008E4743"/>
    <w:rsid w:val="008E474E"/>
    <w:rsid w:val="008E4859"/>
    <w:rsid w:val="008E48AE"/>
    <w:rsid w:val="008E48D3"/>
    <w:rsid w:val="008E4A35"/>
    <w:rsid w:val="008E4ABC"/>
    <w:rsid w:val="008E4BBD"/>
    <w:rsid w:val="008E4CDD"/>
    <w:rsid w:val="008E4CF0"/>
    <w:rsid w:val="008E4D3D"/>
    <w:rsid w:val="008E4D56"/>
    <w:rsid w:val="008E4FE4"/>
    <w:rsid w:val="008E502C"/>
    <w:rsid w:val="008E50D4"/>
    <w:rsid w:val="008E51C4"/>
    <w:rsid w:val="008E5238"/>
    <w:rsid w:val="008E5377"/>
    <w:rsid w:val="008E53A6"/>
    <w:rsid w:val="008E53EC"/>
    <w:rsid w:val="008E54B5"/>
    <w:rsid w:val="008E5614"/>
    <w:rsid w:val="008E577E"/>
    <w:rsid w:val="008E57E3"/>
    <w:rsid w:val="008E5861"/>
    <w:rsid w:val="008E5A0D"/>
    <w:rsid w:val="008E5A11"/>
    <w:rsid w:val="008E5AA7"/>
    <w:rsid w:val="008E5B34"/>
    <w:rsid w:val="008E5BC6"/>
    <w:rsid w:val="008E5BF0"/>
    <w:rsid w:val="008E5CEA"/>
    <w:rsid w:val="008E608E"/>
    <w:rsid w:val="008E60D4"/>
    <w:rsid w:val="008E6243"/>
    <w:rsid w:val="008E62A6"/>
    <w:rsid w:val="008E63BA"/>
    <w:rsid w:val="008E641C"/>
    <w:rsid w:val="008E65AC"/>
    <w:rsid w:val="008E66F5"/>
    <w:rsid w:val="008E67B3"/>
    <w:rsid w:val="008E67F8"/>
    <w:rsid w:val="008E685B"/>
    <w:rsid w:val="008E6B82"/>
    <w:rsid w:val="008E6BD5"/>
    <w:rsid w:val="008E6C77"/>
    <w:rsid w:val="008E6CDE"/>
    <w:rsid w:val="008E6D20"/>
    <w:rsid w:val="008E704D"/>
    <w:rsid w:val="008E7059"/>
    <w:rsid w:val="008E7230"/>
    <w:rsid w:val="008E7280"/>
    <w:rsid w:val="008E73B3"/>
    <w:rsid w:val="008E73DE"/>
    <w:rsid w:val="008E73E3"/>
    <w:rsid w:val="008E773E"/>
    <w:rsid w:val="008E7846"/>
    <w:rsid w:val="008E7BD7"/>
    <w:rsid w:val="008E7CA3"/>
    <w:rsid w:val="008E7CF0"/>
    <w:rsid w:val="008E7DCA"/>
    <w:rsid w:val="008F00F4"/>
    <w:rsid w:val="008F024A"/>
    <w:rsid w:val="008F0320"/>
    <w:rsid w:val="008F0361"/>
    <w:rsid w:val="008F042D"/>
    <w:rsid w:val="008F0479"/>
    <w:rsid w:val="008F04E7"/>
    <w:rsid w:val="008F09F5"/>
    <w:rsid w:val="008F0D3D"/>
    <w:rsid w:val="008F0D83"/>
    <w:rsid w:val="008F0E40"/>
    <w:rsid w:val="008F0E48"/>
    <w:rsid w:val="008F10B5"/>
    <w:rsid w:val="008F111E"/>
    <w:rsid w:val="008F116A"/>
    <w:rsid w:val="008F11C9"/>
    <w:rsid w:val="008F11D7"/>
    <w:rsid w:val="008F1295"/>
    <w:rsid w:val="008F130B"/>
    <w:rsid w:val="008F1372"/>
    <w:rsid w:val="008F1402"/>
    <w:rsid w:val="008F174A"/>
    <w:rsid w:val="008F181B"/>
    <w:rsid w:val="008F188F"/>
    <w:rsid w:val="008F1947"/>
    <w:rsid w:val="008F1999"/>
    <w:rsid w:val="008F1AAF"/>
    <w:rsid w:val="008F1AE3"/>
    <w:rsid w:val="008F1B83"/>
    <w:rsid w:val="008F1CAD"/>
    <w:rsid w:val="008F1F9C"/>
    <w:rsid w:val="008F1FE6"/>
    <w:rsid w:val="008F2064"/>
    <w:rsid w:val="008F20A1"/>
    <w:rsid w:val="008F2128"/>
    <w:rsid w:val="008F2167"/>
    <w:rsid w:val="008F2267"/>
    <w:rsid w:val="008F22E1"/>
    <w:rsid w:val="008F23BB"/>
    <w:rsid w:val="008F242B"/>
    <w:rsid w:val="008F24D1"/>
    <w:rsid w:val="008F24EA"/>
    <w:rsid w:val="008F2586"/>
    <w:rsid w:val="008F25D7"/>
    <w:rsid w:val="008F274D"/>
    <w:rsid w:val="008F2859"/>
    <w:rsid w:val="008F2AC7"/>
    <w:rsid w:val="008F2BBC"/>
    <w:rsid w:val="008F2BD9"/>
    <w:rsid w:val="008F2C0A"/>
    <w:rsid w:val="008F2C56"/>
    <w:rsid w:val="008F2D34"/>
    <w:rsid w:val="008F2F44"/>
    <w:rsid w:val="008F30E2"/>
    <w:rsid w:val="008F3323"/>
    <w:rsid w:val="008F3426"/>
    <w:rsid w:val="008F34D5"/>
    <w:rsid w:val="008F36D8"/>
    <w:rsid w:val="008F3769"/>
    <w:rsid w:val="008F3834"/>
    <w:rsid w:val="008F38E1"/>
    <w:rsid w:val="008F3985"/>
    <w:rsid w:val="008F3A8D"/>
    <w:rsid w:val="008F3AD7"/>
    <w:rsid w:val="008F3D02"/>
    <w:rsid w:val="008F3DBF"/>
    <w:rsid w:val="008F4302"/>
    <w:rsid w:val="008F4320"/>
    <w:rsid w:val="008F43DF"/>
    <w:rsid w:val="008F43F8"/>
    <w:rsid w:val="008F44DD"/>
    <w:rsid w:val="008F47D8"/>
    <w:rsid w:val="008F499C"/>
    <w:rsid w:val="008F4B64"/>
    <w:rsid w:val="008F4B78"/>
    <w:rsid w:val="008F4CFC"/>
    <w:rsid w:val="008F4ECA"/>
    <w:rsid w:val="008F5109"/>
    <w:rsid w:val="008F5185"/>
    <w:rsid w:val="008F52CF"/>
    <w:rsid w:val="008F5620"/>
    <w:rsid w:val="008F5721"/>
    <w:rsid w:val="008F57D9"/>
    <w:rsid w:val="008F586E"/>
    <w:rsid w:val="008F58AC"/>
    <w:rsid w:val="008F595E"/>
    <w:rsid w:val="008F5AA7"/>
    <w:rsid w:val="008F5ACD"/>
    <w:rsid w:val="008F5B20"/>
    <w:rsid w:val="008F5B82"/>
    <w:rsid w:val="008F5C13"/>
    <w:rsid w:val="008F5F2E"/>
    <w:rsid w:val="008F5F40"/>
    <w:rsid w:val="008F5FEA"/>
    <w:rsid w:val="008F620A"/>
    <w:rsid w:val="008F6260"/>
    <w:rsid w:val="008F6296"/>
    <w:rsid w:val="008F6360"/>
    <w:rsid w:val="008F6575"/>
    <w:rsid w:val="008F66FD"/>
    <w:rsid w:val="008F6724"/>
    <w:rsid w:val="008F6752"/>
    <w:rsid w:val="008F6756"/>
    <w:rsid w:val="008F682F"/>
    <w:rsid w:val="008F6876"/>
    <w:rsid w:val="008F69E5"/>
    <w:rsid w:val="008F69EE"/>
    <w:rsid w:val="008F6AF5"/>
    <w:rsid w:val="008F6C73"/>
    <w:rsid w:val="008F6E6C"/>
    <w:rsid w:val="008F6F9B"/>
    <w:rsid w:val="008F7131"/>
    <w:rsid w:val="008F715F"/>
    <w:rsid w:val="008F7241"/>
    <w:rsid w:val="008F73D7"/>
    <w:rsid w:val="008F7661"/>
    <w:rsid w:val="008F77D4"/>
    <w:rsid w:val="008F787C"/>
    <w:rsid w:val="008F7888"/>
    <w:rsid w:val="008F7891"/>
    <w:rsid w:val="008F7BCE"/>
    <w:rsid w:val="008F7C33"/>
    <w:rsid w:val="008F7CE9"/>
    <w:rsid w:val="008F7FEE"/>
    <w:rsid w:val="0090001E"/>
    <w:rsid w:val="0090006C"/>
    <w:rsid w:val="00900323"/>
    <w:rsid w:val="00900383"/>
    <w:rsid w:val="00900491"/>
    <w:rsid w:val="00900958"/>
    <w:rsid w:val="00900971"/>
    <w:rsid w:val="009009FF"/>
    <w:rsid w:val="00900BA5"/>
    <w:rsid w:val="00900CD2"/>
    <w:rsid w:val="00900DCC"/>
    <w:rsid w:val="00900E8D"/>
    <w:rsid w:val="00900F33"/>
    <w:rsid w:val="00901103"/>
    <w:rsid w:val="009011A5"/>
    <w:rsid w:val="009012E8"/>
    <w:rsid w:val="00901358"/>
    <w:rsid w:val="00901363"/>
    <w:rsid w:val="009013B0"/>
    <w:rsid w:val="00901405"/>
    <w:rsid w:val="009015A9"/>
    <w:rsid w:val="00901632"/>
    <w:rsid w:val="009016A4"/>
    <w:rsid w:val="009017D6"/>
    <w:rsid w:val="009018A6"/>
    <w:rsid w:val="0090198C"/>
    <w:rsid w:val="009019C6"/>
    <w:rsid w:val="009019D2"/>
    <w:rsid w:val="009019D5"/>
    <w:rsid w:val="00901DF2"/>
    <w:rsid w:val="00901EED"/>
    <w:rsid w:val="00902102"/>
    <w:rsid w:val="009022FB"/>
    <w:rsid w:val="00902366"/>
    <w:rsid w:val="00902370"/>
    <w:rsid w:val="00902466"/>
    <w:rsid w:val="00902534"/>
    <w:rsid w:val="00902690"/>
    <w:rsid w:val="009026E1"/>
    <w:rsid w:val="009026F4"/>
    <w:rsid w:val="0090276A"/>
    <w:rsid w:val="00902878"/>
    <w:rsid w:val="00902961"/>
    <w:rsid w:val="009029A4"/>
    <w:rsid w:val="00902A58"/>
    <w:rsid w:val="00902C6D"/>
    <w:rsid w:val="00902C98"/>
    <w:rsid w:val="00902D49"/>
    <w:rsid w:val="00903036"/>
    <w:rsid w:val="00903166"/>
    <w:rsid w:val="00903194"/>
    <w:rsid w:val="0090330A"/>
    <w:rsid w:val="009033F1"/>
    <w:rsid w:val="009034AA"/>
    <w:rsid w:val="00903582"/>
    <w:rsid w:val="009036AA"/>
    <w:rsid w:val="009036DB"/>
    <w:rsid w:val="009036EE"/>
    <w:rsid w:val="0090385B"/>
    <w:rsid w:val="0090388B"/>
    <w:rsid w:val="00903A48"/>
    <w:rsid w:val="00903AF8"/>
    <w:rsid w:val="00903C0B"/>
    <w:rsid w:val="00903C3B"/>
    <w:rsid w:val="00903D09"/>
    <w:rsid w:val="00903D2B"/>
    <w:rsid w:val="00904203"/>
    <w:rsid w:val="00904262"/>
    <w:rsid w:val="009042EB"/>
    <w:rsid w:val="0090434C"/>
    <w:rsid w:val="009044A3"/>
    <w:rsid w:val="00904795"/>
    <w:rsid w:val="00904C9F"/>
    <w:rsid w:val="00904CCB"/>
    <w:rsid w:val="00904D03"/>
    <w:rsid w:val="00904D35"/>
    <w:rsid w:val="00905018"/>
    <w:rsid w:val="00905726"/>
    <w:rsid w:val="0090583D"/>
    <w:rsid w:val="009059B4"/>
    <w:rsid w:val="00905ADA"/>
    <w:rsid w:val="00905F29"/>
    <w:rsid w:val="00905FA9"/>
    <w:rsid w:val="00906199"/>
    <w:rsid w:val="0090619B"/>
    <w:rsid w:val="00906229"/>
    <w:rsid w:val="00906264"/>
    <w:rsid w:val="0090664D"/>
    <w:rsid w:val="0090679D"/>
    <w:rsid w:val="009067F3"/>
    <w:rsid w:val="00906B5B"/>
    <w:rsid w:val="00906D59"/>
    <w:rsid w:val="00906E85"/>
    <w:rsid w:val="009071CC"/>
    <w:rsid w:val="009072E2"/>
    <w:rsid w:val="0090732A"/>
    <w:rsid w:val="00907346"/>
    <w:rsid w:val="00907411"/>
    <w:rsid w:val="00907540"/>
    <w:rsid w:val="0090758E"/>
    <w:rsid w:val="00907611"/>
    <w:rsid w:val="009077C2"/>
    <w:rsid w:val="009077CD"/>
    <w:rsid w:val="00907893"/>
    <w:rsid w:val="00907A31"/>
    <w:rsid w:val="00907E13"/>
    <w:rsid w:val="00907ECF"/>
    <w:rsid w:val="00910098"/>
    <w:rsid w:val="0091010B"/>
    <w:rsid w:val="009101DF"/>
    <w:rsid w:val="00910334"/>
    <w:rsid w:val="0091036C"/>
    <w:rsid w:val="00910396"/>
    <w:rsid w:val="009107F3"/>
    <w:rsid w:val="0091084D"/>
    <w:rsid w:val="009108AA"/>
    <w:rsid w:val="009108DA"/>
    <w:rsid w:val="00910951"/>
    <w:rsid w:val="00910971"/>
    <w:rsid w:val="00910B25"/>
    <w:rsid w:val="00910B41"/>
    <w:rsid w:val="00910D66"/>
    <w:rsid w:val="00910FB1"/>
    <w:rsid w:val="00911006"/>
    <w:rsid w:val="00911281"/>
    <w:rsid w:val="00911462"/>
    <w:rsid w:val="009117D6"/>
    <w:rsid w:val="00911921"/>
    <w:rsid w:val="009119B7"/>
    <w:rsid w:val="009119CA"/>
    <w:rsid w:val="00911BAB"/>
    <w:rsid w:val="00911BCC"/>
    <w:rsid w:val="00911C02"/>
    <w:rsid w:val="00911D26"/>
    <w:rsid w:val="00911DDC"/>
    <w:rsid w:val="0091206C"/>
    <w:rsid w:val="0091213E"/>
    <w:rsid w:val="009121B2"/>
    <w:rsid w:val="0091260D"/>
    <w:rsid w:val="00912717"/>
    <w:rsid w:val="00912736"/>
    <w:rsid w:val="00912773"/>
    <w:rsid w:val="009127EE"/>
    <w:rsid w:val="00912B8B"/>
    <w:rsid w:val="00912C32"/>
    <w:rsid w:val="00912E77"/>
    <w:rsid w:val="00913150"/>
    <w:rsid w:val="00913216"/>
    <w:rsid w:val="00913284"/>
    <w:rsid w:val="0091337E"/>
    <w:rsid w:val="00913791"/>
    <w:rsid w:val="009137F2"/>
    <w:rsid w:val="0091381C"/>
    <w:rsid w:val="0091398F"/>
    <w:rsid w:val="009139FC"/>
    <w:rsid w:val="00913B7F"/>
    <w:rsid w:val="00913D40"/>
    <w:rsid w:val="00914211"/>
    <w:rsid w:val="00914263"/>
    <w:rsid w:val="00914402"/>
    <w:rsid w:val="00914486"/>
    <w:rsid w:val="009144A6"/>
    <w:rsid w:val="0091456F"/>
    <w:rsid w:val="00914638"/>
    <w:rsid w:val="009147A7"/>
    <w:rsid w:val="009149A3"/>
    <w:rsid w:val="00914ACF"/>
    <w:rsid w:val="00914B51"/>
    <w:rsid w:val="00914B9E"/>
    <w:rsid w:val="00914C48"/>
    <w:rsid w:val="00915240"/>
    <w:rsid w:val="009152BE"/>
    <w:rsid w:val="009155D0"/>
    <w:rsid w:val="0091562A"/>
    <w:rsid w:val="009156DC"/>
    <w:rsid w:val="00915762"/>
    <w:rsid w:val="0091584D"/>
    <w:rsid w:val="009158F9"/>
    <w:rsid w:val="00915AF0"/>
    <w:rsid w:val="00915C0B"/>
    <w:rsid w:val="00915C25"/>
    <w:rsid w:val="00915C73"/>
    <w:rsid w:val="00915FF3"/>
    <w:rsid w:val="0091601E"/>
    <w:rsid w:val="0091612B"/>
    <w:rsid w:val="009161EE"/>
    <w:rsid w:val="009162F3"/>
    <w:rsid w:val="009163A7"/>
    <w:rsid w:val="00916570"/>
    <w:rsid w:val="009165FE"/>
    <w:rsid w:val="00916679"/>
    <w:rsid w:val="009166BC"/>
    <w:rsid w:val="0091671E"/>
    <w:rsid w:val="00916737"/>
    <w:rsid w:val="0091673B"/>
    <w:rsid w:val="00916829"/>
    <w:rsid w:val="0091687A"/>
    <w:rsid w:val="00916916"/>
    <w:rsid w:val="00916979"/>
    <w:rsid w:val="00916B46"/>
    <w:rsid w:val="00916B98"/>
    <w:rsid w:val="00916C1D"/>
    <w:rsid w:val="00916D2D"/>
    <w:rsid w:val="00916D76"/>
    <w:rsid w:val="00916DB2"/>
    <w:rsid w:val="00916EDE"/>
    <w:rsid w:val="00917087"/>
    <w:rsid w:val="009170A5"/>
    <w:rsid w:val="009172B3"/>
    <w:rsid w:val="009173BE"/>
    <w:rsid w:val="0091749A"/>
    <w:rsid w:val="00917525"/>
    <w:rsid w:val="00917697"/>
    <w:rsid w:val="00917698"/>
    <w:rsid w:val="009177B2"/>
    <w:rsid w:val="00917A25"/>
    <w:rsid w:val="00917A5B"/>
    <w:rsid w:val="00917A74"/>
    <w:rsid w:val="00917AFE"/>
    <w:rsid w:val="00917B95"/>
    <w:rsid w:val="00917C88"/>
    <w:rsid w:val="00917D0D"/>
    <w:rsid w:val="00917E4C"/>
    <w:rsid w:val="009201D7"/>
    <w:rsid w:val="00920206"/>
    <w:rsid w:val="009203D6"/>
    <w:rsid w:val="009203FC"/>
    <w:rsid w:val="00920635"/>
    <w:rsid w:val="009206AE"/>
    <w:rsid w:val="0092097C"/>
    <w:rsid w:val="00920A8F"/>
    <w:rsid w:val="00920AD4"/>
    <w:rsid w:val="00920B23"/>
    <w:rsid w:val="00920E43"/>
    <w:rsid w:val="00920E9C"/>
    <w:rsid w:val="00920F44"/>
    <w:rsid w:val="00921040"/>
    <w:rsid w:val="00921171"/>
    <w:rsid w:val="00921286"/>
    <w:rsid w:val="0092136E"/>
    <w:rsid w:val="00921423"/>
    <w:rsid w:val="00921573"/>
    <w:rsid w:val="009216E7"/>
    <w:rsid w:val="009218A4"/>
    <w:rsid w:val="00921982"/>
    <w:rsid w:val="00921C1E"/>
    <w:rsid w:val="00921D79"/>
    <w:rsid w:val="00921E67"/>
    <w:rsid w:val="009221BF"/>
    <w:rsid w:val="009221EA"/>
    <w:rsid w:val="009222AD"/>
    <w:rsid w:val="0092244F"/>
    <w:rsid w:val="009225AD"/>
    <w:rsid w:val="0092279F"/>
    <w:rsid w:val="0092282C"/>
    <w:rsid w:val="00922C3C"/>
    <w:rsid w:val="00922CC5"/>
    <w:rsid w:val="00922CEE"/>
    <w:rsid w:val="00922D2B"/>
    <w:rsid w:val="00922DEE"/>
    <w:rsid w:val="00922EF5"/>
    <w:rsid w:val="0092304F"/>
    <w:rsid w:val="00923066"/>
    <w:rsid w:val="0092314F"/>
    <w:rsid w:val="009231BA"/>
    <w:rsid w:val="00923254"/>
    <w:rsid w:val="009234E8"/>
    <w:rsid w:val="00923598"/>
    <w:rsid w:val="009235B4"/>
    <w:rsid w:val="00923614"/>
    <w:rsid w:val="009237AE"/>
    <w:rsid w:val="00923908"/>
    <w:rsid w:val="00923BAF"/>
    <w:rsid w:val="0092409F"/>
    <w:rsid w:val="00924215"/>
    <w:rsid w:val="00924361"/>
    <w:rsid w:val="009243BE"/>
    <w:rsid w:val="0092443C"/>
    <w:rsid w:val="00924504"/>
    <w:rsid w:val="0092478B"/>
    <w:rsid w:val="00924952"/>
    <w:rsid w:val="00924CE9"/>
    <w:rsid w:val="00924ED3"/>
    <w:rsid w:val="009252DE"/>
    <w:rsid w:val="0092535D"/>
    <w:rsid w:val="00925475"/>
    <w:rsid w:val="00925541"/>
    <w:rsid w:val="00925558"/>
    <w:rsid w:val="009256D4"/>
    <w:rsid w:val="0092576F"/>
    <w:rsid w:val="00925826"/>
    <w:rsid w:val="0092588E"/>
    <w:rsid w:val="009259E6"/>
    <w:rsid w:val="00925CD8"/>
    <w:rsid w:val="00925D02"/>
    <w:rsid w:val="00925D03"/>
    <w:rsid w:val="00925FDF"/>
    <w:rsid w:val="00926026"/>
    <w:rsid w:val="00926035"/>
    <w:rsid w:val="009260E0"/>
    <w:rsid w:val="009260E8"/>
    <w:rsid w:val="009261AA"/>
    <w:rsid w:val="009261E6"/>
    <w:rsid w:val="00926284"/>
    <w:rsid w:val="0092637F"/>
    <w:rsid w:val="0092644E"/>
    <w:rsid w:val="009264A3"/>
    <w:rsid w:val="009265D6"/>
    <w:rsid w:val="009266C4"/>
    <w:rsid w:val="009267FF"/>
    <w:rsid w:val="00926888"/>
    <w:rsid w:val="00926898"/>
    <w:rsid w:val="009268D6"/>
    <w:rsid w:val="00926A51"/>
    <w:rsid w:val="00926A53"/>
    <w:rsid w:val="00926A6D"/>
    <w:rsid w:val="00926B2C"/>
    <w:rsid w:val="00926CC5"/>
    <w:rsid w:val="00926DBE"/>
    <w:rsid w:val="00926E30"/>
    <w:rsid w:val="00926F13"/>
    <w:rsid w:val="0092701B"/>
    <w:rsid w:val="00927185"/>
    <w:rsid w:val="00927404"/>
    <w:rsid w:val="00927442"/>
    <w:rsid w:val="00927546"/>
    <w:rsid w:val="00927636"/>
    <w:rsid w:val="009278E5"/>
    <w:rsid w:val="00927D25"/>
    <w:rsid w:val="00927D36"/>
    <w:rsid w:val="00927D58"/>
    <w:rsid w:val="00927DF9"/>
    <w:rsid w:val="00927F05"/>
    <w:rsid w:val="00927F28"/>
    <w:rsid w:val="00927FFC"/>
    <w:rsid w:val="009300FB"/>
    <w:rsid w:val="0093018F"/>
    <w:rsid w:val="00930344"/>
    <w:rsid w:val="009303B9"/>
    <w:rsid w:val="00930619"/>
    <w:rsid w:val="00930753"/>
    <w:rsid w:val="00930782"/>
    <w:rsid w:val="0093091D"/>
    <w:rsid w:val="00930921"/>
    <w:rsid w:val="0093092C"/>
    <w:rsid w:val="00930A35"/>
    <w:rsid w:val="00930A76"/>
    <w:rsid w:val="00930A98"/>
    <w:rsid w:val="00930BE4"/>
    <w:rsid w:val="00930CAA"/>
    <w:rsid w:val="00930D0C"/>
    <w:rsid w:val="00930E3A"/>
    <w:rsid w:val="00930E5F"/>
    <w:rsid w:val="0093102C"/>
    <w:rsid w:val="0093128E"/>
    <w:rsid w:val="009313F8"/>
    <w:rsid w:val="00931482"/>
    <w:rsid w:val="00931571"/>
    <w:rsid w:val="009315ED"/>
    <w:rsid w:val="009317F4"/>
    <w:rsid w:val="0093187E"/>
    <w:rsid w:val="009318CE"/>
    <w:rsid w:val="00931A7A"/>
    <w:rsid w:val="00931B63"/>
    <w:rsid w:val="00931B86"/>
    <w:rsid w:val="00931BBC"/>
    <w:rsid w:val="00931BC0"/>
    <w:rsid w:val="0093200B"/>
    <w:rsid w:val="009320A6"/>
    <w:rsid w:val="00932194"/>
    <w:rsid w:val="0093220F"/>
    <w:rsid w:val="0093221F"/>
    <w:rsid w:val="009323FB"/>
    <w:rsid w:val="0093247A"/>
    <w:rsid w:val="009327EC"/>
    <w:rsid w:val="00932813"/>
    <w:rsid w:val="0093281B"/>
    <w:rsid w:val="009329A2"/>
    <w:rsid w:val="00932ABB"/>
    <w:rsid w:val="00932AFA"/>
    <w:rsid w:val="00932B95"/>
    <w:rsid w:val="00932BE0"/>
    <w:rsid w:val="00932DDE"/>
    <w:rsid w:val="00932E2A"/>
    <w:rsid w:val="00932E7F"/>
    <w:rsid w:val="00932EFD"/>
    <w:rsid w:val="009331A9"/>
    <w:rsid w:val="0093379D"/>
    <w:rsid w:val="00933816"/>
    <w:rsid w:val="009339A4"/>
    <w:rsid w:val="009339A5"/>
    <w:rsid w:val="00933A06"/>
    <w:rsid w:val="00933A7D"/>
    <w:rsid w:val="00933BC7"/>
    <w:rsid w:val="00933DE8"/>
    <w:rsid w:val="00933DFD"/>
    <w:rsid w:val="00933E9D"/>
    <w:rsid w:val="00933FF6"/>
    <w:rsid w:val="00934018"/>
    <w:rsid w:val="009340A5"/>
    <w:rsid w:val="0093414C"/>
    <w:rsid w:val="00934169"/>
    <w:rsid w:val="00934202"/>
    <w:rsid w:val="009342AB"/>
    <w:rsid w:val="00934472"/>
    <w:rsid w:val="0093454D"/>
    <w:rsid w:val="00934583"/>
    <w:rsid w:val="00934602"/>
    <w:rsid w:val="0093471D"/>
    <w:rsid w:val="009349FB"/>
    <w:rsid w:val="00934B1D"/>
    <w:rsid w:val="00934B5C"/>
    <w:rsid w:val="00934BB7"/>
    <w:rsid w:val="00934C11"/>
    <w:rsid w:val="00935428"/>
    <w:rsid w:val="0093567E"/>
    <w:rsid w:val="00935716"/>
    <w:rsid w:val="009357D4"/>
    <w:rsid w:val="00935894"/>
    <w:rsid w:val="00935B33"/>
    <w:rsid w:val="00935B71"/>
    <w:rsid w:val="00935BCE"/>
    <w:rsid w:val="00935D77"/>
    <w:rsid w:val="00935DD8"/>
    <w:rsid w:val="00935E97"/>
    <w:rsid w:val="00935ED6"/>
    <w:rsid w:val="00935EED"/>
    <w:rsid w:val="00935F10"/>
    <w:rsid w:val="00936093"/>
    <w:rsid w:val="00936171"/>
    <w:rsid w:val="009361BD"/>
    <w:rsid w:val="00936222"/>
    <w:rsid w:val="00936371"/>
    <w:rsid w:val="00936476"/>
    <w:rsid w:val="009364EA"/>
    <w:rsid w:val="00936502"/>
    <w:rsid w:val="0093653F"/>
    <w:rsid w:val="0093656A"/>
    <w:rsid w:val="00936623"/>
    <w:rsid w:val="0093673F"/>
    <w:rsid w:val="00936B09"/>
    <w:rsid w:val="00936B68"/>
    <w:rsid w:val="00936C57"/>
    <w:rsid w:val="00936DA1"/>
    <w:rsid w:val="00936E70"/>
    <w:rsid w:val="00936F0E"/>
    <w:rsid w:val="0093700D"/>
    <w:rsid w:val="009371E8"/>
    <w:rsid w:val="0093720B"/>
    <w:rsid w:val="009372DC"/>
    <w:rsid w:val="0093737F"/>
    <w:rsid w:val="00937452"/>
    <w:rsid w:val="009374A0"/>
    <w:rsid w:val="009374BB"/>
    <w:rsid w:val="00937651"/>
    <w:rsid w:val="009376B4"/>
    <w:rsid w:val="009377F4"/>
    <w:rsid w:val="0093786D"/>
    <w:rsid w:val="009379FB"/>
    <w:rsid w:val="00937ABA"/>
    <w:rsid w:val="00937BBE"/>
    <w:rsid w:val="00937DB4"/>
    <w:rsid w:val="009400E0"/>
    <w:rsid w:val="00940110"/>
    <w:rsid w:val="0094026A"/>
    <w:rsid w:val="00940526"/>
    <w:rsid w:val="009405EF"/>
    <w:rsid w:val="009407C4"/>
    <w:rsid w:val="009408D0"/>
    <w:rsid w:val="00940BE5"/>
    <w:rsid w:val="00940C4D"/>
    <w:rsid w:val="00940C74"/>
    <w:rsid w:val="00940D20"/>
    <w:rsid w:val="00940F1C"/>
    <w:rsid w:val="00941032"/>
    <w:rsid w:val="009410B4"/>
    <w:rsid w:val="009411D6"/>
    <w:rsid w:val="0094120C"/>
    <w:rsid w:val="009412A3"/>
    <w:rsid w:val="009412E8"/>
    <w:rsid w:val="0094142D"/>
    <w:rsid w:val="009414D8"/>
    <w:rsid w:val="0094161A"/>
    <w:rsid w:val="00941673"/>
    <w:rsid w:val="009417A3"/>
    <w:rsid w:val="009418E6"/>
    <w:rsid w:val="00941A68"/>
    <w:rsid w:val="00941B5B"/>
    <w:rsid w:val="00941C4C"/>
    <w:rsid w:val="00941C58"/>
    <w:rsid w:val="00941C6D"/>
    <w:rsid w:val="00941E33"/>
    <w:rsid w:val="00941E38"/>
    <w:rsid w:val="00941FB9"/>
    <w:rsid w:val="00942087"/>
    <w:rsid w:val="00942111"/>
    <w:rsid w:val="0094218B"/>
    <w:rsid w:val="009421A4"/>
    <w:rsid w:val="009422DC"/>
    <w:rsid w:val="00942429"/>
    <w:rsid w:val="00942448"/>
    <w:rsid w:val="0094245F"/>
    <w:rsid w:val="009424B1"/>
    <w:rsid w:val="0094253C"/>
    <w:rsid w:val="009428B1"/>
    <w:rsid w:val="00942904"/>
    <w:rsid w:val="00942C39"/>
    <w:rsid w:val="00942DCC"/>
    <w:rsid w:val="00942F6F"/>
    <w:rsid w:val="00942F7A"/>
    <w:rsid w:val="00943091"/>
    <w:rsid w:val="00943297"/>
    <w:rsid w:val="00943333"/>
    <w:rsid w:val="00943339"/>
    <w:rsid w:val="0094333E"/>
    <w:rsid w:val="00943346"/>
    <w:rsid w:val="0094342B"/>
    <w:rsid w:val="0094349F"/>
    <w:rsid w:val="00943691"/>
    <w:rsid w:val="0094372F"/>
    <w:rsid w:val="00943789"/>
    <w:rsid w:val="0094384B"/>
    <w:rsid w:val="00943953"/>
    <w:rsid w:val="009439BF"/>
    <w:rsid w:val="009439F8"/>
    <w:rsid w:val="00943CAD"/>
    <w:rsid w:val="00943E3D"/>
    <w:rsid w:val="00943E4F"/>
    <w:rsid w:val="00943EF5"/>
    <w:rsid w:val="00943FE7"/>
    <w:rsid w:val="009440B2"/>
    <w:rsid w:val="009440E7"/>
    <w:rsid w:val="0094427C"/>
    <w:rsid w:val="0094431B"/>
    <w:rsid w:val="00944575"/>
    <w:rsid w:val="00944698"/>
    <w:rsid w:val="0094475A"/>
    <w:rsid w:val="00944BA0"/>
    <w:rsid w:val="00944BCA"/>
    <w:rsid w:val="00944BF4"/>
    <w:rsid w:val="00944C10"/>
    <w:rsid w:val="00944C8E"/>
    <w:rsid w:val="00944FDC"/>
    <w:rsid w:val="0094502C"/>
    <w:rsid w:val="00945193"/>
    <w:rsid w:val="00945256"/>
    <w:rsid w:val="00945283"/>
    <w:rsid w:val="00945388"/>
    <w:rsid w:val="00945650"/>
    <w:rsid w:val="0094573A"/>
    <w:rsid w:val="00945768"/>
    <w:rsid w:val="00945775"/>
    <w:rsid w:val="00945832"/>
    <w:rsid w:val="00945883"/>
    <w:rsid w:val="00945899"/>
    <w:rsid w:val="00945C43"/>
    <w:rsid w:val="00945C4B"/>
    <w:rsid w:val="00945DD1"/>
    <w:rsid w:val="00945DD4"/>
    <w:rsid w:val="0094601B"/>
    <w:rsid w:val="009460BB"/>
    <w:rsid w:val="009460EC"/>
    <w:rsid w:val="0094614F"/>
    <w:rsid w:val="009461A3"/>
    <w:rsid w:val="009463BA"/>
    <w:rsid w:val="009463CA"/>
    <w:rsid w:val="009464FF"/>
    <w:rsid w:val="0094661D"/>
    <w:rsid w:val="00946756"/>
    <w:rsid w:val="00946845"/>
    <w:rsid w:val="0094696D"/>
    <w:rsid w:val="00946AEA"/>
    <w:rsid w:val="00946B58"/>
    <w:rsid w:val="00946B6F"/>
    <w:rsid w:val="00946CA3"/>
    <w:rsid w:val="00946D01"/>
    <w:rsid w:val="00947115"/>
    <w:rsid w:val="00947406"/>
    <w:rsid w:val="00947476"/>
    <w:rsid w:val="00947714"/>
    <w:rsid w:val="00947848"/>
    <w:rsid w:val="00947CBA"/>
    <w:rsid w:val="0095010E"/>
    <w:rsid w:val="009502C4"/>
    <w:rsid w:val="009502D1"/>
    <w:rsid w:val="00950312"/>
    <w:rsid w:val="00950342"/>
    <w:rsid w:val="009503B3"/>
    <w:rsid w:val="009506A5"/>
    <w:rsid w:val="0095083E"/>
    <w:rsid w:val="00950950"/>
    <w:rsid w:val="00950A55"/>
    <w:rsid w:val="00950AE3"/>
    <w:rsid w:val="00950C86"/>
    <w:rsid w:val="00950CDD"/>
    <w:rsid w:val="00950DFB"/>
    <w:rsid w:val="00951018"/>
    <w:rsid w:val="00951135"/>
    <w:rsid w:val="00951533"/>
    <w:rsid w:val="009515C0"/>
    <w:rsid w:val="009515DE"/>
    <w:rsid w:val="009516CD"/>
    <w:rsid w:val="009517FC"/>
    <w:rsid w:val="009518D3"/>
    <w:rsid w:val="00951964"/>
    <w:rsid w:val="00951AC9"/>
    <w:rsid w:val="00951E57"/>
    <w:rsid w:val="0095215E"/>
    <w:rsid w:val="0095216E"/>
    <w:rsid w:val="00952263"/>
    <w:rsid w:val="00952396"/>
    <w:rsid w:val="00952465"/>
    <w:rsid w:val="009524F5"/>
    <w:rsid w:val="009525C3"/>
    <w:rsid w:val="009526D3"/>
    <w:rsid w:val="00952902"/>
    <w:rsid w:val="00952A45"/>
    <w:rsid w:val="00952C89"/>
    <w:rsid w:val="00952DDC"/>
    <w:rsid w:val="00952E3C"/>
    <w:rsid w:val="00952E92"/>
    <w:rsid w:val="00952F78"/>
    <w:rsid w:val="00952F7B"/>
    <w:rsid w:val="00953058"/>
    <w:rsid w:val="0095311F"/>
    <w:rsid w:val="0095320E"/>
    <w:rsid w:val="009535DA"/>
    <w:rsid w:val="00953696"/>
    <w:rsid w:val="0095369C"/>
    <w:rsid w:val="0095378E"/>
    <w:rsid w:val="00953846"/>
    <w:rsid w:val="009538BF"/>
    <w:rsid w:val="00953B20"/>
    <w:rsid w:val="00953BCC"/>
    <w:rsid w:val="00953BFE"/>
    <w:rsid w:val="00953C3F"/>
    <w:rsid w:val="00953CF2"/>
    <w:rsid w:val="00953E5E"/>
    <w:rsid w:val="00953E7C"/>
    <w:rsid w:val="00953EA1"/>
    <w:rsid w:val="00953EF1"/>
    <w:rsid w:val="009540BC"/>
    <w:rsid w:val="0095422D"/>
    <w:rsid w:val="009542A2"/>
    <w:rsid w:val="00954325"/>
    <w:rsid w:val="00954379"/>
    <w:rsid w:val="00954438"/>
    <w:rsid w:val="0095447D"/>
    <w:rsid w:val="009545FD"/>
    <w:rsid w:val="00954624"/>
    <w:rsid w:val="00954676"/>
    <w:rsid w:val="00954860"/>
    <w:rsid w:val="009548B7"/>
    <w:rsid w:val="00954F01"/>
    <w:rsid w:val="00954F4F"/>
    <w:rsid w:val="0095500C"/>
    <w:rsid w:val="0095501E"/>
    <w:rsid w:val="0095502A"/>
    <w:rsid w:val="009551DC"/>
    <w:rsid w:val="0095554B"/>
    <w:rsid w:val="009557FC"/>
    <w:rsid w:val="0095581E"/>
    <w:rsid w:val="0095582C"/>
    <w:rsid w:val="00955971"/>
    <w:rsid w:val="00955A68"/>
    <w:rsid w:val="00955AAC"/>
    <w:rsid w:val="00955B57"/>
    <w:rsid w:val="00955D9C"/>
    <w:rsid w:val="00955E9F"/>
    <w:rsid w:val="00955EB9"/>
    <w:rsid w:val="00955EFC"/>
    <w:rsid w:val="00955F26"/>
    <w:rsid w:val="00955F47"/>
    <w:rsid w:val="00955FE0"/>
    <w:rsid w:val="0095605B"/>
    <w:rsid w:val="009563A0"/>
    <w:rsid w:val="00956425"/>
    <w:rsid w:val="00956746"/>
    <w:rsid w:val="009568EC"/>
    <w:rsid w:val="00956A29"/>
    <w:rsid w:val="00956AEB"/>
    <w:rsid w:val="00956D40"/>
    <w:rsid w:val="00957041"/>
    <w:rsid w:val="00957199"/>
    <w:rsid w:val="009571A1"/>
    <w:rsid w:val="009571AD"/>
    <w:rsid w:val="009571BB"/>
    <w:rsid w:val="009571FF"/>
    <w:rsid w:val="00957255"/>
    <w:rsid w:val="009572D4"/>
    <w:rsid w:val="00957423"/>
    <w:rsid w:val="00957453"/>
    <w:rsid w:val="0095757A"/>
    <w:rsid w:val="009575AD"/>
    <w:rsid w:val="009576AD"/>
    <w:rsid w:val="009576B3"/>
    <w:rsid w:val="009577E4"/>
    <w:rsid w:val="00957943"/>
    <w:rsid w:val="009579AA"/>
    <w:rsid w:val="00957BAB"/>
    <w:rsid w:val="00957CBA"/>
    <w:rsid w:val="00960139"/>
    <w:rsid w:val="009601CE"/>
    <w:rsid w:val="009603B8"/>
    <w:rsid w:val="00960448"/>
    <w:rsid w:val="00960495"/>
    <w:rsid w:val="009604A0"/>
    <w:rsid w:val="009604C3"/>
    <w:rsid w:val="009604FB"/>
    <w:rsid w:val="009606C6"/>
    <w:rsid w:val="0096075A"/>
    <w:rsid w:val="00960870"/>
    <w:rsid w:val="00960989"/>
    <w:rsid w:val="00960A1B"/>
    <w:rsid w:val="00960A93"/>
    <w:rsid w:val="00960C4D"/>
    <w:rsid w:val="00960D40"/>
    <w:rsid w:val="00960D5C"/>
    <w:rsid w:val="00960DC8"/>
    <w:rsid w:val="0096101B"/>
    <w:rsid w:val="00961160"/>
    <w:rsid w:val="0096127D"/>
    <w:rsid w:val="0096149A"/>
    <w:rsid w:val="0096160B"/>
    <w:rsid w:val="00961646"/>
    <w:rsid w:val="00961692"/>
    <w:rsid w:val="0096179F"/>
    <w:rsid w:val="00961972"/>
    <w:rsid w:val="00961979"/>
    <w:rsid w:val="009619A9"/>
    <w:rsid w:val="00961C2D"/>
    <w:rsid w:val="00961D5F"/>
    <w:rsid w:val="00961E0C"/>
    <w:rsid w:val="00961F53"/>
    <w:rsid w:val="00961F8F"/>
    <w:rsid w:val="0096231D"/>
    <w:rsid w:val="00962397"/>
    <w:rsid w:val="009623F4"/>
    <w:rsid w:val="009624FF"/>
    <w:rsid w:val="00962636"/>
    <w:rsid w:val="00962662"/>
    <w:rsid w:val="009627BC"/>
    <w:rsid w:val="009627BE"/>
    <w:rsid w:val="00962823"/>
    <w:rsid w:val="00962A05"/>
    <w:rsid w:val="00962A64"/>
    <w:rsid w:val="00962AD8"/>
    <w:rsid w:val="00962AFA"/>
    <w:rsid w:val="00962BE2"/>
    <w:rsid w:val="00962C19"/>
    <w:rsid w:val="00962CD6"/>
    <w:rsid w:val="00962D09"/>
    <w:rsid w:val="00962D13"/>
    <w:rsid w:val="00962DF8"/>
    <w:rsid w:val="00962DFE"/>
    <w:rsid w:val="0096308F"/>
    <w:rsid w:val="0096310E"/>
    <w:rsid w:val="009631C8"/>
    <w:rsid w:val="00963295"/>
    <w:rsid w:val="009632B4"/>
    <w:rsid w:val="00963330"/>
    <w:rsid w:val="00963385"/>
    <w:rsid w:val="0096338D"/>
    <w:rsid w:val="00963537"/>
    <w:rsid w:val="00963582"/>
    <w:rsid w:val="0096380A"/>
    <w:rsid w:val="009639F6"/>
    <w:rsid w:val="00963A50"/>
    <w:rsid w:val="00963B69"/>
    <w:rsid w:val="00963CDF"/>
    <w:rsid w:val="00963CFD"/>
    <w:rsid w:val="00963E52"/>
    <w:rsid w:val="00963E97"/>
    <w:rsid w:val="00963F17"/>
    <w:rsid w:val="009642CD"/>
    <w:rsid w:val="00964404"/>
    <w:rsid w:val="009647D5"/>
    <w:rsid w:val="009648A1"/>
    <w:rsid w:val="009648F0"/>
    <w:rsid w:val="00964939"/>
    <w:rsid w:val="00964A43"/>
    <w:rsid w:val="00964AF3"/>
    <w:rsid w:val="00964C1B"/>
    <w:rsid w:val="00964F26"/>
    <w:rsid w:val="00965320"/>
    <w:rsid w:val="009658C6"/>
    <w:rsid w:val="00965A21"/>
    <w:rsid w:val="00965AFA"/>
    <w:rsid w:val="00965E4E"/>
    <w:rsid w:val="00965F05"/>
    <w:rsid w:val="00966009"/>
    <w:rsid w:val="009661E8"/>
    <w:rsid w:val="00966206"/>
    <w:rsid w:val="0096660A"/>
    <w:rsid w:val="009666BD"/>
    <w:rsid w:val="009667E2"/>
    <w:rsid w:val="009668AA"/>
    <w:rsid w:val="00966996"/>
    <w:rsid w:val="009669A8"/>
    <w:rsid w:val="00966A5B"/>
    <w:rsid w:val="00966BEC"/>
    <w:rsid w:val="00966C68"/>
    <w:rsid w:val="00966C83"/>
    <w:rsid w:val="00966CC8"/>
    <w:rsid w:val="00966FCC"/>
    <w:rsid w:val="00966FE9"/>
    <w:rsid w:val="009670FF"/>
    <w:rsid w:val="00967147"/>
    <w:rsid w:val="009671F4"/>
    <w:rsid w:val="00967381"/>
    <w:rsid w:val="00967392"/>
    <w:rsid w:val="009674CC"/>
    <w:rsid w:val="009675CA"/>
    <w:rsid w:val="00967601"/>
    <w:rsid w:val="0096762E"/>
    <w:rsid w:val="00967641"/>
    <w:rsid w:val="009676FA"/>
    <w:rsid w:val="009677CC"/>
    <w:rsid w:val="00967927"/>
    <w:rsid w:val="00967A39"/>
    <w:rsid w:val="00967C0A"/>
    <w:rsid w:val="00967C81"/>
    <w:rsid w:val="00967DDC"/>
    <w:rsid w:val="009701AC"/>
    <w:rsid w:val="009703D6"/>
    <w:rsid w:val="0097076F"/>
    <w:rsid w:val="00970802"/>
    <w:rsid w:val="00970B22"/>
    <w:rsid w:val="00970C68"/>
    <w:rsid w:val="00970D2F"/>
    <w:rsid w:val="00970D58"/>
    <w:rsid w:val="00970EB6"/>
    <w:rsid w:val="00971031"/>
    <w:rsid w:val="00971086"/>
    <w:rsid w:val="009711E2"/>
    <w:rsid w:val="0097123E"/>
    <w:rsid w:val="00971397"/>
    <w:rsid w:val="00971463"/>
    <w:rsid w:val="00971480"/>
    <w:rsid w:val="009714EC"/>
    <w:rsid w:val="009714EE"/>
    <w:rsid w:val="00971560"/>
    <w:rsid w:val="009715B7"/>
    <w:rsid w:val="00971650"/>
    <w:rsid w:val="0097188F"/>
    <w:rsid w:val="0097193C"/>
    <w:rsid w:val="009719BA"/>
    <w:rsid w:val="00971C07"/>
    <w:rsid w:val="00971F6C"/>
    <w:rsid w:val="0097223B"/>
    <w:rsid w:val="0097242E"/>
    <w:rsid w:val="0097254F"/>
    <w:rsid w:val="00972750"/>
    <w:rsid w:val="00972798"/>
    <w:rsid w:val="00972A5A"/>
    <w:rsid w:val="00972CB2"/>
    <w:rsid w:val="00972CCD"/>
    <w:rsid w:val="00972CE7"/>
    <w:rsid w:val="00972F62"/>
    <w:rsid w:val="009730E7"/>
    <w:rsid w:val="00973277"/>
    <w:rsid w:val="009732D4"/>
    <w:rsid w:val="0097331D"/>
    <w:rsid w:val="009733D3"/>
    <w:rsid w:val="00973481"/>
    <w:rsid w:val="00973568"/>
    <w:rsid w:val="00973774"/>
    <w:rsid w:val="009737B9"/>
    <w:rsid w:val="00973802"/>
    <w:rsid w:val="00973B30"/>
    <w:rsid w:val="00973BC0"/>
    <w:rsid w:val="00973BFF"/>
    <w:rsid w:val="00973D50"/>
    <w:rsid w:val="00973D72"/>
    <w:rsid w:val="00973D9B"/>
    <w:rsid w:val="00974171"/>
    <w:rsid w:val="00974251"/>
    <w:rsid w:val="00974701"/>
    <w:rsid w:val="0097477C"/>
    <w:rsid w:val="00974789"/>
    <w:rsid w:val="009747B4"/>
    <w:rsid w:val="0097486A"/>
    <w:rsid w:val="0097490E"/>
    <w:rsid w:val="00974A15"/>
    <w:rsid w:val="00974AB2"/>
    <w:rsid w:val="00974B77"/>
    <w:rsid w:val="00974BEF"/>
    <w:rsid w:val="00974C3F"/>
    <w:rsid w:val="00974D8F"/>
    <w:rsid w:val="00974E9F"/>
    <w:rsid w:val="00974EC6"/>
    <w:rsid w:val="00974F30"/>
    <w:rsid w:val="00975033"/>
    <w:rsid w:val="009750CA"/>
    <w:rsid w:val="0097514C"/>
    <w:rsid w:val="0097546C"/>
    <w:rsid w:val="009754E3"/>
    <w:rsid w:val="009754E6"/>
    <w:rsid w:val="009756F5"/>
    <w:rsid w:val="0097583D"/>
    <w:rsid w:val="009759AF"/>
    <w:rsid w:val="009759D8"/>
    <w:rsid w:val="00975A71"/>
    <w:rsid w:val="00975A84"/>
    <w:rsid w:val="00975C8C"/>
    <w:rsid w:val="00975DD7"/>
    <w:rsid w:val="00975EC7"/>
    <w:rsid w:val="0097600D"/>
    <w:rsid w:val="0097615F"/>
    <w:rsid w:val="009761A9"/>
    <w:rsid w:val="009762C9"/>
    <w:rsid w:val="009764A4"/>
    <w:rsid w:val="009766D0"/>
    <w:rsid w:val="00976916"/>
    <w:rsid w:val="00976AA5"/>
    <w:rsid w:val="00976AFD"/>
    <w:rsid w:val="00976D9C"/>
    <w:rsid w:val="00976E6D"/>
    <w:rsid w:val="00976E7F"/>
    <w:rsid w:val="009770A0"/>
    <w:rsid w:val="009771DF"/>
    <w:rsid w:val="009772D2"/>
    <w:rsid w:val="009772F5"/>
    <w:rsid w:val="00977358"/>
    <w:rsid w:val="00977630"/>
    <w:rsid w:val="009776B1"/>
    <w:rsid w:val="00977842"/>
    <w:rsid w:val="009778CD"/>
    <w:rsid w:val="0097792B"/>
    <w:rsid w:val="0097793E"/>
    <w:rsid w:val="009779FE"/>
    <w:rsid w:val="00977AE1"/>
    <w:rsid w:val="00977C05"/>
    <w:rsid w:val="00977F5E"/>
    <w:rsid w:val="0098014F"/>
    <w:rsid w:val="009801D1"/>
    <w:rsid w:val="00980206"/>
    <w:rsid w:val="0098020F"/>
    <w:rsid w:val="0098038F"/>
    <w:rsid w:val="00980415"/>
    <w:rsid w:val="00980420"/>
    <w:rsid w:val="00980451"/>
    <w:rsid w:val="0098054D"/>
    <w:rsid w:val="0098060B"/>
    <w:rsid w:val="00980744"/>
    <w:rsid w:val="009809EA"/>
    <w:rsid w:val="009809F6"/>
    <w:rsid w:val="00980D93"/>
    <w:rsid w:val="00980DA9"/>
    <w:rsid w:val="00980DEF"/>
    <w:rsid w:val="00980E1B"/>
    <w:rsid w:val="0098117A"/>
    <w:rsid w:val="009811E8"/>
    <w:rsid w:val="0098139C"/>
    <w:rsid w:val="00981479"/>
    <w:rsid w:val="00981596"/>
    <w:rsid w:val="009815E4"/>
    <w:rsid w:val="0098169F"/>
    <w:rsid w:val="009817BC"/>
    <w:rsid w:val="009818F1"/>
    <w:rsid w:val="00981A11"/>
    <w:rsid w:val="00981A22"/>
    <w:rsid w:val="00981B29"/>
    <w:rsid w:val="00981C06"/>
    <w:rsid w:val="00981D42"/>
    <w:rsid w:val="00981E2F"/>
    <w:rsid w:val="00981E9D"/>
    <w:rsid w:val="00981EB2"/>
    <w:rsid w:val="00981ED2"/>
    <w:rsid w:val="009823DA"/>
    <w:rsid w:val="00982405"/>
    <w:rsid w:val="0098274E"/>
    <w:rsid w:val="009827CC"/>
    <w:rsid w:val="00982862"/>
    <w:rsid w:val="00982A37"/>
    <w:rsid w:val="00982C53"/>
    <w:rsid w:val="00982E31"/>
    <w:rsid w:val="00982F78"/>
    <w:rsid w:val="00982F94"/>
    <w:rsid w:val="00983051"/>
    <w:rsid w:val="00983387"/>
    <w:rsid w:val="00983574"/>
    <w:rsid w:val="00983587"/>
    <w:rsid w:val="00983A22"/>
    <w:rsid w:val="00983A85"/>
    <w:rsid w:val="00983B5D"/>
    <w:rsid w:val="00983B64"/>
    <w:rsid w:val="00983D5A"/>
    <w:rsid w:val="00983E07"/>
    <w:rsid w:val="0098404A"/>
    <w:rsid w:val="00984177"/>
    <w:rsid w:val="00984357"/>
    <w:rsid w:val="009844B4"/>
    <w:rsid w:val="0098456D"/>
    <w:rsid w:val="00984947"/>
    <w:rsid w:val="009849DB"/>
    <w:rsid w:val="00984A02"/>
    <w:rsid w:val="00984B2E"/>
    <w:rsid w:val="00984C2D"/>
    <w:rsid w:val="00984D50"/>
    <w:rsid w:val="00984F91"/>
    <w:rsid w:val="009850A2"/>
    <w:rsid w:val="00985506"/>
    <w:rsid w:val="009855BB"/>
    <w:rsid w:val="00985AFD"/>
    <w:rsid w:val="00985B65"/>
    <w:rsid w:val="00985C7D"/>
    <w:rsid w:val="00985D6C"/>
    <w:rsid w:val="00985EF8"/>
    <w:rsid w:val="00986256"/>
    <w:rsid w:val="00986365"/>
    <w:rsid w:val="009864E2"/>
    <w:rsid w:val="00986700"/>
    <w:rsid w:val="00986868"/>
    <w:rsid w:val="009868B1"/>
    <w:rsid w:val="009869D5"/>
    <w:rsid w:val="00986AB3"/>
    <w:rsid w:val="00986BCE"/>
    <w:rsid w:val="00986BEC"/>
    <w:rsid w:val="00986CA5"/>
    <w:rsid w:val="00986D64"/>
    <w:rsid w:val="00987580"/>
    <w:rsid w:val="00987761"/>
    <w:rsid w:val="0098778B"/>
    <w:rsid w:val="00987816"/>
    <w:rsid w:val="0098784E"/>
    <w:rsid w:val="00987856"/>
    <w:rsid w:val="00987869"/>
    <w:rsid w:val="00987A1A"/>
    <w:rsid w:val="00987E7F"/>
    <w:rsid w:val="00987F2E"/>
    <w:rsid w:val="0099016B"/>
    <w:rsid w:val="009902D8"/>
    <w:rsid w:val="00990412"/>
    <w:rsid w:val="009904E7"/>
    <w:rsid w:val="009905A8"/>
    <w:rsid w:val="009905AA"/>
    <w:rsid w:val="009905AB"/>
    <w:rsid w:val="009905CB"/>
    <w:rsid w:val="00990710"/>
    <w:rsid w:val="00990812"/>
    <w:rsid w:val="009909AC"/>
    <w:rsid w:val="00990BB0"/>
    <w:rsid w:val="00990BCE"/>
    <w:rsid w:val="00990D06"/>
    <w:rsid w:val="00990ED7"/>
    <w:rsid w:val="00990FA5"/>
    <w:rsid w:val="00991047"/>
    <w:rsid w:val="009910A6"/>
    <w:rsid w:val="00991243"/>
    <w:rsid w:val="00991288"/>
    <w:rsid w:val="00991505"/>
    <w:rsid w:val="00991550"/>
    <w:rsid w:val="00991656"/>
    <w:rsid w:val="009916D8"/>
    <w:rsid w:val="009916D9"/>
    <w:rsid w:val="0099179F"/>
    <w:rsid w:val="00991939"/>
    <w:rsid w:val="009919C5"/>
    <w:rsid w:val="00991CBC"/>
    <w:rsid w:val="00991CD8"/>
    <w:rsid w:val="00991D48"/>
    <w:rsid w:val="00991D5E"/>
    <w:rsid w:val="00991DBA"/>
    <w:rsid w:val="00991DD8"/>
    <w:rsid w:val="00991DE7"/>
    <w:rsid w:val="00991EFB"/>
    <w:rsid w:val="00991FC7"/>
    <w:rsid w:val="0099203D"/>
    <w:rsid w:val="00992073"/>
    <w:rsid w:val="009920AC"/>
    <w:rsid w:val="009920CB"/>
    <w:rsid w:val="0099211C"/>
    <w:rsid w:val="00992347"/>
    <w:rsid w:val="009924D5"/>
    <w:rsid w:val="00992712"/>
    <w:rsid w:val="00992955"/>
    <w:rsid w:val="00992A82"/>
    <w:rsid w:val="00992AD5"/>
    <w:rsid w:val="00992AE1"/>
    <w:rsid w:val="00992B6D"/>
    <w:rsid w:val="00992EC6"/>
    <w:rsid w:val="00992ED6"/>
    <w:rsid w:val="00992EEF"/>
    <w:rsid w:val="00992F06"/>
    <w:rsid w:val="009933FE"/>
    <w:rsid w:val="009936AB"/>
    <w:rsid w:val="00993718"/>
    <w:rsid w:val="009937CD"/>
    <w:rsid w:val="0099388C"/>
    <w:rsid w:val="00993A86"/>
    <w:rsid w:val="00993BA8"/>
    <w:rsid w:val="00993D4B"/>
    <w:rsid w:val="00993DE4"/>
    <w:rsid w:val="00993E7C"/>
    <w:rsid w:val="00993EAE"/>
    <w:rsid w:val="00994163"/>
    <w:rsid w:val="009943E6"/>
    <w:rsid w:val="009946A2"/>
    <w:rsid w:val="009948A3"/>
    <w:rsid w:val="00994A19"/>
    <w:rsid w:val="00994AB6"/>
    <w:rsid w:val="00994AC0"/>
    <w:rsid w:val="00994E6A"/>
    <w:rsid w:val="00994FE3"/>
    <w:rsid w:val="00995220"/>
    <w:rsid w:val="009952D1"/>
    <w:rsid w:val="0099534E"/>
    <w:rsid w:val="009953B4"/>
    <w:rsid w:val="009953D1"/>
    <w:rsid w:val="00995557"/>
    <w:rsid w:val="00995932"/>
    <w:rsid w:val="009959B5"/>
    <w:rsid w:val="00995B79"/>
    <w:rsid w:val="00995C9D"/>
    <w:rsid w:val="00995DCC"/>
    <w:rsid w:val="00995E6A"/>
    <w:rsid w:val="00995EA0"/>
    <w:rsid w:val="00995EA7"/>
    <w:rsid w:val="0099616E"/>
    <w:rsid w:val="0099622C"/>
    <w:rsid w:val="009962A3"/>
    <w:rsid w:val="009962D0"/>
    <w:rsid w:val="00996355"/>
    <w:rsid w:val="009965CF"/>
    <w:rsid w:val="00996680"/>
    <w:rsid w:val="009966E4"/>
    <w:rsid w:val="0099686E"/>
    <w:rsid w:val="00996B5F"/>
    <w:rsid w:val="00996BE8"/>
    <w:rsid w:val="00996C5E"/>
    <w:rsid w:val="00996DA3"/>
    <w:rsid w:val="00996DA7"/>
    <w:rsid w:val="00997005"/>
    <w:rsid w:val="00997089"/>
    <w:rsid w:val="00997124"/>
    <w:rsid w:val="009971A3"/>
    <w:rsid w:val="009972AA"/>
    <w:rsid w:val="00997393"/>
    <w:rsid w:val="00997465"/>
    <w:rsid w:val="00997502"/>
    <w:rsid w:val="0099754E"/>
    <w:rsid w:val="00997744"/>
    <w:rsid w:val="00997766"/>
    <w:rsid w:val="0099778B"/>
    <w:rsid w:val="009977BE"/>
    <w:rsid w:val="00997810"/>
    <w:rsid w:val="00997885"/>
    <w:rsid w:val="009978FD"/>
    <w:rsid w:val="00997C21"/>
    <w:rsid w:val="00997D9D"/>
    <w:rsid w:val="00997F10"/>
    <w:rsid w:val="00997FBD"/>
    <w:rsid w:val="009A021D"/>
    <w:rsid w:val="009A0510"/>
    <w:rsid w:val="009A05BD"/>
    <w:rsid w:val="009A0658"/>
    <w:rsid w:val="009A06B9"/>
    <w:rsid w:val="009A0700"/>
    <w:rsid w:val="009A08B3"/>
    <w:rsid w:val="009A0B43"/>
    <w:rsid w:val="009A0D1C"/>
    <w:rsid w:val="009A0D34"/>
    <w:rsid w:val="009A0DDD"/>
    <w:rsid w:val="009A0E81"/>
    <w:rsid w:val="009A1046"/>
    <w:rsid w:val="009A1370"/>
    <w:rsid w:val="009A14A0"/>
    <w:rsid w:val="009A152F"/>
    <w:rsid w:val="009A1607"/>
    <w:rsid w:val="009A167C"/>
    <w:rsid w:val="009A16F4"/>
    <w:rsid w:val="009A19A8"/>
    <w:rsid w:val="009A19B4"/>
    <w:rsid w:val="009A1BA7"/>
    <w:rsid w:val="009A1D8D"/>
    <w:rsid w:val="009A1E03"/>
    <w:rsid w:val="009A1E54"/>
    <w:rsid w:val="009A1F02"/>
    <w:rsid w:val="009A1F92"/>
    <w:rsid w:val="009A2044"/>
    <w:rsid w:val="009A228B"/>
    <w:rsid w:val="009A232C"/>
    <w:rsid w:val="009A2413"/>
    <w:rsid w:val="009A252A"/>
    <w:rsid w:val="009A25AE"/>
    <w:rsid w:val="009A2625"/>
    <w:rsid w:val="009A282F"/>
    <w:rsid w:val="009A2888"/>
    <w:rsid w:val="009A28F2"/>
    <w:rsid w:val="009A2A7E"/>
    <w:rsid w:val="009A2A88"/>
    <w:rsid w:val="009A2F9C"/>
    <w:rsid w:val="009A3188"/>
    <w:rsid w:val="009A3191"/>
    <w:rsid w:val="009A330D"/>
    <w:rsid w:val="009A3509"/>
    <w:rsid w:val="009A35A7"/>
    <w:rsid w:val="009A3672"/>
    <w:rsid w:val="009A3844"/>
    <w:rsid w:val="009A38BF"/>
    <w:rsid w:val="009A39D8"/>
    <w:rsid w:val="009A3A98"/>
    <w:rsid w:val="009A3D72"/>
    <w:rsid w:val="009A3F19"/>
    <w:rsid w:val="009A3F79"/>
    <w:rsid w:val="009A4027"/>
    <w:rsid w:val="009A4072"/>
    <w:rsid w:val="009A4183"/>
    <w:rsid w:val="009A41BB"/>
    <w:rsid w:val="009A4217"/>
    <w:rsid w:val="009A42FC"/>
    <w:rsid w:val="009A4377"/>
    <w:rsid w:val="009A439D"/>
    <w:rsid w:val="009A4461"/>
    <w:rsid w:val="009A4543"/>
    <w:rsid w:val="009A489A"/>
    <w:rsid w:val="009A48BF"/>
    <w:rsid w:val="009A49A5"/>
    <w:rsid w:val="009A49CC"/>
    <w:rsid w:val="009A4D01"/>
    <w:rsid w:val="009A4E01"/>
    <w:rsid w:val="009A4E0C"/>
    <w:rsid w:val="009A4ECB"/>
    <w:rsid w:val="009A4ED0"/>
    <w:rsid w:val="009A4FD8"/>
    <w:rsid w:val="009A510D"/>
    <w:rsid w:val="009A512F"/>
    <w:rsid w:val="009A5136"/>
    <w:rsid w:val="009A5491"/>
    <w:rsid w:val="009A549B"/>
    <w:rsid w:val="009A56AB"/>
    <w:rsid w:val="009A59C7"/>
    <w:rsid w:val="009A59DE"/>
    <w:rsid w:val="009A5CCF"/>
    <w:rsid w:val="009A5EAC"/>
    <w:rsid w:val="009A5F43"/>
    <w:rsid w:val="009A5F8A"/>
    <w:rsid w:val="009A6200"/>
    <w:rsid w:val="009A624F"/>
    <w:rsid w:val="009A62DC"/>
    <w:rsid w:val="009A643C"/>
    <w:rsid w:val="009A64D0"/>
    <w:rsid w:val="009A658F"/>
    <w:rsid w:val="009A663E"/>
    <w:rsid w:val="009A66B7"/>
    <w:rsid w:val="009A67C0"/>
    <w:rsid w:val="009A67DD"/>
    <w:rsid w:val="009A68C6"/>
    <w:rsid w:val="009A69AE"/>
    <w:rsid w:val="009A69AF"/>
    <w:rsid w:val="009A69C8"/>
    <w:rsid w:val="009A6A75"/>
    <w:rsid w:val="009A6A91"/>
    <w:rsid w:val="009A6B76"/>
    <w:rsid w:val="009A6DC9"/>
    <w:rsid w:val="009A6F60"/>
    <w:rsid w:val="009A6FAE"/>
    <w:rsid w:val="009A7016"/>
    <w:rsid w:val="009A7237"/>
    <w:rsid w:val="009A7316"/>
    <w:rsid w:val="009A73A0"/>
    <w:rsid w:val="009A7717"/>
    <w:rsid w:val="009A77CB"/>
    <w:rsid w:val="009A77F7"/>
    <w:rsid w:val="009A784A"/>
    <w:rsid w:val="009A7CE7"/>
    <w:rsid w:val="009A7CED"/>
    <w:rsid w:val="009A7FE4"/>
    <w:rsid w:val="009B009F"/>
    <w:rsid w:val="009B0121"/>
    <w:rsid w:val="009B01A5"/>
    <w:rsid w:val="009B02AC"/>
    <w:rsid w:val="009B032A"/>
    <w:rsid w:val="009B0339"/>
    <w:rsid w:val="009B035A"/>
    <w:rsid w:val="009B0411"/>
    <w:rsid w:val="009B073C"/>
    <w:rsid w:val="009B08CF"/>
    <w:rsid w:val="009B0959"/>
    <w:rsid w:val="009B0975"/>
    <w:rsid w:val="009B099C"/>
    <w:rsid w:val="009B0A06"/>
    <w:rsid w:val="009B0B76"/>
    <w:rsid w:val="009B0C22"/>
    <w:rsid w:val="009B0E70"/>
    <w:rsid w:val="009B0F4C"/>
    <w:rsid w:val="009B0FA5"/>
    <w:rsid w:val="009B1090"/>
    <w:rsid w:val="009B1382"/>
    <w:rsid w:val="009B169B"/>
    <w:rsid w:val="009B17EB"/>
    <w:rsid w:val="009B1A6A"/>
    <w:rsid w:val="009B1BA8"/>
    <w:rsid w:val="009B1BAE"/>
    <w:rsid w:val="009B1C97"/>
    <w:rsid w:val="009B1CFD"/>
    <w:rsid w:val="009B1D45"/>
    <w:rsid w:val="009B1F52"/>
    <w:rsid w:val="009B2227"/>
    <w:rsid w:val="009B229C"/>
    <w:rsid w:val="009B23D7"/>
    <w:rsid w:val="009B24A6"/>
    <w:rsid w:val="009B2515"/>
    <w:rsid w:val="009B25CC"/>
    <w:rsid w:val="009B2687"/>
    <w:rsid w:val="009B29BC"/>
    <w:rsid w:val="009B29FA"/>
    <w:rsid w:val="009B2B26"/>
    <w:rsid w:val="009B2BE3"/>
    <w:rsid w:val="009B2EBC"/>
    <w:rsid w:val="009B3172"/>
    <w:rsid w:val="009B31B0"/>
    <w:rsid w:val="009B3297"/>
    <w:rsid w:val="009B32A1"/>
    <w:rsid w:val="009B3318"/>
    <w:rsid w:val="009B3344"/>
    <w:rsid w:val="009B3403"/>
    <w:rsid w:val="009B347C"/>
    <w:rsid w:val="009B366B"/>
    <w:rsid w:val="009B3712"/>
    <w:rsid w:val="009B37EC"/>
    <w:rsid w:val="009B39A4"/>
    <w:rsid w:val="009B3B09"/>
    <w:rsid w:val="009B3B53"/>
    <w:rsid w:val="009B3C48"/>
    <w:rsid w:val="009B41A5"/>
    <w:rsid w:val="009B4412"/>
    <w:rsid w:val="009B44A7"/>
    <w:rsid w:val="009B4714"/>
    <w:rsid w:val="009B480B"/>
    <w:rsid w:val="009B492A"/>
    <w:rsid w:val="009B4A76"/>
    <w:rsid w:val="009B4B1B"/>
    <w:rsid w:val="009B4B25"/>
    <w:rsid w:val="009B4B4E"/>
    <w:rsid w:val="009B4C3F"/>
    <w:rsid w:val="009B4C7F"/>
    <w:rsid w:val="009B4C9E"/>
    <w:rsid w:val="009B4DEA"/>
    <w:rsid w:val="009B4E31"/>
    <w:rsid w:val="009B4F1D"/>
    <w:rsid w:val="009B4FC8"/>
    <w:rsid w:val="009B5084"/>
    <w:rsid w:val="009B50DF"/>
    <w:rsid w:val="009B5133"/>
    <w:rsid w:val="009B5220"/>
    <w:rsid w:val="009B52F9"/>
    <w:rsid w:val="009B5308"/>
    <w:rsid w:val="009B53DA"/>
    <w:rsid w:val="009B53F3"/>
    <w:rsid w:val="009B5475"/>
    <w:rsid w:val="009B5775"/>
    <w:rsid w:val="009B5832"/>
    <w:rsid w:val="009B58B4"/>
    <w:rsid w:val="009B5C20"/>
    <w:rsid w:val="009B5CA7"/>
    <w:rsid w:val="009B5D46"/>
    <w:rsid w:val="009B5D98"/>
    <w:rsid w:val="009B5E5A"/>
    <w:rsid w:val="009B5E84"/>
    <w:rsid w:val="009B6145"/>
    <w:rsid w:val="009B642C"/>
    <w:rsid w:val="009B643B"/>
    <w:rsid w:val="009B6492"/>
    <w:rsid w:val="009B64D1"/>
    <w:rsid w:val="009B6586"/>
    <w:rsid w:val="009B6AB0"/>
    <w:rsid w:val="009B6B19"/>
    <w:rsid w:val="009B6D15"/>
    <w:rsid w:val="009B6DF0"/>
    <w:rsid w:val="009B6EA7"/>
    <w:rsid w:val="009B6F9E"/>
    <w:rsid w:val="009B7001"/>
    <w:rsid w:val="009B7027"/>
    <w:rsid w:val="009B75A8"/>
    <w:rsid w:val="009B7688"/>
    <w:rsid w:val="009B76A6"/>
    <w:rsid w:val="009B76A7"/>
    <w:rsid w:val="009B7883"/>
    <w:rsid w:val="009B78B8"/>
    <w:rsid w:val="009B7933"/>
    <w:rsid w:val="009B7A3D"/>
    <w:rsid w:val="009B7C5F"/>
    <w:rsid w:val="009B7E7A"/>
    <w:rsid w:val="009B7EC7"/>
    <w:rsid w:val="009B7F91"/>
    <w:rsid w:val="009C001F"/>
    <w:rsid w:val="009C00F7"/>
    <w:rsid w:val="009C02B2"/>
    <w:rsid w:val="009C037E"/>
    <w:rsid w:val="009C05E6"/>
    <w:rsid w:val="009C0A2A"/>
    <w:rsid w:val="009C0A64"/>
    <w:rsid w:val="009C0AA2"/>
    <w:rsid w:val="009C0C66"/>
    <w:rsid w:val="009C0C8C"/>
    <w:rsid w:val="009C0CE3"/>
    <w:rsid w:val="009C0DCF"/>
    <w:rsid w:val="009C10C1"/>
    <w:rsid w:val="009C10F7"/>
    <w:rsid w:val="009C114D"/>
    <w:rsid w:val="009C138D"/>
    <w:rsid w:val="009C1471"/>
    <w:rsid w:val="009C14A0"/>
    <w:rsid w:val="009C14FB"/>
    <w:rsid w:val="009C15A2"/>
    <w:rsid w:val="009C1836"/>
    <w:rsid w:val="009C1A05"/>
    <w:rsid w:val="009C1AD5"/>
    <w:rsid w:val="009C1AE0"/>
    <w:rsid w:val="009C1B38"/>
    <w:rsid w:val="009C1D2E"/>
    <w:rsid w:val="009C1DEC"/>
    <w:rsid w:val="009C1DF7"/>
    <w:rsid w:val="009C20C0"/>
    <w:rsid w:val="009C2391"/>
    <w:rsid w:val="009C23F2"/>
    <w:rsid w:val="009C24DB"/>
    <w:rsid w:val="009C2515"/>
    <w:rsid w:val="009C2546"/>
    <w:rsid w:val="009C255A"/>
    <w:rsid w:val="009C26B2"/>
    <w:rsid w:val="009C271E"/>
    <w:rsid w:val="009C2768"/>
    <w:rsid w:val="009C2808"/>
    <w:rsid w:val="009C2952"/>
    <w:rsid w:val="009C2A0A"/>
    <w:rsid w:val="009C2B09"/>
    <w:rsid w:val="009C2E0F"/>
    <w:rsid w:val="009C2E2F"/>
    <w:rsid w:val="009C2EBB"/>
    <w:rsid w:val="009C302D"/>
    <w:rsid w:val="009C3087"/>
    <w:rsid w:val="009C33E9"/>
    <w:rsid w:val="009C3409"/>
    <w:rsid w:val="009C3444"/>
    <w:rsid w:val="009C34E7"/>
    <w:rsid w:val="009C358D"/>
    <w:rsid w:val="009C35D3"/>
    <w:rsid w:val="009C3612"/>
    <w:rsid w:val="009C3A2B"/>
    <w:rsid w:val="009C3B4B"/>
    <w:rsid w:val="009C3B63"/>
    <w:rsid w:val="009C3E7B"/>
    <w:rsid w:val="009C3F6B"/>
    <w:rsid w:val="009C4067"/>
    <w:rsid w:val="009C40CB"/>
    <w:rsid w:val="009C4136"/>
    <w:rsid w:val="009C427D"/>
    <w:rsid w:val="009C4305"/>
    <w:rsid w:val="009C4362"/>
    <w:rsid w:val="009C4454"/>
    <w:rsid w:val="009C44AC"/>
    <w:rsid w:val="009C44FC"/>
    <w:rsid w:val="009C4522"/>
    <w:rsid w:val="009C45AA"/>
    <w:rsid w:val="009C464D"/>
    <w:rsid w:val="009C4676"/>
    <w:rsid w:val="009C46F4"/>
    <w:rsid w:val="009C482C"/>
    <w:rsid w:val="009C48CD"/>
    <w:rsid w:val="009C4C5C"/>
    <w:rsid w:val="009C4C6C"/>
    <w:rsid w:val="009C4D45"/>
    <w:rsid w:val="009C4EA4"/>
    <w:rsid w:val="009C4F4A"/>
    <w:rsid w:val="009C504A"/>
    <w:rsid w:val="009C5068"/>
    <w:rsid w:val="009C5087"/>
    <w:rsid w:val="009C50E9"/>
    <w:rsid w:val="009C510E"/>
    <w:rsid w:val="009C5154"/>
    <w:rsid w:val="009C51CD"/>
    <w:rsid w:val="009C5394"/>
    <w:rsid w:val="009C55B2"/>
    <w:rsid w:val="009C55F0"/>
    <w:rsid w:val="009C5854"/>
    <w:rsid w:val="009C59AD"/>
    <w:rsid w:val="009C5A56"/>
    <w:rsid w:val="009C5B29"/>
    <w:rsid w:val="009C5BFD"/>
    <w:rsid w:val="009C5D8C"/>
    <w:rsid w:val="009C5DEF"/>
    <w:rsid w:val="009C5E8E"/>
    <w:rsid w:val="009C5EE0"/>
    <w:rsid w:val="009C5EFA"/>
    <w:rsid w:val="009C5FDC"/>
    <w:rsid w:val="009C60B6"/>
    <w:rsid w:val="009C60BE"/>
    <w:rsid w:val="009C635B"/>
    <w:rsid w:val="009C66E0"/>
    <w:rsid w:val="009C6790"/>
    <w:rsid w:val="009C68D5"/>
    <w:rsid w:val="009C692C"/>
    <w:rsid w:val="009C6945"/>
    <w:rsid w:val="009C6A26"/>
    <w:rsid w:val="009C6AC9"/>
    <w:rsid w:val="009C6CE9"/>
    <w:rsid w:val="009C6F1E"/>
    <w:rsid w:val="009C7006"/>
    <w:rsid w:val="009C704A"/>
    <w:rsid w:val="009C7147"/>
    <w:rsid w:val="009C71DE"/>
    <w:rsid w:val="009C71F4"/>
    <w:rsid w:val="009C7229"/>
    <w:rsid w:val="009C7339"/>
    <w:rsid w:val="009C7410"/>
    <w:rsid w:val="009C7451"/>
    <w:rsid w:val="009C752D"/>
    <w:rsid w:val="009C7563"/>
    <w:rsid w:val="009C7683"/>
    <w:rsid w:val="009C774B"/>
    <w:rsid w:val="009C774E"/>
    <w:rsid w:val="009C7825"/>
    <w:rsid w:val="009C782E"/>
    <w:rsid w:val="009C79FF"/>
    <w:rsid w:val="009C7A22"/>
    <w:rsid w:val="009C7E23"/>
    <w:rsid w:val="009C7E62"/>
    <w:rsid w:val="009D0418"/>
    <w:rsid w:val="009D049A"/>
    <w:rsid w:val="009D04A1"/>
    <w:rsid w:val="009D0587"/>
    <w:rsid w:val="009D05C1"/>
    <w:rsid w:val="009D06AE"/>
    <w:rsid w:val="009D077D"/>
    <w:rsid w:val="009D0A22"/>
    <w:rsid w:val="009D0A4B"/>
    <w:rsid w:val="009D0ABA"/>
    <w:rsid w:val="009D0CB6"/>
    <w:rsid w:val="009D0CD4"/>
    <w:rsid w:val="009D0CFD"/>
    <w:rsid w:val="009D0E56"/>
    <w:rsid w:val="009D107A"/>
    <w:rsid w:val="009D111D"/>
    <w:rsid w:val="009D113A"/>
    <w:rsid w:val="009D1216"/>
    <w:rsid w:val="009D129D"/>
    <w:rsid w:val="009D12BD"/>
    <w:rsid w:val="009D13C8"/>
    <w:rsid w:val="009D1644"/>
    <w:rsid w:val="009D170A"/>
    <w:rsid w:val="009D1999"/>
    <w:rsid w:val="009D1AF5"/>
    <w:rsid w:val="009D1CE0"/>
    <w:rsid w:val="009D1EC5"/>
    <w:rsid w:val="009D1F1E"/>
    <w:rsid w:val="009D1F58"/>
    <w:rsid w:val="009D21C0"/>
    <w:rsid w:val="009D21CD"/>
    <w:rsid w:val="009D21D5"/>
    <w:rsid w:val="009D23A6"/>
    <w:rsid w:val="009D2417"/>
    <w:rsid w:val="009D2607"/>
    <w:rsid w:val="009D264C"/>
    <w:rsid w:val="009D2770"/>
    <w:rsid w:val="009D27BF"/>
    <w:rsid w:val="009D27F6"/>
    <w:rsid w:val="009D2A4F"/>
    <w:rsid w:val="009D2BD6"/>
    <w:rsid w:val="009D2C00"/>
    <w:rsid w:val="009D2E1A"/>
    <w:rsid w:val="009D2F07"/>
    <w:rsid w:val="009D2F68"/>
    <w:rsid w:val="009D3012"/>
    <w:rsid w:val="009D3063"/>
    <w:rsid w:val="009D30C0"/>
    <w:rsid w:val="009D31D4"/>
    <w:rsid w:val="009D33ED"/>
    <w:rsid w:val="009D3459"/>
    <w:rsid w:val="009D35D3"/>
    <w:rsid w:val="009D364F"/>
    <w:rsid w:val="009D36C8"/>
    <w:rsid w:val="009D3799"/>
    <w:rsid w:val="009D38A5"/>
    <w:rsid w:val="009D39A4"/>
    <w:rsid w:val="009D39ED"/>
    <w:rsid w:val="009D3C6E"/>
    <w:rsid w:val="009D3D8F"/>
    <w:rsid w:val="009D3E21"/>
    <w:rsid w:val="009D3EB8"/>
    <w:rsid w:val="009D421E"/>
    <w:rsid w:val="009D4242"/>
    <w:rsid w:val="009D44A8"/>
    <w:rsid w:val="009D461A"/>
    <w:rsid w:val="009D4792"/>
    <w:rsid w:val="009D47B9"/>
    <w:rsid w:val="009D480E"/>
    <w:rsid w:val="009D4B9E"/>
    <w:rsid w:val="009D4C24"/>
    <w:rsid w:val="009D4E19"/>
    <w:rsid w:val="009D4EE3"/>
    <w:rsid w:val="009D4F31"/>
    <w:rsid w:val="009D509E"/>
    <w:rsid w:val="009D51E0"/>
    <w:rsid w:val="009D5212"/>
    <w:rsid w:val="009D52B0"/>
    <w:rsid w:val="009D550D"/>
    <w:rsid w:val="009D5555"/>
    <w:rsid w:val="009D5BF7"/>
    <w:rsid w:val="009D5DBF"/>
    <w:rsid w:val="009D5DDE"/>
    <w:rsid w:val="009D5E89"/>
    <w:rsid w:val="009D5EFA"/>
    <w:rsid w:val="009D5FCE"/>
    <w:rsid w:val="009D5FDB"/>
    <w:rsid w:val="009D6010"/>
    <w:rsid w:val="009D60AB"/>
    <w:rsid w:val="009D60D2"/>
    <w:rsid w:val="009D60DF"/>
    <w:rsid w:val="009D639C"/>
    <w:rsid w:val="009D646D"/>
    <w:rsid w:val="009D64A8"/>
    <w:rsid w:val="009D64B6"/>
    <w:rsid w:val="009D64CD"/>
    <w:rsid w:val="009D64E7"/>
    <w:rsid w:val="009D65E9"/>
    <w:rsid w:val="009D666B"/>
    <w:rsid w:val="009D670D"/>
    <w:rsid w:val="009D683C"/>
    <w:rsid w:val="009D697F"/>
    <w:rsid w:val="009D6A57"/>
    <w:rsid w:val="009D6A72"/>
    <w:rsid w:val="009D6C67"/>
    <w:rsid w:val="009D6D93"/>
    <w:rsid w:val="009D6E11"/>
    <w:rsid w:val="009D6E8C"/>
    <w:rsid w:val="009D709A"/>
    <w:rsid w:val="009D70F2"/>
    <w:rsid w:val="009D714E"/>
    <w:rsid w:val="009D7364"/>
    <w:rsid w:val="009D7579"/>
    <w:rsid w:val="009D75E7"/>
    <w:rsid w:val="009D75F8"/>
    <w:rsid w:val="009D7681"/>
    <w:rsid w:val="009D7843"/>
    <w:rsid w:val="009D787D"/>
    <w:rsid w:val="009D7EB8"/>
    <w:rsid w:val="009D7EDC"/>
    <w:rsid w:val="009D7F31"/>
    <w:rsid w:val="009D7F9C"/>
    <w:rsid w:val="009D7FCA"/>
    <w:rsid w:val="009D7FE4"/>
    <w:rsid w:val="009D7FED"/>
    <w:rsid w:val="009E00CC"/>
    <w:rsid w:val="009E0226"/>
    <w:rsid w:val="009E0531"/>
    <w:rsid w:val="009E06AC"/>
    <w:rsid w:val="009E07C6"/>
    <w:rsid w:val="009E0A4D"/>
    <w:rsid w:val="009E0ABC"/>
    <w:rsid w:val="009E0B5E"/>
    <w:rsid w:val="009E0C01"/>
    <w:rsid w:val="009E0E49"/>
    <w:rsid w:val="009E0FDF"/>
    <w:rsid w:val="009E1009"/>
    <w:rsid w:val="009E1066"/>
    <w:rsid w:val="009E10B8"/>
    <w:rsid w:val="009E1235"/>
    <w:rsid w:val="009E1504"/>
    <w:rsid w:val="009E1512"/>
    <w:rsid w:val="009E1949"/>
    <w:rsid w:val="009E19AE"/>
    <w:rsid w:val="009E1BD9"/>
    <w:rsid w:val="009E1C7F"/>
    <w:rsid w:val="009E1F74"/>
    <w:rsid w:val="009E1F87"/>
    <w:rsid w:val="009E2113"/>
    <w:rsid w:val="009E232B"/>
    <w:rsid w:val="009E257D"/>
    <w:rsid w:val="009E2735"/>
    <w:rsid w:val="009E2767"/>
    <w:rsid w:val="009E298A"/>
    <w:rsid w:val="009E29B2"/>
    <w:rsid w:val="009E29C5"/>
    <w:rsid w:val="009E2C23"/>
    <w:rsid w:val="009E2D4B"/>
    <w:rsid w:val="009E2EBD"/>
    <w:rsid w:val="009E348A"/>
    <w:rsid w:val="009E354A"/>
    <w:rsid w:val="009E3773"/>
    <w:rsid w:val="009E378E"/>
    <w:rsid w:val="009E3A03"/>
    <w:rsid w:val="009E3BE9"/>
    <w:rsid w:val="009E3C10"/>
    <w:rsid w:val="009E3C6F"/>
    <w:rsid w:val="009E3DA5"/>
    <w:rsid w:val="009E3EED"/>
    <w:rsid w:val="009E3F79"/>
    <w:rsid w:val="009E4250"/>
    <w:rsid w:val="009E4252"/>
    <w:rsid w:val="009E450A"/>
    <w:rsid w:val="009E453E"/>
    <w:rsid w:val="009E49E8"/>
    <w:rsid w:val="009E4CFB"/>
    <w:rsid w:val="009E4D79"/>
    <w:rsid w:val="009E4DB0"/>
    <w:rsid w:val="009E4EEC"/>
    <w:rsid w:val="009E4EFD"/>
    <w:rsid w:val="009E50A2"/>
    <w:rsid w:val="009E51A1"/>
    <w:rsid w:val="009E527C"/>
    <w:rsid w:val="009E54C2"/>
    <w:rsid w:val="009E5540"/>
    <w:rsid w:val="009E57A1"/>
    <w:rsid w:val="009E57FF"/>
    <w:rsid w:val="009E5891"/>
    <w:rsid w:val="009E59BE"/>
    <w:rsid w:val="009E5A3D"/>
    <w:rsid w:val="009E5CC5"/>
    <w:rsid w:val="009E641D"/>
    <w:rsid w:val="009E64E4"/>
    <w:rsid w:val="009E6558"/>
    <w:rsid w:val="009E67DA"/>
    <w:rsid w:val="009E6A63"/>
    <w:rsid w:val="009E6A93"/>
    <w:rsid w:val="009E6C6A"/>
    <w:rsid w:val="009E6C95"/>
    <w:rsid w:val="009E6CF4"/>
    <w:rsid w:val="009E6FFA"/>
    <w:rsid w:val="009E723A"/>
    <w:rsid w:val="009E723D"/>
    <w:rsid w:val="009E729D"/>
    <w:rsid w:val="009E7588"/>
    <w:rsid w:val="009E77FD"/>
    <w:rsid w:val="009E7889"/>
    <w:rsid w:val="009E7903"/>
    <w:rsid w:val="009E79AE"/>
    <w:rsid w:val="009E7A9C"/>
    <w:rsid w:val="009E7B8F"/>
    <w:rsid w:val="009E7C11"/>
    <w:rsid w:val="009E7C53"/>
    <w:rsid w:val="009E7C54"/>
    <w:rsid w:val="009E7D29"/>
    <w:rsid w:val="009E7DC8"/>
    <w:rsid w:val="009E7F43"/>
    <w:rsid w:val="009F0088"/>
    <w:rsid w:val="009F030C"/>
    <w:rsid w:val="009F0431"/>
    <w:rsid w:val="009F052E"/>
    <w:rsid w:val="009F05B0"/>
    <w:rsid w:val="009F0601"/>
    <w:rsid w:val="009F0874"/>
    <w:rsid w:val="009F096E"/>
    <w:rsid w:val="009F0A52"/>
    <w:rsid w:val="009F0A67"/>
    <w:rsid w:val="009F0AD3"/>
    <w:rsid w:val="009F0F0C"/>
    <w:rsid w:val="009F0FB6"/>
    <w:rsid w:val="009F0FF3"/>
    <w:rsid w:val="009F112F"/>
    <w:rsid w:val="009F11AA"/>
    <w:rsid w:val="009F11B3"/>
    <w:rsid w:val="009F12F7"/>
    <w:rsid w:val="009F1409"/>
    <w:rsid w:val="009F16A5"/>
    <w:rsid w:val="009F194C"/>
    <w:rsid w:val="009F19A4"/>
    <w:rsid w:val="009F19D9"/>
    <w:rsid w:val="009F1A86"/>
    <w:rsid w:val="009F1ED5"/>
    <w:rsid w:val="009F1F3E"/>
    <w:rsid w:val="009F2006"/>
    <w:rsid w:val="009F2106"/>
    <w:rsid w:val="009F21A9"/>
    <w:rsid w:val="009F21C8"/>
    <w:rsid w:val="009F2468"/>
    <w:rsid w:val="009F2755"/>
    <w:rsid w:val="009F288C"/>
    <w:rsid w:val="009F2AF2"/>
    <w:rsid w:val="009F2CE0"/>
    <w:rsid w:val="009F2DC4"/>
    <w:rsid w:val="009F2EE5"/>
    <w:rsid w:val="009F2F0C"/>
    <w:rsid w:val="009F2F9C"/>
    <w:rsid w:val="009F31EB"/>
    <w:rsid w:val="009F326C"/>
    <w:rsid w:val="009F32AB"/>
    <w:rsid w:val="009F355A"/>
    <w:rsid w:val="009F38DB"/>
    <w:rsid w:val="009F391A"/>
    <w:rsid w:val="009F392D"/>
    <w:rsid w:val="009F395B"/>
    <w:rsid w:val="009F39F0"/>
    <w:rsid w:val="009F3A2B"/>
    <w:rsid w:val="009F3A70"/>
    <w:rsid w:val="009F3BAB"/>
    <w:rsid w:val="009F3C0F"/>
    <w:rsid w:val="009F3F7D"/>
    <w:rsid w:val="009F3F93"/>
    <w:rsid w:val="009F3FD7"/>
    <w:rsid w:val="009F3FDE"/>
    <w:rsid w:val="009F42E6"/>
    <w:rsid w:val="009F4394"/>
    <w:rsid w:val="009F4423"/>
    <w:rsid w:val="009F4430"/>
    <w:rsid w:val="009F46C0"/>
    <w:rsid w:val="009F4737"/>
    <w:rsid w:val="009F4781"/>
    <w:rsid w:val="009F47F7"/>
    <w:rsid w:val="009F48F1"/>
    <w:rsid w:val="009F494A"/>
    <w:rsid w:val="009F4A8B"/>
    <w:rsid w:val="009F4B0B"/>
    <w:rsid w:val="009F4B0E"/>
    <w:rsid w:val="009F4BDC"/>
    <w:rsid w:val="009F4C18"/>
    <w:rsid w:val="009F4F1A"/>
    <w:rsid w:val="009F4F27"/>
    <w:rsid w:val="009F5046"/>
    <w:rsid w:val="009F509F"/>
    <w:rsid w:val="009F50B3"/>
    <w:rsid w:val="009F5193"/>
    <w:rsid w:val="009F54D9"/>
    <w:rsid w:val="009F557F"/>
    <w:rsid w:val="009F55BD"/>
    <w:rsid w:val="009F5639"/>
    <w:rsid w:val="009F5640"/>
    <w:rsid w:val="009F5795"/>
    <w:rsid w:val="009F58A8"/>
    <w:rsid w:val="009F5920"/>
    <w:rsid w:val="009F5E4E"/>
    <w:rsid w:val="009F6075"/>
    <w:rsid w:val="009F61F6"/>
    <w:rsid w:val="009F6389"/>
    <w:rsid w:val="009F654D"/>
    <w:rsid w:val="009F658D"/>
    <w:rsid w:val="009F6781"/>
    <w:rsid w:val="009F6848"/>
    <w:rsid w:val="009F68FD"/>
    <w:rsid w:val="009F69F6"/>
    <w:rsid w:val="009F6C86"/>
    <w:rsid w:val="009F6CCC"/>
    <w:rsid w:val="009F6DE7"/>
    <w:rsid w:val="009F6F74"/>
    <w:rsid w:val="009F6FFC"/>
    <w:rsid w:val="009F708B"/>
    <w:rsid w:val="009F72EB"/>
    <w:rsid w:val="009F738D"/>
    <w:rsid w:val="009F746E"/>
    <w:rsid w:val="009F776D"/>
    <w:rsid w:val="009FCBD8"/>
    <w:rsid w:val="00A00164"/>
    <w:rsid w:val="00A00180"/>
    <w:rsid w:val="00A002D5"/>
    <w:rsid w:val="00A00483"/>
    <w:rsid w:val="00A008AE"/>
    <w:rsid w:val="00A009B2"/>
    <w:rsid w:val="00A00AF0"/>
    <w:rsid w:val="00A00B3E"/>
    <w:rsid w:val="00A00BBD"/>
    <w:rsid w:val="00A00C28"/>
    <w:rsid w:val="00A00CD6"/>
    <w:rsid w:val="00A00E22"/>
    <w:rsid w:val="00A00E80"/>
    <w:rsid w:val="00A00ED0"/>
    <w:rsid w:val="00A00F94"/>
    <w:rsid w:val="00A00FCC"/>
    <w:rsid w:val="00A00FDB"/>
    <w:rsid w:val="00A012C4"/>
    <w:rsid w:val="00A0133E"/>
    <w:rsid w:val="00A013B8"/>
    <w:rsid w:val="00A01420"/>
    <w:rsid w:val="00A0149C"/>
    <w:rsid w:val="00A01588"/>
    <w:rsid w:val="00A015F4"/>
    <w:rsid w:val="00A016E4"/>
    <w:rsid w:val="00A0172C"/>
    <w:rsid w:val="00A01754"/>
    <w:rsid w:val="00A01B75"/>
    <w:rsid w:val="00A01C28"/>
    <w:rsid w:val="00A01C63"/>
    <w:rsid w:val="00A01CCA"/>
    <w:rsid w:val="00A01F17"/>
    <w:rsid w:val="00A01F68"/>
    <w:rsid w:val="00A021B4"/>
    <w:rsid w:val="00A023C0"/>
    <w:rsid w:val="00A02487"/>
    <w:rsid w:val="00A02687"/>
    <w:rsid w:val="00A0271D"/>
    <w:rsid w:val="00A02905"/>
    <w:rsid w:val="00A02A12"/>
    <w:rsid w:val="00A02A16"/>
    <w:rsid w:val="00A02A95"/>
    <w:rsid w:val="00A02C74"/>
    <w:rsid w:val="00A02C87"/>
    <w:rsid w:val="00A02E0B"/>
    <w:rsid w:val="00A030DA"/>
    <w:rsid w:val="00A03114"/>
    <w:rsid w:val="00A0317E"/>
    <w:rsid w:val="00A03251"/>
    <w:rsid w:val="00A033F0"/>
    <w:rsid w:val="00A0343C"/>
    <w:rsid w:val="00A03447"/>
    <w:rsid w:val="00A03481"/>
    <w:rsid w:val="00A034A5"/>
    <w:rsid w:val="00A0378A"/>
    <w:rsid w:val="00A03A5A"/>
    <w:rsid w:val="00A03B60"/>
    <w:rsid w:val="00A03C93"/>
    <w:rsid w:val="00A03C9D"/>
    <w:rsid w:val="00A03DA7"/>
    <w:rsid w:val="00A03ED3"/>
    <w:rsid w:val="00A03F84"/>
    <w:rsid w:val="00A041B2"/>
    <w:rsid w:val="00A041CE"/>
    <w:rsid w:val="00A041F5"/>
    <w:rsid w:val="00A0426F"/>
    <w:rsid w:val="00A042C3"/>
    <w:rsid w:val="00A042E8"/>
    <w:rsid w:val="00A042F0"/>
    <w:rsid w:val="00A044F5"/>
    <w:rsid w:val="00A0456F"/>
    <w:rsid w:val="00A04773"/>
    <w:rsid w:val="00A047EB"/>
    <w:rsid w:val="00A048D6"/>
    <w:rsid w:val="00A04913"/>
    <w:rsid w:val="00A0497E"/>
    <w:rsid w:val="00A04A64"/>
    <w:rsid w:val="00A04B2C"/>
    <w:rsid w:val="00A04B31"/>
    <w:rsid w:val="00A04B46"/>
    <w:rsid w:val="00A04BE4"/>
    <w:rsid w:val="00A04ED3"/>
    <w:rsid w:val="00A05067"/>
    <w:rsid w:val="00A05109"/>
    <w:rsid w:val="00A05166"/>
    <w:rsid w:val="00A05247"/>
    <w:rsid w:val="00A05266"/>
    <w:rsid w:val="00A05315"/>
    <w:rsid w:val="00A053FD"/>
    <w:rsid w:val="00A0590F"/>
    <w:rsid w:val="00A05910"/>
    <w:rsid w:val="00A05A55"/>
    <w:rsid w:val="00A05D3B"/>
    <w:rsid w:val="00A05DEA"/>
    <w:rsid w:val="00A06092"/>
    <w:rsid w:val="00A06111"/>
    <w:rsid w:val="00A0615C"/>
    <w:rsid w:val="00A0615E"/>
    <w:rsid w:val="00A06162"/>
    <w:rsid w:val="00A061E2"/>
    <w:rsid w:val="00A0627C"/>
    <w:rsid w:val="00A062BD"/>
    <w:rsid w:val="00A06397"/>
    <w:rsid w:val="00A06437"/>
    <w:rsid w:val="00A06583"/>
    <w:rsid w:val="00A065DB"/>
    <w:rsid w:val="00A065F9"/>
    <w:rsid w:val="00A06750"/>
    <w:rsid w:val="00A0692C"/>
    <w:rsid w:val="00A069D1"/>
    <w:rsid w:val="00A06B6B"/>
    <w:rsid w:val="00A06C80"/>
    <w:rsid w:val="00A06D61"/>
    <w:rsid w:val="00A06EFC"/>
    <w:rsid w:val="00A07046"/>
    <w:rsid w:val="00A07407"/>
    <w:rsid w:val="00A078A7"/>
    <w:rsid w:val="00A07A29"/>
    <w:rsid w:val="00A07B50"/>
    <w:rsid w:val="00A07B81"/>
    <w:rsid w:val="00A07CFE"/>
    <w:rsid w:val="00A07D13"/>
    <w:rsid w:val="00A07D8D"/>
    <w:rsid w:val="00A07E04"/>
    <w:rsid w:val="00A07EC6"/>
    <w:rsid w:val="00A07F52"/>
    <w:rsid w:val="00A07F54"/>
    <w:rsid w:val="00A10034"/>
    <w:rsid w:val="00A101A3"/>
    <w:rsid w:val="00A101C4"/>
    <w:rsid w:val="00A104D8"/>
    <w:rsid w:val="00A105E8"/>
    <w:rsid w:val="00A10727"/>
    <w:rsid w:val="00A1077F"/>
    <w:rsid w:val="00A10933"/>
    <w:rsid w:val="00A10950"/>
    <w:rsid w:val="00A10B38"/>
    <w:rsid w:val="00A10BB1"/>
    <w:rsid w:val="00A10C7D"/>
    <w:rsid w:val="00A10D28"/>
    <w:rsid w:val="00A10D8B"/>
    <w:rsid w:val="00A10DAA"/>
    <w:rsid w:val="00A10E2D"/>
    <w:rsid w:val="00A10FB1"/>
    <w:rsid w:val="00A10FE4"/>
    <w:rsid w:val="00A11178"/>
    <w:rsid w:val="00A11181"/>
    <w:rsid w:val="00A11194"/>
    <w:rsid w:val="00A11355"/>
    <w:rsid w:val="00A1138A"/>
    <w:rsid w:val="00A1146A"/>
    <w:rsid w:val="00A114C1"/>
    <w:rsid w:val="00A11515"/>
    <w:rsid w:val="00A115C3"/>
    <w:rsid w:val="00A117E1"/>
    <w:rsid w:val="00A11839"/>
    <w:rsid w:val="00A11860"/>
    <w:rsid w:val="00A11961"/>
    <w:rsid w:val="00A11A38"/>
    <w:rsid w:val="00A11B4A"/>
    <w:rsid w:val="00A11DAB"/>
    <w:rsid w:val="00A11DC8"/>
    <w:rsid w:val="00A11DF8"/>
    <w:rsid w:val="00A11E17"/>
    <w:rsid w:val="00A11F65"/>
    <w:rsid w:val="00A11F83"/>
    <w:rsid w:val="00A12048"/>
    <w:rsid w:val="00A121CC"/>
    <w:rsid w:val="00A12357"/>
    <w:rsid w:val="00A123CD"/>
    <w:rsid w:val="00A12459"/>
    <w:rsid w:val="00A124D0"/>
    <w:rsid w:val="00A12521"/>
    <w:rsid w:val="00A1259D"/>
    <w:rsid w:val="00A126C6"/>
    <w:rsid w:val="00A12791"/>
    <w:rsid w:val="00A127D0"/>
    <w:rsid w:val="00A127D1"/>
    <w:rsid w:val="00A12807"/>
    <w:rsid w:val="00A128D0"/>
    <w:rsid w:val="00A12933"/>
    <w:rsid w:val="00A1297B"/>
    <w:rsid w:val="00A129FC"/>
    <w:rsid w:val="00A12A1A"/>
    <w:rsid w:val="00A12B00"/>
    <w:rsid w:val="00A12F2A"/>
    <w:rsid w:val="00A12F9F"/>
    <w:rsid w:val="00A13000"/>
    <w:rsid w:val="00A1300E"/>
    <w:rsid w:val="00A130BE"/>
    <w:rsid w:val="00A130E6"/>
    <w:rsid w:val="00A131AA"/>
    <w:rsid w:val="00A13221"/>
    <w:rsid w:val="00A1362C"/>
    <w:rsid w:val="00A137FA"/>
    <w:rsid w:val="00A13859"/>
    <w:rsid w:val="00A13AB0"/>
    <w:rsid w:val="00A13BE9"/>
    <w:rsid w:val="00A13C3F"/>
    <w:rsid w:val="00A13EE2"/>
    <w:rsid w:val="00A14026"/>
    <w:rsid w:val="00A14084"/>
    <w:rsid w:val="00A14109"/>
    <w:rsid w:val="00A141F5"/>
    <w:rsid w:val="00A14215"/>
    <w:rsid w:val="00A14308"/>
    <w:rsid w:val="00A1434D"/>
    <w:rsid w:val="00A14438"/>
    <w:rsid w:val="00A14569"/>
    <w:rsid w:val="00A14B06"/>
    <w:rsid w:val="00A14C97"/>
    <w:rsid w:val="00A14DCA"/>
    <w:rsid w:val="00A14EBB"/>
    <w:rsid w:val="00A15191"/>
    <w:rsid w:val="00A151CA"/>
    <w:rsid w:val="00A15379"/>
    <w:rsid w:val="00A154B0"/>
    <w:rsid w:val="00A155E3"/>
    <w:rsid w:val="00A1560F"/>
    <w:rsid w:val="00A15621"/>
    <w:rsid w:val="00A1585D"/>
    <w:rsid w:val="00A1586C"/>
    <w:rsid w:val="00A15913"/>
    <w:rsid w:val="00A15AB1"/>
    <w:rsid w:val="00A15B36"/>
    <w:rsid w:val="00A15B5D"/>
    <w:rsid w:val="00A15B76"/>
    <w:rsid w:val="00A15D4C"/>
    <w:rsid w:val="00A15E7A"/>
    <w:rsid w:val="00A15F84"/>
    <w:rsid w:val="00A16046"/>
    <w:rsid w:val="00A16084"/>
    <w:rsid w:val="00A160E7"/>
    <w:rsid w:val="00A1691D"/>
    <w:rsid w:val="00A1694E"/>
    <w:rsid w:val="00A16A07"/>
    <w:rsid w:val="00A16BA8"/>
    <w:rsid w:val="00A16C12"/>
    <w:rsid w:val="00A17142"/>
    <w:rsid w:val="00A1724B"/>
    <w:rsid w:val="00A17262"/>
    <w:rsid w:val="00A17288"/>
    <w:rsid w:val="00A174A2"/>
    <w:rsid w:val="00A17693"/>
    <w:rsid w:val="00A176F5"/>
    <w:rsid w:val="00A1796A"/>
    <w:rsid w:val="00A17BD6"/>
    <w:rsid w:val="00A17C2D"/>
    <w:rsid w:val="00A17CB3"/>
    <w:rsid w:val="00A17CE3"/>
    <w:rsid w:val="00A17D58"/>
    <w:rsid w:val="00A17D75"/>
    <w:rsid w:val="00A17F6B"/>
    <w:rsid w:val="00A17FFA"/>
    <w:rsid w:val="00A20068"/>
    <w:rsid w:val="00A20092"/>
    <w:rsid w:val="00A202B9"/>
    <w:rsid w:val="00A20314"/>
    <w:rsid w:val="00A20426"/>
    <w:rsid w:val="00A2053F"/>
    <w:rsid w:val="00A20789"/>
    <w:rsid w:val="00A20A64"/>
    <w:rsid w:val="00A20B1E"/>
    <w:rsid w:val="00A20CCB"/>
    <w:rsid w:val="00A20D8F"/>
    <w:rsid w:val="00A20D9D"/>
    <w:rsid w:val="00A20E88"/>
    <w:rsid w:val="00A20EEF"/>
    <w:rsid w:val="00A20FFA"/>
    <w:rsid w:val="00A21005"/>
    <w:rsid w:val="00A21023"/>
    <w:rsid w:val="00A21045"/>
    <w:rsid w:val="00A210E4"/>
    <w:rsid w:val="00A211F8"/>
    <w:rsid w:val="00A21353"/>
    <w:rsid w:val="00A214E2"/>
    <w:rsid w:val="00A215B4"/>
    <w:rsid w:val="00A217FA"/>
    <w:rsid w:val="00A21A2D"/>
    <w:rsid w:val="00A21A4C"/>
    <w:rsid w:val="00A21AD9"/>
    <w:rsid w:val="00A21ADA"/>
    <w:rsid w:val="00A21D63"/>
    <w:rsid w:val="00A2200F"/>
    <w:rsid w:val="00A22251"/>
    <w:rsid w:val="00A223BC"/>
    <w:rsid w:val="00A2266C"/>
    <w:rsid w:val="00A22828"/>
    <w:rsid w:val="00A22941"/>
    <w:rsid w:val="00A22C5E"/>
    <w:rsid w:val="00A22C86"/>
    <w:rsid w:val="00A22CA3"/>
    <w:rsid w:val="00A22FBA"/>
    <w:rsid w:val="00A232E9"/>
    <w:rsid w:val="00A23433"/>
    <w:rsid w:val="00A234CB"/>
    <w:rsid w:val="00A2379F"/>
    <w:rsid w:val="00A237E4"/>
    <w:rsid w:val="00A2392B"/>
    <w:rsid w:val="00A239A4"/>
    <w:rsid w:val="00A239D9"/>
    <w:rsid w:val="00A239EC"/>
    <w:rsid w:val="00A23A0A"/>
    <w:rsid w:val="00A23B97"/>
    <w:rsid w:val="00A23BB5"/>
    <w:rsid w:val="00A23BBB"/>
    <w:rsid w:val="00A23CBD"/>
    <w:rsid w:val="00A23ECD"/>
    <w:rsid w:val="00A23FDC"/>
    <w:rsid w:val="00A24142"/>
    <w:rsid w:val="00A241B6"/>
    <w:rsid w:val="00A241C2"/>
    <w:rsid w:val="00A2432D"/>
    <w:rsid w:val="00A24366"/>
    <w:rsid w:val="00A2445D"/>
    <w:rsid w:val="00A244B0"/>
    <w:rsid w:val="00A2469B"/>
    <w:rsid w:val="00A2499F"/>
    <w:rsid w:val="00A24AE1"/>
    <w:rsid w:val="00A24B86"/>
    <w:rsid w:val="00A24C73"/>
    <w:rsid w:val="00A24E2A"/>
    <w:rsid w:val="00A24F75"/>
    <w:rsid w:val="00A2502C"/>
    <w:rsid w:val="00A250F7"/>
    <w:rsid w:val="00A25149"/>
    <w:rsid w:val="00A2514A"/>
    <w:rsid w:val="00A25312"/>
    <w:rsid w:val="00A25371"/>
    <w:rsid w:val="00A25379"/>
    <w:rsid w:val="00A2542E"/>
    <w:rsid w:val="00A255F8"/>
    <w:rsid w:val="00A258F4"/>
    <w:rsid w:val="00A25C4E"/>
    <w:rsid w:val="00A25C95"/>
    <w:rsid w:val="00A25E79"/>
    <w:rsid w:val="00A25E87"/>
    <w:rsid w:val="00A25F0D"/>
    <w:rsid w:val="00A25F59"/>
    <w:rsid w:val="00A25FA7"/>
    <w:rsid w:val="00A26021"/>
    <w:rsid w:val="00A26055"/>
    <w:rsid w:val="00A261E0"/>
    <w:rsid w:val="00A262CC"/>
    <w:rsid w:val="00A26369"/>
    <w:rsid w:val="00A26398"/>
    <w:rsid w:val="00A26488"/>
    <w:rsid w:val="00A267EA"/>
    <w:rsid w:val="00A26954"/>
    <w:rsid w:val="00A26E1F"/>
    <w:rsid w:val="00A27039"/>
    <w:rsid w:val="00A272E6"/>
    <w:rsid w:val="00A272EB"/>
    <w:rsid w:val="00A2746F"/>
    <w:rsid w:val="00A274B5"/>
    <w:rsid w:val="00A27509"/>
    <w:rsid w:val="00A2753D"/>
    <w:rsid w:val="00A2758E"/>
    <w:rsid w:val="00A2787B"/>
    <w:rsid w:val="00A27948"/>
    <w:rsid w:val="00A27A52"/>
    <w:rsid w:val="00A27B04"/>
    <w:rsid w:val="00A27BB9"/>
    <w:rsid w:val="00A27C2B"/>
    <w:rsid w:val="00A27FE0"/>
    <w:rsid w:val="00A30120"/>
    <w:rsid w:val="00A30300"/>
    <w:rsid w:val="00A30382"/>
    <w:rsid w:val="00A3052F"/>
    <w:rsid w:val="00A305B0"/>
    <w:rsid w:val="00A3098E"/>
    <w:rsid w:val="00A309CE"/>
    <w:rsid w:val="00A30C2E"/>
    <w:rsid w:val="00A30E02"/>
    <w:rsid w:val="00A30F63"/>
    <w:rsid w:val="00A31157"/>
    <w:rsid w:val="00A31253"/>
    <w:rsid w:val="00A3138C"/>
    <w:rsid w:val="00A314CD"/>
    <w:rsid w:val="00A315A8"/>
    <w:rsid w:val="00A3184E"/>
    <w:rsid w:val="00A31896"/>
    <w:rsid w:val="00A318A4"/>
    <w:rsid w:val="00A3195C"/>
    <w:rsid w:val="00A31BA9"/>
    <w:rsid w:val="00A31C7B"/>
    <w:rsid w:val="00A31EFE"/>
    <w:rsid w:val="00A320D9"/>
    <w:rsid w:val="00A320DD"/>
    <w:rsid w:val="00A3233D"/>
    <w:rsid w:val="00A323FE"/>
    <w:rsid w:val="00A326A2"/>
    <w:rsid w:val="00A32745"/>
    <w:rsid w:val="00A327D7"/>
    <w:rsid w:val="00A327FE"/>
    <w:rsid w:val="00A3285B"/>
    <w:rsid w:val="00A3293A"/>
    <w:rsid w:val="00A329BC"/>
    <w:rsid w:val="00A329F0"/>
    <w:rsid w:val="00A32A3C"/>
    <w:rsid w:val="00A32B85"/>
    <w:rsid w:val="00A32CB6"/>
    <w:rsid w:val="00A32E66"/>
    <w:rsid w:val="00A3330C"/>
    <w:rsid w:val="00A33354"/>
    <w:rsid w:val="00A33546"/>
    <w:rsid w:val="00A33578"/>
    <w:rsid w:val="00A3358A"/>
    <w:rsid w:val="00A335E2"/>
    <w:rsid w:val="00A33636"/>
    <w:rsid w:val="00A337C4"/>
    <w:rsid w:val="00A33A51"/>
    <w:rsid w:val="00A33B84"/>
    <w:rsid w:val="00A33BFC"/>
    <w:rsid w:val="00A33C4C"/>
    <w:rsid w:val="00A33E97"/>
    <w:rsid w:val="00A33EB7"/>
    <w:rsid w:val="00A33F1A"/>
    <w:rsid w:val="00A34144"/>
    <w:rsid w:val="00A341A7"/>
    <w:rsid w:val="00A342B4"/>
    <w:rsid w:val="00A3430B"/>
    <w:rsid w:val="00A34444"/>
    <w:rsid w:val="00A34545"/>
    <w:rsid w:val="00A348DF"/>
    <w:rsid w:val="00A34933"/>
    <w:rsid w:val="00A3494E"/>
    <w:rsid w:val="00A3497A"/>
    <w:rsid w:val="00A349CB"/>
    <w:rsid w:val="00A34AFF"/>
    <w:rsid w:val="00A34CD9"/>
    <w:rsid w:val="00A34DFB"/>
    <w:rsid w:val="00A34E6C"/>
    <w:rsid w:val="00A34ECC"/>
    <w:rsid w:val="00A34FD3"/>
    <w:rsid w:val="00A3500E"/>
    <w:rsid w:val="00A35032"/>
    <w:rsid w:val="00A350B7"/>
    <w:rsid w:val="00A350CE"/>
    <w:rsid w:val="00A351B5"/>
    <w:rsid w:val="00A35239"/>
    <w:rsid w:val="00A3553B"/>
    <w:rsid w:val="00A3571C"/>
    <w:rsid w:val="00A35834"/>
    <w:rsid w:val="00A35881"/>
    <w:rsid w:val="00A35A32"/>
    <w:rsid w:val="00A35A86"/>
    <w:rsid w:val="00A35BBC"/>
    <w:rsid w:val="00A35C2C"/>
    <w:rsid w:val="00A35D5D"/>
    <w:rsid w:val="00A35D7E"/>
    <w:rsid w:val="00A35E20"/>
    <w:rsid w:val="00A35FFB"/>
    <w:rsid w:val="00A3602D"/>
    <w:rsid w:val="00A36061"/>
    <w:rsid w:val="00A36112"/>
    <w:rsid w:val="00A361EB"/>
    <w:rsid w:val="00A36205"/>
    <w:rsid w:val="00A36210"/>
    <w:rsid w:val="00A3622C"/>
    <w:rsid w:val="00A364D9"/>
    <w:rsid w:val="00A3661B"/>
    <w:rsid w:val="00A366BB"/>
    <w:rsid w:val="00A36988"/>
    <w:rsid w:val="00A36BA1"/>
    <w:rsid w:val="00A36C52"/>
    <w:rsid w:val="00A36E89"/>
    <w:rsid w:val="00A37289"/>
    <w:rsid w:val="00A37433"/>
    <w:rsid w:val="00A37541"/>
    <w:rsid w:val="00A37564"/>
    <w:rsid w:val="00A37605"/>
    <w:rsid w:val="00A37626"/>
    <w:rsid w:val="00A376FE"/>
    <w:rsid w:val="00A37743"/>
    <w:rsid w:val="00A377AB"/>
    <w:rsid w:val="00A377C1"/>
    <w:rsid w:val="00A37868"/>
    <w:rsid w:val="00A378B3"/>
    <w:rsid w:val="00A37992"/>
    <w:rsid w:val="00A37A22"/>
    <w:rsid w:val="00A37A85"/>
    <w:rsid w:val="00A37E6A"/>
    <w:rsid w:val="00A37FD6"/>
    <w:rsid w:val="00A402BF"/>
    <w:rsid w:val="00A4044E"/>
    <w:rsid w:val="00A4045E"/>
    <w:rsid w:val="00A406BA"/>
    <w:rsid w:val="00A407BE"/>
    <w:rsid w:val="00A407F6"/>
    <w:rsid w:val="00A4080E"/>
    <w:rsid w:val="00A409A5"/>
    <w:rsid w:val="00A409B0"/>
    <w:rsid w:val="00A409F1"/>
    <w:rsid w:val="00A40A25"/>
    <w:rsid w:val="00A40ADD"/>
    <w:rsid w:val="00A40B0B"/>
    <w:rsid w:val="00A40C5A"/>
    <w:rsid w:val="00A41176"/>
    <w:rsid w:val="00A412B5"/>
    <w:rsid w:val="00A41339"/>
    <w:rsid w:val="00A41424"/>
    <w:rsid w:val="00A415D1"/>
    <w:rsid w:val="00A41666"/>
    <w:rsid w:val="00A4172A"/>
    <w:rsid w:val="00A41815"/>
    <w:rsid w:val="00A41B5A"/>
    <w:rsid w:val="00A41D0C"/>
    <w:rsid w:val="00A41D93"/>
    <w:rsid w:val="00A4205D"/>
    <w:rsid w:val="00A42094"/>
    <w:rsid w:val="00A42264"/>
    <w:rsid w:val="00A4234F"/>
    <w:rsid w:val="00A4241D"/>
    <w:rsid w:val="00A4273B"/>
    <w:rsid w:val="00A4277A"/>
    <w:rsid w:val="00A428CA"/>
    <w:rsid w:val="00A429B1"/>
    <w:rsid w:val="00A42A2A"/>
    <w:rsid w:val="00A42E25"/>
    <w:rsid w:val="00A42E44"/>
    <w:rsid w:val="00A42E9F"/>
    <w:rsid w:val="00A42F9A"/>
    <w:rsid w:val="00A42FCB"/>
    <w:rsid w:val="00A430DF"/>
    <w:rsid w:val="00A43303"/>
    <w:rsid w:val="00A4357F"/>
    <w:rsid w:val="00A436A1"/>
    <w:rsid w:val="00A4396B"/>
    <w:rsid w:val="00A439E4"/>
    <w:rsid w:val="00A439EF"/>
    <w:rsid w:val="00A43A7E"/>
    <w:rsid w:val="00A43FFB"/>
    <w:rsid w:val="00A44186"/>
    <w:rsid w:val="00A44302"/>
    <w:rsid w:val="00A4436C"/>
    <w:rsid w:val="00A44579"/>
    <w:rsid w:val="00A445AF"/>
    <w:rsid w:val="00A445B8"/>
    <w:rsid w:val="00A4462C"/>
    <w:rsid w:val="00A44713"/>
    <w:rsid w:val="00A447BD"/>
    <w:rsid w:val="00A449BE"/>
    <w:rsid w:val="00A44BEE"/>
    <w:rsid w:val="00A44D86"/>
    <w:rsid w:val="00A44FDD"/>
    <w:rsid w:val="00A450C7"/>
    <w:rsid w:val="00A450DA"/>
    <w:rsid w:val="00A451BF"/>
    <w:rsid w:val="00A45322"/>
    <w:rsid w:val="00A45720"/>
    <w:rsid w:val="00A459F9"/>
    <w:rsid w:val="00A45C79"/>
    <w:rsid w:val="00A45D32"/>
    <w:rsid w:val="00A45D59"/>
    <w:rsid w:val="00A45FAB"/>
    <w:rsid w:val="00A460BA"/>
    <w:rsid w:val="00A4611A"/>
    <w:rsid w:val="00A46678"/>
    <w:rsid w:val="00A4673A"/>
    <w:rsid w:val="00A46783"/>
    <w:rsid w:val="00A4678A"/>
    <w:rsid w:val="00A467E6"/>
    <w:rsid w:val="00A46800"/>
    <w:rsid w:val="00A46805"/>
    <w:rsid w:val="00A4692B"/>
    <w:rsid w:val="00A46E88"/>
    <w:rsid w:val="00A46EF8"/>
    <w:rsid w:val="00A47013"/>
    <w:rsid w:val="00A4701F"/>
    <w:rsid w:val="00A4726D"/>
    <w:rsid w:val="00A47354"/>
    <w:rsid w:val="00A47424"/>
    <w:rsid w:val="00A47485"/>
    <w:rsid w:val="00A476A6"/>
    <w:rsid w:val="00A476FD"/>
    <w:rsid w:val="00A47758"/>
    <w:rsid w:val="00A4779E"/>
    <w:rsid w:val="00A47852"/>
    <w:rsid w:val="00A478EB"/>
    <w:rsid w:val="00A47A3A"/>
    <w:rsid w:val="00A47AA1"/>
    <w:rsid w:val="00A47CB1"/>
    <w:rsid w:val="00A47E5B"/>
    <w:rsid w:val="00A47EA7"/>
    <w:rsid w:val="00A50032"/>
    <w:rsid w:val="00A5014A"/>
    <w:rsid w:val="00A501ED"/>
    <w:rsid w:val="00A5022A"/>
    <w:rsid w:val="00A503AF"/>
    <w:rsid w:val="00A50423"/>
    <w:rsid w:val="00A50478"/>
    <w:rsid w:val="00A50547"/>
    <w:rsid w:val="00A50563"/>
    <w:rsid w:val="00A50575"/>
    <w:rsid w:val="00A505A4"/>
    <w:rsid w:val="00A50751"/>
    <w:rsid w:val="00A5088D"/>
    <w:rsid w:val="00A50AC3"/>
    <w:rsid w:val="00A50C05"/>
    <w:rsid w:val="00A50CC1"/>
    <w:rsid w:val="00A50F64"/>
    <w:rsid w:val="00A50F8C"/>
    <w:rsid w:val="00A5109D"/>
    <w:rsid w:val="00A510DD"/>
    <w:rsid w:val="00A5137F"/>
    <w:rsid w:val="00A51AD7"/>
    <w:rsid w:val="00A51AF8"/>
    <w:rsid w:val="00A51C05"/>
    <w:rsid w:val="00A51D12"/>
    <w:rsid w:val="00A51FBD"/>
    <w:rsid w:val="00A52025"/>
    <w:rsid w:val="00A52035"/>
    <w:rsid w:val="00A52088"/>
    <w:rsid w:val="00A520FE"/>
    <w:rsid w:val="00A5213F"/>
    <w:rsid w:val="00A5226A"/>
    <w:rsid w:val="00A522F5"/>
    <w:rsid w:val="00A52372"/>
    <w:rsid w:val="00A523B6"/>
    <w:rsid w:val="00A52635"/>
    <w:rsid w:val="00A52721"/>
    <w:rsid w:val="00A528F1"/>
    <w:rsid w:val="00A529A8"/>
    <w:rsid w:val="00A52A91"/>
    <w:rsid w:val="00A52AAB"/>
    <w:rsid w:val="00A52AD0"/>
    <w:rsid w:val="00A52B6B"/>
    <w:rsid w:val="00A52BFA"/>
    <w:rsid w:val="00A52CC1"/>
    <w:rsid w:val="00A52D19"/>
    <w:rsid w:val="00A530B6"/>
    <w:rsid w:val="00A531A6"/>
    <w:rsid w:val="00A531B8"/>
    <w:rsid w:val="00A5327C"/>
    <w:rsid w:val="00A53585"/>
    <w:rsid w:val="00A535DE"/>
    <w:rsid w:val="00A53617"/>
    <w:rsid w:val="00A53659"/>
    <w:rsid w:val="00A5370A"/>
    <w:rsid w:val="00A538C1"/>
    <w:rsid w:val="00A538C4"/>
    <w:rsid w:val="00A5390D"/>
    <w:rsid w:val="00A53BD5"/>
    <w:rsid w:val="00A53D13"/>
    <w:rsid w:val="00A53D8B"/>
    <w:rsid w:val="00A53F0A"/>
    <w:rsid w:val="00A5400C"/>
    <w:rsid w:val="00A54016"/>
    <w:rsid w:val="00A5423F"/>
    <w:rsid w:val="00A5433C"/>
    <w:rsid w:val="00A543B1"/>
    <w:rsid w:val="00A543D1"/>
    <w:rsid w:val="00A544F4"/>
    <w:rsid w:val="00A546B7"/>
    <w:rsid w:val="00A5472B"/>
    <w:rsid w:val="00A54773"/>
    <w:rsid w:val="00A547E9"/>
    <w:rsid w:val="00A54A74"/>
    <w:rsid w:val="00A54A90"/>
    <w:rsid w:val="00A54A98"/>
    <w:rsid w:val="00A54BBC"/>
    <w:rsid w:val="00A54D93"/>
    <w:rsid w:val="00A54F10"/>
    <w:rsid w:val="00A54FF1"/>
    <w:rsid w:val="00A55024"/>
    <w:rsid w:val="00A5518F"/>
    <w:rsid w:val="00A55219"/>
    <w:rsid w:val="00A5537C"/>
    <w:rsid w:val="00A555C7"/>
    <w:rsid w:val="00A55635"/>
    <w:rsid w:val="00A556D8"/>
    <w:rsid w:val="00A55737"/>
    <w:rsid w:val="00A55782"/>
    <w:rsid w:val="00A55A7C"/>
    <w:rsid w:val="00A55B8C"/>
    <w:rsid w:val="00A55C36"/>
    <w:rsid w:val="00A55D4C"/>
    <w:rsid w:val="00A55ED3"/>
    <w:rsid w:val="00A561F1"/>
    <w:rsid w:val="00A562E3"/>
    <w:rsid w:val="00A5632E"/>
    <w:rsid w:val="00A563A9"/>
    <w:rsid w:val="00A56438"/>
    <w:rsid w:val="00A56632"/>
    <w:rsid w:val="00A56690"/>
    <w:rsid w:val="00A56833"/>
    <w:rsid w:val="00A5687A"/>
    <w:rsid w:val="00A568BE"/>
    <w:rsid w:val="00A56906"/>
    <w:rsid w:val="00A56911"/>
    <w:rsid w:val="00A569C1"/>
    <w:rsid w:val="00A56A22"/>
    <w:rsid w:val="00A56A7A"/>
    <w:rsid w:val="00A56C5A"/>
    <w:rsid w:val="00A56D1B"/>
    <w:rsid w:val="00A56F68"/>
    <w:rsid w:val="00A56FA6"/>
    <w:rsid w:val="00A5702B"/>
    <w:rsid w:val="00A572D6"/>
    <w:rsid w:val="00A573D3"/>
    <w:rsid w:val="00A575D1"/>
    <w:rsid w:val="00A575D4"/>
    <w:rsid w:val="00A575E6"/>
    <w:rsid w:val="00A57674"/>
    <w:rsid w:val="00A57821"/>
    <w:rsid w:val="00A57849"/>
    <w:rsid w:val="00A5786B"/>
    <w:rsid w:val="00A5792A"/>
    <w:rsid w:val="00A57A89"/>
    <w:rsid w:val="00A57ABF"/>
    <w:rsid w:val="00A57BA3"/>
    <w:rsid w:val="00A57BB6"/>
    <w:rsid w:val="00A57BD8"/>
    <w:rsid w:val="00A57E28"/>
    <w:rsid w:val="00A57E74"/>
    <w:rsid w:val="00A6003D"/>
    <w:rsid w:val="00A60056"/>
    <w:rsid w:val="00A60177"/>
    <w:rsid w:val="00A60296"/>
    <w:rsid w:val="00A60299"/>
    <w:rsid w:val="00A602A0"/>
    <w:rsid w:val="00A602F3"/>
    <w:rsid w:val="00A60462"/>
    <w:rsid w:val="00A60558"/>
    <w:rsid w:val="00A605B0"/>
    <w:rsid w:val="00A60611"/>
    <w:rsid w:val="00A60913"/>
    <w:rsid w:val="00A609F3"/>
    <w:rsid w:val="00A60ADD"/>
    <w:rsid w:val="00A60ADE"/>
    <w:rsid w:val="00A60D0E"/>
    <w:rsid w:val="00A60EF6"/>
    <w:rsid w:val="00A60F3E"/>
    <w:rsid w:val="00A61004"/>
    <w:rsid w:val="00A611CA"/>
    <w:rsid w:val="00A611F5"/>
    <w:rsid w:val="00A6149D"/>
    <w:rsid w:val="00A614BA"/>
    <w:rsid w:val="00A615A0"/>
    <w:rsid w:val="00A61736"/>
    <w:rsid w:val="00A61968"/>
    <w:rsid w:val="00A6197F"/>
    <w:rsid w:val="00A61A04"/>
    <w:rsid w:val="00A61A54"/>
    <w:rsid w:val="00A61C5D"/>
    <w:rsid w:val="00A61CB5"/>
    <w:rsid w:val="00A61CCD"/>
    <w:rsid w:val="00A61DCB"/>
    <w:rsid w:val="00A61DE3"/>
    <w:rsid w:val="00A61E0C"/>
    <w:rsid w:val="00A61F79"/>
    <w:rsid w:val="00A62002"/>
    <w:rsid w:val="00A6200B"/>
    <w:rsid w:val="00A62240"/>
    <w:rsid w:val="00A622FD"/>
    <w:rsid w:val="00A62661"/>
    <w:rsid w:val="00A627E3"/>
    <w:rsid w:val="00A6287D"/>
    <w:rsid w:val="00A62A3B"/>
    <w:rsid w:val="00A62B5B"/>
    <w:rsid w:val="00A62C70"/>
    <w:rsid w:val="00A62C7D"/>
    <w:rsid w:val="00A62D3E"/>
    <w:rsid w:val="00A62E1F"/>
    <w:rsid w:val="00A62E23"/>
    <w:rsid w:val="00A62E8E"/>
    <w:rsid w:val="00A63086"/>
    <w:rsid w:val="00A63239"/>
    <w:rsid w:val="00A6333F"/>
    <w:rsid w:val="00A6337A"/>
    <w:rsid w:val="00A638E6"/>
    <w:rsid w:val="00A63986"/>
    <w:rsid w:val="00A639A0"/>
    <w:rsid w:val="00A639DE"/>
    <w:rsid w:val="00A63B7D"/>
    <w:rsid w:val="00A63BCE"/>
    <w:rsid w:val="00A63D37"/>
    <w:rsid w:val="00A63DF2"/>
    <w:rsid w:val="00A63EE3"/>
    <w:rsid w:val="00A63EF6"/>
    <w:rsid w:val="00A63EFA"/>
    <w:rsid w:val="00A63FC9"/>
    <w:rsid w:val="00A64104"/>
    <w:rsid w:val="00A643DD"/>
    <w:rsid w:val="00A6465E"/>
    <w:rsid w:val="00A64705"/>
    <w:rsid w:val="00A64759"/>
    <w:rsid w:val="00A64794"/>
    <w:rsid w:val="00A648BD"/>
    <w:rsid w:val="00A649A4"/>
    <w:rsid w:val="00A649C1"/>
    <w:rsid w:val="00A64A9A"/>
    <w:rsid w:val="00A65065"/>
    <w:rsid w:val="00A65121"/>
    <w:rsid w:val="00A6527E"/>
    <w:rsid w:val="00A6546A"/>
    <w:rsid w:val="00A654AF"/>
    <w:rsid w:val="00A6572B"/>
    <w:rsid w:val="00A65856"/>
    <w:rsid w:val="00A65B7E"/>
    <w:rsid w:val="00A65F04"/>
    <w:rsid w:val="00A65F94"/>
    <w:rsid w:val="00A660E7"/>
    <w:rsid w:val="00A6612E"/>
    <w:rsid w:val="00A6613B"/>
    <w:rsid w:val="00A66165"/>
    <w:rsid w:val="00A661AA"/>
    <w:rsid w:val="00A662E2"/>
    <w:rsid w:val="00A66313"/>
    <w:rsid w:val="00A6655A"/>
    <w:rsid w:val="00A66675"/>
    <w:rsid w:val="00A666BB"/>
    <w:rsid w:val="00A6679F"/>
    <w:rsid w:val="00A66858"/>
    <w:rsid w:val="00A66864"/>
    <w:rsid w:val="00A66896"/>
    <w:rsid w:val="00A66AD5"/>
    <w:rsid w:val="00A66E41"/>
    <w:rsid w:val="00A66F04"/>
    <w:rsid w:val="00A66F84"/>
    <w:rsid w:val="00A670EC"/>
    <w:rsid w:val="00A674FA"/>
    <w:rsid w:val="00A675B9"/>
    <w:rsid w:val="00A675F4"/>
    <w:rsid w:val="00A67666"/>
    <w:rsid w:val="00A67749"/>
    <w:rsid w:val="00A679AD"/>
    <w:rsid w:val="00A67ADD"/>
    <w:rsid w:val="00A67DE6"/>
    <w:rsid w:val="00A67EC5"/>
    <w:rsid w:val="00A67ECD"/>
    <w:rsid w:val="00A67F14"/>
    <w:rsid w:val="00A700C0"/>
    <w:rsid w:val="00A701FF"/>
    <w:rsid w:val="00A703B3"/>
    <w:rsid w:val="00A7051E"/>
    <w:rsid w:val="00A7055C"/>
    <w:rsid w:val="00A70666"/>
    <w:rsid w:val="00A707FB"/>
    <w:rsid w:val="00A709E3"/>
    <w:rsid w:val="00A70BFF"/>
    <w:rsid w:val="00A70C1F"/>
    <w:rsid w:val="00A70D82"/>
    <w:rsid w:val="00A70E87"/>
    <w:rsid w:val="00A70F6A"/>
    <w:rsid w:val="00A70F7D"/>
    <w:rsid w:val="00A70F9B"/>
    <w:rsid w:val="00A711E8"/>
    <w:rsid w:val="00A7124F"/>
    <w:rsid w:val="00A712A9"/>
    <w:rsid w:val="00A71327"/>
    <w:rsid w:val="00A713F8"/>
    <w:rsid w:val="00A71479"/>
    <w:rsid w:val="00A71599"/>
    <w:rsid w:val="00A715BD"/>
    <w:rsid w:val="00A71653"/>
    <w:rsid w:val="00A716F1"/>
    <w:rsid w:val="00A71817"/>
    <w:rsid w:val="00A71874"/>
    <w:rsid w:val="00A7195D"/>
    <w:rsid w:val="00A7196D"/>
    <w:rsid w:val="00A719DF"/>
    <w:rsid w:val="00A71A0C"/>
    <w:rsid w:val="00A71AC3"/>
    <w:rsid w:val="00A71C36"/>
    <w:rsid w:val="00A71E16"/>
    <w:rsid w:val="00A71E6C"/>
    <w:rsid w:val="00A71E76"/>
    <w:rsid w:val="00A71FAC"/>
    <w:rsid w:val="00A7214C"/>
    <w:rsid w:val="00A72352"/>
    <w:rsid w:val="00A723E8"/>
    <w:rsid w:val="00A723F1"/>
    <w:rsid w:val="00A7241B"/>
    <w:rsid w:val="00A7246D"/>
    <w:rsid w:val="00A7247B"/>
    <w:rsid w:val="00A724EF"/>
    <w:rsid w:val="00A724FC"/>
    <w:rsid w:val="00A725FF"/>
    <w:rsid w:val="00A726D4"/>
    <w:rsid w:val="00A72A38"/>
    <w:rsid w:val="00A72A7D"/>
    <w:rsid w:val="00A72CBC"/>
    <w:rsid w:val="00A72D0A"/>
    <w:rsid w:val="00A72E1D"/>
    <w:rsid w:val="00A7309C"/>
    <w:rsid w:val="00A73122"/>
    <w:rsid w:val="00A731BE"/>
    <w:rsid w:val="00A73211"/>
    <w:rsid w:val="00A7336F"/>
    <w:rsid w:val="00A73439"/>
    <w:rsid w:val="00A7365F"/>
    <w:rsid w:val="00A736DC"/>
    <w:rsid w:val="00A73834"/>
    <w:rsid w:val="00A7383B"/>
    <w:rsid w:val="00A73895"/>
    <w:rsid w:val="00A738F8"/>
    <w:rsid w:val="00A73997"/>
    <w:rsid w:val="00A739B3"/>
    <w:rsid w:val="00A739C1"/>
    <w:rsid w:val="00A73A9C"/>
    <w:rsid w:val="00A73AD9"/>
    <w:rsid w:val="00A73E6F"/>
    <w:rsid w:val="00A73F1F"/>
    <w:rsid w:val="00A74021"/>
    <w:rsid w:val="00A74134"/>
    <w:rsid w:val="00A74150"/>
    <w:rsid w:val="00A7420E"/>
    <w:rsid w:val="00A7423C"/>
    <w:rsid w:val="00A74309"/>
    <w:rsid w:val="00A7448E"/>
    <w:rsid w:val="00A745A8"/>
    <w:rsid w:val="00A74653"/>
    <w:rsid w:val="00A746FE"/>
    <w:rsid w:val="00A74911"/>
    <w:rsid w:val="00A74912"/>
    <w:rsid w:val="00A74918"/>
    <w:rsid w:val="00A74C94"/>
    <w:rsid w:val="00A74D37"/>
    <w:rsid w:val="00A74EF0"/>
    <w:rsid w:val="00A751B7"/>
    <w:rsid w:val="00A75710"/>
    <w:rsid w:val="00A757ED"/>
    <w:rsid w:val="00A75844"/>
    <w:rsid w:val="00A75B18"/>
    <w:rsid w:val="00A75DD9"/>
    <w:rsid w:val="00A75EC2"/>
    <w:rsid w:val="00A75ED9"/>
    <w:rsid w:val="00A75F65"/>
    <w:rsid w:val="00A76059"/>
    <w:rsid w:val="00A760C5"/>
    <w:rsid w:val="00A760E4"/>
    <w:rsid w:val="00A76170"/>
    <w:rsid w:val="00A76355"/>
    <w:rsid w:val="00A7641A"/>
    <w:rsid w:val="00A7646F"/>
    <w:rsid w:val="00A766AE"/>
    <w:rsid w:val="00A766E3"/>
    <w:rsid w:val="00A76785"/>
    <w:rsid w:val="00A7679A"/>
    <w:rsid w:val="00A76ACA"/>
    <w:rsid w:val="00A76D8B"/>
    <w:rsid w:val="00A76E33"/>
    <w:rsid w:val="00A76E69"/>
    <w:rsid w:val="00A76E72"/>
    <w:rsid w:val="00A76EF8"/>
    <w:rsid w:val="00A76F85"/>
    <w:rsid w:val="00A76FBB"/>
    <w:rsid w:val="00A76FC3"/>
    <w:rsid w:val="00A76FE8"/>
    <w:rsid w:val="00A76FED"/>
    <w:rsid w:val="00A77083"/>
    <w:rsid w:val="00A77368"/>
    <w:rsid w:val="00A773C8"/>
    <w:rsid w:val="00A7744C"/>
    <w:rsid w:val="00A776A5"/>
    <w:rsid w:val="00A776F3"/>
    <w:rsid w:val="00A77716"/>
    <w:rsid w:val="00A77732"/>
    <w:rsid w:val="00A77763"/>
    <w:rsid w:val="00A7776E"/>
    <w:rsid w:val="00A77818"/>
    <w:rsid w:val="00A7791F"/>
    <w:rsid w:val="00A77C35"/>
    <w:rsid w:val="00A77CC5"/>
    <w:rsid w:val="00A77E54"/>
    <w:rsid w:val="00A80213"/>
    <w:rsid w:val="00A8043E"/>
    <w:rsid w:val="00A8044F"/>
    <w:rsid w:val="00A80473"/>
    <w:rsid w:val="00A804B9"/>
    <w:rsid w:val="00A80528"/>
    <w:rsid w:val="00A8053C"/>
    <w:rsid w:val="00A806FF"/>
    <w:rsid w:val="00A8083C"/>
    <w:rsid w:val="00A80863"/>
    <w:rsid w:val="00A80892"/>
    <w:rsid w:val="00A808D1"/>
    <w:rsid w:val="00A809F1"/>
    <w:rsid w:val="00A809FF"/>
    <w:rsid w:val="00A80C28"/>
    <w:rsid w:val="00A80DDF"/>
    <w:rsid w:val="00A80E61"/>
    <w:rsid w:val="00A80EDD"/>
    <w:rsid w:val="00A81079"/>
    <w:rsid w:val="00A813C4"/>
    <w:rsid w:val="00A8157E"/>
    <w:rsid w:val="00A815A0"/>
    <w:rsid w:val="00A815AD"/>
    <w:rsid w:val="00A81701"/>
    <w:rsid w:val="00A8185D"/>
    <w:rsid w:val="00A81885"/>
    <w:rsid w:val="00A81946"/>
    <w:rsid w:val="00A81B8B"/>
    <w:rsid w:val="00A82292"/>
    <w:rsid w:val="00A82571"/>
    <w:rsid w:val="00A82747"/>
    <w:rsid w:val="00A828AB"/>
    <w:rsid w:val="00A8296D"/>
    <w:rsid w:val="00A829A0"/>
    <w:rsid w:val="00A82B8A"/>
    <w:rsid w:val="00A82E4C"/>
    <w:rsid w:val="00A83014"/>
    <w:rsid w:val="00A8329C"/>
    <w:rsid w:val="00A8346B"/>
    <w:rsid w:val="00A8346E"/>
    <w:rsid w:val="00A8350E"/>
    <w:rsid w:val="00A835B3"/>
    <w:rsid w:val="00A83631"/>
    <w:rsid w:val="00A836E0"/>
    <w:rsid w:val="00A83892"/>
    <w:rsid w:val="00A83894"/>
    <w:rsid w:val="00A838D5"/>
    <w:rsid w:val="00A83922"/>
    <w:rsid w:val="00A83954"/>
    <w:rsid w:val="00A83992"/>
    <w:rsid w:val="00A83A29"/>
    <w:rsid w:val="00A83C65"/>
    <w:rsid w:val="00A83C74"/>
    <w:rsid w:val="00A83FB6"/>
    <w:rsid w:val="00A8438B"/>
    <w:rsid w:val="00A843CC"/>
    <w:rsid w:val="00A843D7"/>
    <w:rsid w:val="00A843F0"/>
    <w:rsid w:val="00A8451E"/>
    <w:rsid w:val="00A845C4"/>
    <w:rsid w:val="00A84648"/>
    <w:rsid w:val="00A848B1"/>
    <w:rsid w:val="00A84A35"/>
    <w:rsid w:val="00A84BFC"/>
    <w:rsid w:val="00A84CA0"/>
    <w:rsid w:val="00A84DA1"/>
    <w:rsid w:val="00A84E06"/>
    <w:rsid w:val="00A84E34"/>
    <w:rsid w:val="00A84E46"/>
    <w:rsid w:val="00A84EE3"/>
    <w:rsid w:val="00A850A3"/>
    <w:rsid w:val="00A851F9"/>
    <w:rsid w:val="00A85234"/>
    <w:rsid w:val="00A8531C"/>
    <w:rsid w:val="00A85458"/>
    <w:rsid w:val="00A85494"/>
    <w:rsid w:val="00A855A6"/>
    <w:rsid w:val="00A85914"/>
    <w:rsid w:val="00A859FB"/>
    <w:rsid w:val="00A85A2B"/>
    <w:rsid w:val="00A85AFE"/>
    <w:rsid w:val="00A85C18"/>
    <w:rsid w:val="00A85E1E"/>
    <w:rsid w:val="00A85E7B"/>
    <w:rsid w:val="00A860E9"/>
    <w:rsid w:val="00A861FB"/>
    <w:rsid w:val="00A86279"/>
    <w:rsid w:val="00A86294"/>
    <w:rsid w:val="00A86587"/>
    <w:rsid w:val="00A865B1"/>
    <w:rsid w:val="00A86757"/>
    <w:rsid w:val="00A86B3A"/>
    <w:rsid w:val="00A86D90"/>
    <w:rsid w:val="00A86F85"/>
    <w:rsid w:val="00A86F8B"/>
    <w:rsid w:val="00A87082"/>
    <w:rsid w:val="00A8716A"/>
    <w:rsid w:val="00A8734F"/>
    <w:rsid w:val="00A87386"/>
    <w:rsid w:val="00A874EE"/>
    <w:rsid w:val="00A87595"/>
    <w:rsid w:val="00A875DF"/>
    <w:rsid w:val="00A8766D"/>
    <w:rsid w:val="00A87890"/>
    <w:rsid w:val="00A87978"/>
    <w:rsid w:val="00A87A25"/>
    <w:rsid w:val="00A87AE6"/>
    <w:rsid w:val="00A87B44"/>
    <w:rsid w:val="00A87CE8"/>
    <w:rsid w:val="00A87E47"/>
    <w:rsid w:val="00A87EDB"/>
    <w:rsid w:val="00A9021C"/>
    <w:rsid w:val="00A90291"/>
    <w:rsid w:val="00A902F5"/>
    <w:rsid w:val="00A905EA"/>
    <w:rsid w:val="00A907AB"/>
    <w:rsid w:val="00A90A12"/>
    <w:rsid w:val="00A90A28"/>
    <w:rsid w:val="00A90A6C"/>
    <w:rsid w:val="00A9104C"/>
    <w:rsid w:val="00A912AA"/>
    <w:rsid w:val="00A913F0"/>
    <w:rsid w:val="00A914E3"/>
    <w:rsid w:val="00A91628"/>
    <w:rsid w:val="00A91805"/>
    <w:rsid w:val="00A91938"/>
    <w:rsid w:val="00A91974"/>
    <w:rsid w:val="00A91BCB"/>
    <w:rsid w:val="00A91C08"/>
    <w:rsid w:val="00A91E7C"/>
    <w:rsid w:val="00A91F13"/>
    <w:rsid w:val="00A92042"/>
    <w:rsid w:val="00A920A1"/>
    <w:rsid w:val="00A92109"/>
    <w:rsid w:val="00A92598"/>
    <w:rsid w:val="00A925E9"/>
    <w:rsid w:val="00A92607"/>
    <w:rsid w:val="00A92662"/>
    <w:rsid w:val="00A9285D"/>
    <w:rsid w:val="00A92913"/>
    <w:rsid w:val="00A92BAA"/>
    <w:rsid w:val="00A92C02"/>
    <w:rsid w:val="00A93149"/>
    <w:rsid w:val="00A932BB"/>
    <w:rsid w:val="00A93302"/>
    <w:rsid w:val="00A9350A"/>
    <w:rsid w:val="00A935D8"/>
    <w:rsid w:val="00A93641"/>
    <w:rsid w:val="00A93932"/>
    <w:rsid w:val="00A93A1E"/>
    <w:rsid w:val="00A93C92"/>
    <w:rsid w:val="00A93D49"/>
    <w:rsid w:val="00A940C6"/>
    <w:rsid w:val="00A941D8"/>
    <w:rsid w:val="00A941E6"/>
    <w:rsid w:val="00A9430C"/>
    <w:rsid w:val="00A94331"/>
    <w:rsid w:val="00A94486"/>
    <w:rsid w:val="00A945AC"/>
    <w:rsid w:val="00A945EF"/>
    <w:rsid w:val="00A94809"/>
    <w:rsid w:val="00A9495E"/>
    <w:rsid w:val="00A94AE8"/>
    <w:rsid w:val="00A94B80"/>
    <w:rsid w:val="00A94BDE"/>
    <w:rsid w:val="00A94C24"/>
    <w:rsid w:val="00A94C53"/>
    <w:rsid w:val="00A94F46"/>
    <w:rsid w:val="00A950F3"/>
    <w:rsid w:val="00A9549F"/>
    <w:rsid w:val="00A955F8"/>
    <w:rsid w:val="00A9583A"/>
    <w:rsid w:val="00A9589E"/>
    <w:rsid w:val="00A95A4B"/>
    <w:rsid w:val="00A95BE6"/>
    <w:rsid w:val="00A95C55"/>
    <w:rsid w:val="00A95CDF"/>
    <w:rsid w:val="00A95D95"/>
    <w:rsid w:val="00A96223"/>
    <w:rsid w:val="00A9639B"/>
    <w:rsid w:val="00A963E6"/>
    <w:rsid w:val="00A963F0"/>
    <w:rsid w:val="00A96453"/>
    <w:rsid w:val="00A9667E"/>
    <w:rsid w:val="00A966C5"/>
    <w:rsid w:val="00A96815"/>
    <w:rsid w:val="00A96860"/>
    <w:rsid w:val="00A96A89"/>
    <w:rsid w:val="00A96B02"/>
    <w:rsid w:val="00A96C78"/>
    <w:rsid w:val="00A96CB0"/>
    <w:rsid w:val="00A96CE3"/>
    <w:rsid w:val="00A96D42"/>
    <w:rsid w:val="00A96D96"/>
    <w:rsid w:val="00A9705B"/>
    <w:rsid w:val="00A97397"/>
    <w:rsid w:val="00A97420"/>
    <w:rsid w:val="00A9769C"/>
    <w:rsid w:val="00A97994"/>
    <w:rsid w:val="00A97B0D"/>
    <w:rsid w:val="00A97BE7"/>
    <w:rsid w:val="00A97EBC"/>
    <w:rsid w:val="00A97F65"/>
    <w:rsid w:val="00A9C20C"/>
    <w:rsid w:val="00AA006C"/>
    <w:rsid w:val="00AA0466"/>
    <w:rsid w:val="00AA047A"/>
    <w:rsid w:val="00AA04AF"/>
    <w:rsid w:val="00AA06B1"/>
    <w:rsid w:val="00AA073E"/>
    <w:rsid w:val="00AA07FE"/>
    <w:rsid w:val="00AA09D3"/>
    <w:rsid w:val="00AA0F42"/>
    <w:rsid w:val="00AA0FA7"/>
    <w:rsid w:val="00AA1149"/>
    <w:rsid w:val="00AA11B5"/>
    <w:rsid w:val="00AA1362"/>
    <w:rsid w:val="00AA1402"/>
    <w:rsid w:val="00AA16BD"/>
    <w:rsid w:val="00AA16EB"/>
    <w:rsid w:val="00AA171B"/>
    <w:rsid w:val="00AA177E"/>
    <w:rsid w:val="00AA17CB"/>
    <w:rsid w:val="00AA1878"/>
    <w:rsid w:val="00AA188E"/>
    <w:rsid w:val="00AA195C"/>
    <w:rsid w:val="00AA1967"/>
    <w:rsid w:val="00AA19B7"/>
    <w:rsid w:val="00AA1E60"/>
    <w:rsid w:val="00AA1F7D"/>
    <w:rsid w:val="00AA2067"/>
    <w:rsid w:val="00AA21AB"/>
    <w:rsid w:val="00AA21DE"/>
    <w:rsid w:val="00AA23DE"/>
    <w:rsid w:val="00AA24F0"/>
    <w:rsid w:val="00AA2687"/>
    <w:rsid w:val="00AA27DF"/>
    <w:rsid w:val="00AA2A5A"/>
    <w:rsid w:val="00AA2B7B"/>
    <w:rsid w:val="00AA2BA4"/>
    <w:rsid w:val="00AA2D84"/>
    <w:rsid w:val="00AA30A6"/>
    <w:rsid w:val="00AA320F"/>
    <w:rsid w:val="00AA3246"/>
    <w:rsid w:val="00AA32A7"/>
    <w:rsid w:val="00AA3357"/>
    <w:rsid w:val="00AA367B"/>
    <w:rsid w:val="00AA3805"/>
    <w:rsid w:val="00AA38D2"/>
    <w:rsid w:val="00AA3973"/>
    <w:rsid w:val="00AA3B07"/>
    <w:rsid w:val="00AA3CF0"/>
    <w:rsid w:val="00AA3D2E"/>
    <w:rsid w:val="00AA3D73"/>
    <w:rsid w:val="00AA3DD3"/>
    <w:rsid w:val="00AA3EA0"/>
    <w:rsid w:val="00AA3F72"/>
    <w:rsid w:val="00AA407F"/>
    <w:rsid w:val="00AA408E"/>
    <w:rsid w:val="00AA41FA"/>
    <w:rsid w:val="00AA4210"/>
    <w:rsid w:val="00AA4394"/>
    <w:rsid w:val="00AA4407"/>
    <w:rsid w:val="00AA44B1"/>
    <w:rsid w:val="00AA465C"/>
    <w:rsid w:val="00AA47EF"/>
    <w:rsid w:val="00AA481F"/>
    <w:rsid w:val="00AA49F6"/>
    <w:rsid w:val="00AA4D19"/>
    <w:rsid w:val="00AA4DDD"/>
    <w:rsid w:val="00AA4EAF"/>
    <w:rsid w:val="00AA4F7F"/>
    <w:rsid w:val="00AA51EA"/>
    <w:rsid w:val="00AA5265"/>
    <w:rsid w:val="00AA527B"/>
    <w:rsid w:val="00AA527E"/>
    <w:rsid w:val="00AA52D2"/>
    <w:rsid w:val="00AA530A"/>
    <w:rsid w:val="00AA54AC"/>
    <w:rsid w:val="00AA54DB"/>
    <w:rsid w:val="00AA57E7"/>
    <w:rsid w:val="00AA58D0"/>
    <w:rsid w:val="00AA5A7B"/>
    <w:rsid w:val="00AA5AAD"/>
    <w:rsid w:val="00AA5AFD"/>
    <w:rsid w:val="00AA5BC1"/>
    <w:rsid w:val="00AA5D2A"/>
    <w:rsid w:val="00AA5E23"/>
    <w:rsid w:val="00AA5E3F"/>
    <w:rsid w:val="00AA5FEF"/>
    <w:rsid w:val="00AA612D"/>
    <w:rsid w:val="00AA6274"/>
    <w:rsid w:val="00AA6424"/>
    <w:rsid w:val="00AA6530"/>
    <w:rsid w:val="00AA6856"/>
    <w:rsid w:val="00AA6863"/>
    <w:rsid w:val="00AA6BB2"/>
    <w:rsid w:val="00AA6D1D"/>
    <w:rsid w:val="00AA6D3B"/>
    <w:rsid w:val="00AA6D95"/>
    <w:rsid w:val="00AA6DA7"/>
    <w:rsid w:val="00AA6DBC"/>
    <w:rsid w:val="00AA6EDC"/>
    <w:rsid w:val="00AA6F85"/>
    <w:rsid w:val="00AA716F"/>
    <w:rsid w:val="00AA7190"/>
    <w:rsid w:val="00AA7255"/>
    <w:rsid w:val="00AA72D6"/>
    <w:rsid w:val="00AA7367"/>
    <w:rsid w:val="00AA77E2"/>
    <w:rsid w:val="00AA780E"/>
    <w:rsid w:val="00AA78BF"/>
    <w:rsid w:val="00AA78E9"/>
    <w:rsid w:val="00AA7A2E"/>
    <w:rsid w:val="00AA7A80"/>
    <w:rsid w:val="00AA7A8F"/>
    <w:rsid w:val="00AA7D88"/>
    <w:rsid w:val="00AB0084"/>
    <w:rsid w:val="00AB0319"/>
    <w:rsid w:val="00AB0346"/>
    <w:rsid w:val="00AB03DA"/>
    <w:rsid w:val="00AB0447"/>
    <w:rsid w:val="00AB0458"/>
    <w:rsid w:val="00AB06EF"/>
    <w:rsid w:val="00AB075B"/>
    <w:rsid w:val="00AB08D2"/>
    <w:rsid w:val="00AB0B65"/>
    <w:rsid w:val="00AB0CF2"/>
    <w:rsid w:val="00AB0DFD"/>
    <w:rsid w:val="00AB1070"/>
    <w:rsid w:val="00AB116D"/>
    <w:rsid w:val="00AB1196"/>
    <w:rsid w:val="00AB1252"/>
    <w:rsid w:val="00AB127A"/>
    <w:rsid w:val="00AB12B5"/>
    <w:rsid w:val="00AB14BF"/>
    <w:rsid w:val="00AB17CC"/>
    <w:rsid w:val="00AB17CE"/>
    <w:rsid w:val="00AB1878"/>
    <w:rsid w:val="00AB18FF"/>
    <w:rsid w:val="00AB19DF"/>
    <w:rsid w:val="00AB1A6B"/>
    <w:rsid w:val="00AB1B65"/>
    <w:rsid w:val="00AB1C28"/>
    <w:rsid w:val="00AB1E17"/>
    <w:rsid w:val="00AB1E28"/>
    <w:rsid w:val="00AB1E31"/>
    <w:rsid w:val="00AB1F75"/>
    <w:rsid w:val="00AB20C6"/>
    <w:rsid w:val="00AB21A8"/>
    <w:rsid w:val="00AB21CA"/>
    <w:rsid w:val="00AB227C"/>
    <w:rsid w:val="00AB238A"/>
    <w:rsid w:val="00AB2421"/>
    <w:rsid w:val="00AB2510"/>
    <w:rsid w:val="00AB25D1"/>
    <w:rsid w:val="00AB269C"/>
    <w:rsid w:val="00AB28F1"/>
    <w:rsid w:val="00AB299E"/>
    <w:rsid w:val="00AB29E8"/>
    <w:rsid w:val="00AB2B91"/>
    <w:rsid w:val="00AB2C7B"/>
    <w:rsid w:val="00AB2D6E"/>
    <w:rsid w:val="00AB3195"/>
    <w:rsid w:val="00AB33B6"/>
    <w:rsid w:val="00AB33F8"/>
    <w:rsid w:val="00AB36CA"/>
    <w:rsid w:val="00AB3935"/>
    <w:rsid w:val="00AB3E23"/>
    <w:rsid w:val="00AB4242"/>
    <w:rsid w:val="00AB4262"/>
    <w:rsid w:val="00AB4332"/>
    <w:rsid w:val="00AB437D"/>
    <w:rsid w:val="00AB43DB"/>
    <w:rsid w:val="00AB4491"/>
    <w:rsid w:val="00AB4584"/>
    <w:rsid w:val="00AB45C5"/>
    <w:rsid w:val="00AB4726"/>
    <w:rsid w:val="00AB4B1D"/>
    <w:rsid w:val="00AB4E74"/>
    <w:rsid w:val="00AB5106"/>
    <w:rsid w:val="00AB516F"/>
    <w:rsid w:val="00AB5447"/>
    <w:rsid w:val="00AB554D"/>
    <w:rsid w:val="00AB5662"/>
    <w:rsid w:val="00AB5865"/>
    <w:rsid w:val="00AB5BB5"/>
    <w:rsid w:val="00AB5E7A"/>
    <w:rsid w:val="00AB5EC8"/>
    <w:rsid w:val="00AB5F2E"/>
    <w:rsid w:val="00AB5F5A"/>
    <w:rsid w:val="00AB6098"/>
    <w:rsid w:val="00AB61AA"/>
    <w:rsid w:val="00AB6343"/>
    <w:rsid w:val="00AB63CA"/>
    <w:rsid w:val="00AB650A"/>
    <w:rsid w:val="00AB69AE"/>
    <w:rsid w:val="00AB6A7C"/>
    <w:rsid w:val="00AB6CDA"/>
    <w:rsid w:val="00AB6CFE"/>
    <w:rsid w:val="00AB6E53"/>
    <w:rsid w:val="00AB6F62"/>
    <w:rsid w:val="00AB6F71"/>
    <w:rsid w:val="00AB709C"/>
    <w:rsid w:val="00AB728B"/>
    <w:rsid w:val="00AB72FE"/>
    <w:rsid w:val="00AB7394"/>
    <w:rsid w:val="00AB7561"/>
    <w:rsid w:val="00AB75A7"/>
    <w:rsid w:val="00AB75C5"/>
    <w:rsid w:val="00AB761B"/>
    <w:rsid w:val="00AB7737"/>
    <w:rsid w:val="00AB77D8"/>
    <w:rsid w:val="00AB79A2"/>
    <w:rsid w:val="00AB7D7D"/>
    <w:rsid w:val="00AB7F42"/>
    <w:rsid w:val="00AC00A5"/>
    <w:rsid w:val="00AC02AD"/>
    <w:rsid w:val="00AC03E2"/>
    <w:rsid w:val="00AC04AA"/>
    <w:rsid w:val="00AC059D"/>
    <w:rsid w:val="00AC0635"/>
    <w:rsid w:val="00AC07D6"/>
    <w:rsid w:val="00AC0935"/>
    <w:rsid w:val="00AC0ABE"/>
    <w:rsid w:val="00AC0B42"/>
    <w:rsid w:val="00AC0C88"/>
    <w:rsid w:val="00AC0CC0"/>
    <w:rsid w:val="00AC0D23"/>
    <w:rsid w:val="00AC0E91"/>
    <w:rsid w:val="00AC122E"/>
    <w:rsid w:val="00AC15E4"/>
    <w:rsid w:val="00AC1683"/>
    <w:rsid w:val="00AC1806"/>
    <w:rsid w:val="00AC18DE"/>
    <w:rsid w:val="00AC19A4"/>
    <w:rsid w:val="00AC1B02"/>
    <w:rsid w:val="00AC1B41"/>
    <w:rsid w:val="00AC1B7A"/>
    <w:rsid w:val="00AC1C8F"/>
    <w:rsid w:val="00AC1CC7"/>
    <w:rsid w:val="00AC1E6D"/>
    <w:rsid w:val="00AC1EF0"/>
    <w:rsid w:val="00AC206A"/>
    <w:rsid w:val="00AC2237"/>
    <w:rsid w:val="00AC22B6"/>
    <w:rsid w:val="00AC23A1"/>
    <w:rsid w:val="00AC2555"/>
    <w:rsid w:val="00AC259E"/>
    <w:rsid w:val="00AC25E2"/>
    <w:rsid w:val="00AC2719"/>
    <w:rsid w:val="00AC27FA"/>
    <w:rsid w:val="00AC28D8"/>
    <w:rsid w:val="00AC2C7C"/>
    <w:rsid w:val="00AC2E13"/>
    <w:rsid w:val="00AC2EB9"/>
    <w:rsid w:val="00AC2F09"/>
    <w:rsid w:val="00AC2F8F"/>
    <w:rsid w:val="00AC308E"/>
    <w:rsid w:val="00AC3190"/>
    <w:rsid w:val="00AC3650"/>
    <w:rsid w:val="00AC3697"/>
    <w:rsid w:val="00AC3705"/>
    <w:rsid w:val="00AC380C"/>
    <w:rsid w:val="00AC38AE"/>
    <w:rsid w:val="00AC3C4C"/>
    <w:rsid w:val="00AC3CAC"/>
    <w:rsid w:val="00AC3D46"/>
    <w:rsid w:val="00AC3E5C"/>
    <w:rsid w:val="00AC40C6"/>
    <w:rsid w:val="00AC4100"/>
    <w:rsid w:val="00AC42A9"/>
    <w:rsid w:val="00AC42F9"/>
    <w:rsid w:val="00AC4316"/>
    <w:rsid w:val="00AC43B4"/>
    <w:rsid w:val="00AC43BC"/>
    <w:rsid w:val="00AC443F"/>
    <w:rsid w:val="00AC444C"/>
    <w:rsid w:val="00AC4B8B"/>
    <w:rsid w:val="00AC4BE4"/>
    <w:rsid w:val="00AC4C32"/>
    <w:rsid w:val="00AC4DF1"/>
    <w:rsid w:val="00AC4EB5"/>
    <w:rsid w:val="00AC4FC0"/>
    <w:rsid w:val="00AC5046"/>
    <w:rsid w:val="00AC51BE"/>
    <w:rsid w:val="00AC525F"/>
    <w:rsid w:val="00AC52C7"/>
    <w:rsid w:val="00AC52E5"/>
    <w:rsid w:val="00AC5302"/>
    <w:rsid w:val="00AC5326"/>
    <w:rsid w:val="00AC55AF"/>
    <w:rsid w:val="00AC5808"/>
    <w:rsid w:val="00AC5ABC"/>
    <w:rsid w:val="00AC5C01"/>
    <w:rsid w:val="00AC5C5C"/>
    <w:rsid w:val="00AC5D8B"/>
    <w:rsid w:val="00AC6079"/>
    <w:rsid w:val="00AC60F9"/>
    <w:rsid w:val="00AC6274"/>
    <w:rsid w:val="00AC62B8"/>
    <w:rsid w:val="00AC64F9"/>
    <w:rsid w:val="00AC668C"/>
    <w:rsid w:val="00AC68ED"/>
    <w:rsid w:val="00AC6904"/>
    <w:rsid w:val="00AC690F"/>
    <w:rsid w:val="00AC6988"/>
    <w:rsid w:val="00AC6AEB"/>
    <w:rsid w:val="00AC6BB3"/>
    <w:rsid w:val="00AC6F7B"/>
    <w:rsid w:val="00AC7008"/>
    <w:rsid w:val="00AC70B4"/>
    <w:rsid w:val="00AC7195"/>
    <w:rsid w:val="00AC71D7"/>
    <w:rsid w:val="00AC7230"/>
    <w:rsid w:val="00AC733B"/>
    <w:rsid w:val="00AC7364"/>
    <w:rsid w:val="00AC7481"/>
    <w:rsid w:val="00AC77DE"/>
    <w:rsid w:val="00AC796C"/>
    <w:rsid w:val="00AC7B38"/>
    <w:rsid w:val="00AC7B59"/>
    <w:rsid w:val="00AC7C36"/>
    <w:rsid w:val="00AC7E1A"/>
    <w:rsid w:val="00AC7F01"/>
    <w:rsid w:val="00AD037C"/>
    <w:rsid w:val="00AD0490"/>
    <w:rsid w:val="00AD04FA"/>
    <w:rsid w:val="00AD0610"/>
    <w:rsid w:val="00AD063E"/>
    <w:rsid w:val="00AD068F"/>
    <w:rsid w:val="00AD07C8"/>
    <w:rsid w:val="00AD07F9"/>
    <w:rsid w:val="00AD083A"/>
    <w:rsid w:val="00AD0B61"/>
    <w:rsid w:val="00AD0BE7"/>
    <w:rsid w:val="00AD0C5B"/>
    <w:rsid w:val="00AD0EBE"/>
    <w:rsid w:val="00AD0EF1"/>
    <w:rsid w:val="00AD0F20"/>
    <w:rsid w:val="00AD0FD1"/>
    <w:rsid w:val="00AD123E"/>
    <w:rsid w:val="00AD1438"/>
    <w:rsid w:val="00AD1682"/>
    <w:rsid w:val="00AD176F"/>
    <w:rsid w:val="00AD1A5B"/>
    <w:rsid w:val="00AD1AD2"/>
    <w:rsid w:val="00AD1B9A"/>
    <w:rsid w:val="00AD1C2C"/>
    <w:rsid w:val="00AD1CCA"/>
    <w:rsid w:val="00AD1CF6"/>
    <w:rsid w:val="00AD1D65"/>
    <w:rsid w:val="00AD1DE7"/>
    <w:rsid w:val="00AD1EB5"/>
    <w:rsid w:val="00AD1F6B"/>
    <w:rsid w:val="00AD1F74"/>
    <w:rsid w:val="00AD204D"/>
    <w:rsid w:val="00AD214B"/>
    <w:rsid w:val="00AD2271"/>
    <w:rsid w:val="00AD2285"/>
    <w:rsid w:val="00AD241E"/>
    <w:rsid w:val="00AD2456"/>
    <w:rsid w:val="00AD24CF"/>
    <w:rsid w:val="00AD2543"/>
    <w:rsid w:val="00AD259E"/>
    <w:rsid w:val="00AD26D3"/>
    <w:rsid w:val="00AD27FA"/>
    <w:rsid w:val="00AD28D7"/>
    <w:rsid w:val="00AD29A6"/>
    <w:rsid w:val="00AD2A7B"/>
    <w:rsid w:val="00AD2B16"/>
    <w:rsid w:val="00AD2B28"/>
    <w:rsid w:val="00AD30AA"/>
    <w:rsid w:val="00AD31B1"/>
    <w:rsid w:val="00AD31CE"/>
    <w:rsid w:val="00AD32A0"/>
    <w:rsid w:val="00AD33B6"/>
    <w:rsid w:val="00AD3405"/>
    <w:rsid w:val="00AD3605"/>
    <w:rsid w:val="00AD3606"/>
    <w:rsid w:val="00AD3624"/>
    <w:rsid w:val="00AD3981"/>
    <w:rsid w:val="00AD3A43"/>
    <w:rsid w:val="00AD3A52"/>
    <w:rsid w:val="00AD3BB8"/>
    <w:rsid w:val="00AD3C2F"/>
    <w:rsid w:val="00AD3F31"/>
    <w:rsid w:val="00AD3FB3"/>
    <w:rsid w:val="00AD40FF"/>
    <w:rsid w:val="00AD411A"/>
    <w:rsid w:val="00AD412F"/>
    <w:rsid w:val="00AD41E6"/>
    <w:rsid w:val="00AD4306"/>
    <w:rsid w:val="00AD4842"/>
    <w:rsid w:val="00AD4989"/>
    <w:rsid w:val="00AD49DB"/>
    <w:rsid w:val="00AD49E3"/>
    <w:rsid w:val="00AD4A99"/>
    <w:rsid w:val="00AD4AB5"/>
    <w:rsid w:val="00AD4B08"/>
    <w:rsid w:val="00AD4B56"/>
    <w:rsid w:val="00AD4C1B"/>
    <w:rsid w:val="00AD4CE1"/>
    <w:rsid w:val="00AD4D15"/>
    <w:rsid w:val="00AD4DB2"/>
    <w:rsid w:val="00AD4DED"/>
    <w:rsid w:val="00AD4EB3"/>
    <w:rsid w:val="00AD501A"/>
    <w:rsid w:val="00AD50B7"/>
    <w:rsid w:val="00AD5128"/>
    <w:rsid w:val="00AD5476"/>
    <w:rsid w:val="00AD55EB"/>
    <w:rsid w:val="00AD564A"/>
    <w:rsid w:val="00AD565F"/>
    <w:rsid w:val="00AD5788"/>
    <w:rsid w:val="00AD5836"/>
    <w:rsid w:val="00AD5C4F"/>
    <w:rsid w:val="00AD5D00"/>
    <w:rsid w:val="00AD5F05"/>
    <w:rsid w:val="00AD60E5"/>
    <w:rsid w:val="00AD623E"/>
    <w:rsid w:val="00AD6258"/>
    <w:rsid w:val="00AD62C0"/>
    <w:rsid w:val="00AD6342"/>
    <w:rsid w:val="00AD66E9"/>
    <w:rsid w:val="00AD66EB"/>
    <w:rsid w:val="00AD6755"/>
    <w:rsid w:val="00AD677F"/>
    <w:rsid w:val="00AD67EE"/>
    <w:rsid w:val="00AD682F"/>
    <w:rsid w:val="00AD68E1"/>
    <w:rsid w:val="00AD6A3C"/>
    <w:rsid w:val="00AD6A77"/>
    <w:rsid w:val="00AD6B10"/>
    <w:rsid w:val="00AD6B3F"/>
    <w:rsid w:val="00AD6BBE"/>
    <w:rsid w:val="00AD6C08"/>
    <w:rsid w:val="00AD6F4C"/>
    <w:rsid w:val="00AD7013"/>
    <w:rsid w:val="00AD709C"/>
    <w:rsid w:val="00AD70C5"/>
    <w:rsid w:val="00AD7121"/>
    <w:rsid w:val="00AD7184"/>
    <w:rsid w:val="00AD71AE"/>
    <w:rsid w:val="00AD723D"/>
    <w:rsid w:val="00AD737B"/>
    <w:rsid w:val="00AD7688"/>
    <w:rsid w:val="00AD787D"/>
    <w:rsid w:val="00AD78BF"/>
    <w:rsid w:val="00AD791A"/>
    <w:rsid w:val="00AD7987"/>
    <w:rsid w:val="00AD79A7"/>
    <w:rsid w:val="00AD7AA5"/>
    <w:rsid w:val="00AD7C42"/>
    <w:rsid w:val="00AD7D9E"/>
    <w:rsid w:val="00AD7E92"/>
    <w:rsid w:val="00AD7EB5"/>
    <w:rsid w:val="00AD7EB7"/>
    <w:rsid w:val="00AD7F83"/>
    <w:rsid w:val="00AE0085"/>
    <w:rsid w:val="00AE0107"/>
    <w:rsid w:val="00AE0215"/>
    <w:rsid w:val="00AE0276"/>
    <w:rsid w:val="00AE0311"/>
    <w:rsid w:val="00AE0349"/>
    <w:rsid w:val="00AE03D3"/>
    <w:rsid w:val="00AE05B2"/>
    <w:rsid w:val="00AE069C"/>
    <w:rsid w:val="00AE08EA"/>
    <w:rsid w:val="00AE09D1"/>
    <w:rsid w:val="00AE0A18"/>
    <w:rsid w:val="00AE0AB3"/>
    <w:rsid w:val="00AE0B24"/>
    <w:rsid w:val="00AE0C30"/>
    <w:rsid w:val="00AE0C84"/>
    <w:rsid w:val="00AE0D58"/>
    <w:rsid w:val="00AE0F37"/>
    <w:rsid w:val="00AE0F54"/>
    <w:rsid w:val="00AE1050"/>
    <w:rsid w:val="00AE105C"/>
    <w:rsid w:val="00AE12CF"/>
    <w:rsid w:val="00AE1435"/>
    <w:rsid w:val="00AE15CD"/>
    <w:rsid w:val="00AE15D1"/>
    <w:rsid w:val="00AE15DA"/>
    <w:rsid w:val="00AE16A5"/>
    <w:rsid w:val="00AE1AC2"/>
    <w:rsid w:val="00AE1CC1"/>
    <w:rsid w:val="00AE1D7E"/>
    <w:rsid w:val="00AE1E71"/>
    <w:rsid w:val="00AE2242"/>
    <w:rsid w:val="00AE23BA"/>
    <w:rsid w:val="00AE2522"/>
    <w:rsid w:val="00AE25CF"/>
    <w:rsid w:val="00AE2691"/>
    <w:rsid w:val="00AE28AB"/>
    <w:rsid w:val="00AE2A0D"/>
    <w:rsid w:val="00AE2A2E"/>
    <w:rsid w:val="00AE2AC1"/>
    <w:rsid w:val="00AE2B54"/>
    <w:rsid w:val="00AE2BD1"/>
    <w:rsid w:val="00AE2C03"/>
    <w:rsid w:val="00AE2C1D"/>
    <w:rsid w:val="00AE2D84"/>
    <w:rsid w:val="00AE2E27"/>
    <w:rsid w:val="00AE2EED"/>
    <w:rsid w:val="00AE30E6"/>
    <w:rsid w:val="00AE31CF"/>
    <w:rsid w:val="00AE330A"/>
    <w:rsid w:val="00AE335F"/>
    <w:rsid w:val="00AE3464"/>
    <w:rsid w:val="00AE3502"/>
    <w:rsid w:val="00AE36D1"/>
    <w:rsid w:val="00AE382D"/>
    <w:rsid w:val="00AE385B"/>
    <w:rsid w:val="00AE3ADB"/>
    <w:rsid w:val="00AE3B0F"/>
    <w:rsid w:val="00AE3D45"/>
    <w:rsid w:val="00AE3D6E"/>
    <w:rsid w:val="00AE3DC0"/>
    <w:rsid w:val="00AE3EEA"/>
    <w:rsid w:val="00AE4018"/>
    <w:rsid w:val="00AE4081"/>
    <w:rsid w:val="00AE40FC"/>
    <w:rsid w:val="00AE4184"/>
    <w:rsid w:val="00AE42DF"/>
    <w:rsid w:val="00AE431C"/>
    <w:rsid w:val="00AE44E8"/>
    <w:rsid w:val="00AE45BD"/>
    <w:rsid w:val="00AE46B6"/>
    <w:rsid w:val="00AE4761"/>
    <w:rsid w:val="00AE47AE"/>
    <w:rsid w:val="00AE4AA0"/>
    <w:rsid w:val="00AE4ABF"/>
    <w:rsid w:val="00AE4AE9"/>
    <w:rsid w:val="00AE4B05"/>
    <w:rsid w:val="00AE4B84"/>
    <w:rsid w:val="00AE539F"/>
    <w:rsid w:val="00AE540E"/>
    <w:rsid w:val="00AE54A1"/>
    <w:rsid w:val="00AE563C"/>
    <w:rsid w:val="00AE56AA"/>
    <w:rsid w:val="00AE5722"/>
    <w:rsid w:val="00AE5A5C"/>
    <w:rsid w:val="00AE5BFD"/>
    <w:rsid w:val="00AE5C17"/>
    <w:rsid w:val="00AE5D06"/>
    <w:rsid w:val="00AE5D84"/>
    <w:rsid w:val="00AE6027"/>
    <w:rsid w:val="00AE603A"/>
    <w:rsid w:val="00AE6506"/>
    <w:rsid w:val="00AE6509"/>
    <w:rsid w:val="00AE65C7"/>
    <w:rsid w:val="00AE6622"/>
    <w:rsid w:val="00AE66BA"/>
    <w:rsid w:val="00AE6770"/>
    <w:rsid w:val="00AE67B1"/>
    <w:rsid w:val="00AE683C"/>
    <w:rsid w:val="00AE6924"/>
    <w:rsid w:val="00AE6A01"/>
    <w:rsid w:val="00AE6A22"/>
    <w:rsid w:val="00AE6BAB"/>
    <w:rsid w:val="00AE6C04"/>
    <w:rsid w:val="00AE6C70"/>
    <w:rsid w:val="00AE6C8B"/>
    <w:rsid w:val="00AE6CBA"/>
    <w:rsid w:val="00AE6D08"/>
    <w:rsid w:val="00AE6E5D"/>
    <w:rsid w:val="00AE6F34"/>
    <w:rsid w:val="00AE71C6"/>
    <w:rsid w:val="00AE7219"/>
    <w:rsid w:val="00AE726A"/>
    <w:rsid w:val="00AE731F"/>
    <w:rsid w:val="00AE74A2"/>
    <w:rsid w:val="00AE74B8"/>
    <w:rsid w:val="00AE7526"/>
    <w:rsid w:val="00AE757D"/>
    <w:rsid w:val="00AE7707"/>
    <w:rsid w:val="00AE7869"/>
    <w:rsid w:val="00AE7923"/>
    <w:rsid w:val="00AE7B00"/>
    <w:rsid w:val="00AE7B4C"/>
    <w:rsid w:val="00AE7D5C"/>
    <w:rsid w:val="00AE7DB7"/>
    <w:rsid w:val="00AE7F08"/>
    <w:rsid w:val="00AF02F0"/>
    <w:rsid w:val="00AF040E"/>
    <w:rsid w:val="00AF04C5"/>
    <w:rsid w:val="00AF04E4"/>
    <w:rsid w:val="00AF060D"/>
    <w:rsid w:val="00AF0659"/>
    <w:rsid w:val="00AF0879"/>
    <w:rsid w:val="00AF0AD3"/>
    <w:rsid w:val="00AF0B71"/>
    <w:rsid w:val="00AF0C78"/>
    <w:rsid w:val="00AF0D08"/>
    <w:rsid w:val="00AF12FD"/>
    <w:rsid w:val="00AF152C"/>
    <w:rsid w:val="00AF1570"/>
    <w:rsid w:val="00AF15FC"/>
    <w:rsid w:val="00AF1697"/>
    <w:rsid w:val="00AF16F5"/>
    <w:rsid w:val="00AF16FB"/>
    <w:rsid w:val="00AF18A0"/>
    <w:rsid w:val="00AF19CD"/>
    <w:rsid w:val="00AF1FC0"/>
    <w:rsid w:val="00AF2022"/>
    <w:rsid w:val="00AF235D"/>
    <w:rsid w:val="00AF2431"/>
    <w:rsid w:val="00AF256D"/>
    <w:rsid w:val="00AF25F9"/>
    <w:rsid w:val="00AF2871"/>
    <w:rsid w:val="00AF28BD"/>
    <w:rsid w:val="00AF290E"/>
    <w:rsid w:val="00AF2A70"/>
    <w:rsid w:val="00AF2AF6"/>
    <w:rsid w:val="00AF2B5C"/>
    <w:rsid w:val="00AF2BDD"/>
    <w:rsid w:val="00AF2D99"/>
    <w:rsid w:val="00AF2DA4"/>
    <w:rsid w:val="00AF2F0C"/>
    <w:rsid w:val="00AF2F45"/>
    <w:rsid w:val="00AF2F73"/>
    <w:rsid w:val="00AF3363"/>
    <w:rsid w:val="00AF338F"/>
    <w:rsid w:val="00AF33F4"/>
    <w:rsid w:val="00AF3412"/>
    <w:rsid w:val="00AF34BF"/>
    <w:rsid w:val="00AF3595"/>
    <w:rsid w:val="00AF35E6"/>
    <w:rsid w:val="00AF3744"/>
    <w:rsid w:val="00AF3928"/>
    <w:rsid w:val="00AF39AC"/>
    <w:rsid w:val="00AF3AE6"/>
    <w:rsid w:val="00AF3C54"/>
    <w:rsid w:val="00AF3D59"/>
    <w:rsid w:val="00AF3D92"/>
    <w:rsid w:val="00AF4148"/>
    <w:rsid w:val="00AF41EE"/>
    <w:rsid w:val="00AF443A"/>
    <w:rsid w:val="00AF46FB"/>
    <w:rsid w:val="00AF4700"/>
    <w:rsid w:val="00AF4741"/>
    <w:rsid w:val="00AF479B"/>
    <w:rsid w:val="00AF4855"/>
    <w:rsid w:val="00AF4862"/>
    <w:rsid w:val="00AF493B"/>
    <w:rsid w:val="00AF494C"/>
    <w:rsid w:val="00AF4B5C"/>
    <w:rsid w:val="00AF4B65"/>
    <w:rsid w:val="00AF4C3B"/>
    <w:rsid w:val="00AF4CF0"/>
    <w:rsid w:val="00AF4CF9"/>
    <w:rsid w:val="00AF4D86"/>
    <w:rsid w:val="00AF4EC2"/>
    <w:rsid w:val="00AF5038"/>
    <w:rsid w:val="00AF5101"/>
    <w:rsid w:val="00AF5125"/>
    <w:rsid w:val="00AF51A7"/>
    <w:rsid w:val="00AF5387"/>
    <w:rsid w:val="00AF559D"/>
    <w:rsid w:val="00AF57E2"/>
    <w:rsid w:val="00AF590A"/>
    <w:rsid w:val="00AF59C6"/>
    <w:rsid w:val="00AF5A23"/>
    <w:rsid w:val="00AF5B8D"/>
    <w:rsid w:val="00AF5BE3"/>
    <w:rsid w:val="00AF5D91"/>
    <w:rsid w:val="00AF5F58"/>
    <w:rsid w:val="00AF6007"/>
    <w:rsid w:val="00AF6036"/>
    <w:rsid w:val="00AF605C"/>
    <w:rsid w:val="00AF60C7"/>
    <w:rsid w:val="00AF60C9"/>
    <w:rsid w:val="00AF613A"/>
    <w:rsid w:val="00AF61CE"/>
    <w:rsid w:val="00AF62CA"/>
    <w:rsid w:val="00AF62DE"/>
    <w:rsid w:val="00AF640C"/>
    <w:rsid w:val="00AF6696"/>
    <w:rsid w:val="00AF66F7"/>
    <w:rsid w:val="00AF6884"/>
    <w:rsid w:val="00AF688B"/>
    <w:rsid w:val="00AF68B0"/>
    <w:rsid w:val="00AF6A0C"/>
    <w:rsid w:val="00AF6D7E"/>
    <w:rsid w:val="00AF6DDB"/>
    <w:rsid w:val="00AF6E80"/>
    <w:rsid w:val="00AF6F0F"/>
    <w:rsid w:val="00AF6F57"/>
    <w:rsid w:val="00AF7180"/>
    <w:rsid w:val="00AF7369"/>
    <w:rsid w:val="00AF745E"/>
    <w:rsid w:val="00AF7854"/>
    <w:rsid w:val="00AF7889"/>
    <w:rsid w:val="00AF78A3"/>
    <w:rsid w:val="00AF7918"/>
    <w:rsid w:val="00AF79C2"/>
    <w:rsid w:val="00AF7A0A"/>
    <w:rsid w:val="00AF7C5C"/>
    <w:rsid w:val="00AF7F68"/>
    <w:rsid w:val="00B00174"/>
    <w:rsid w:val="00B005EE"/>
    <w:rsid w:val="00B00726"/>
    <w:rsid w:val="00B008A0"/>
    <w:rsid w:val="00B008AF"/>
    <w:rsid w:val="00B008F2"/>
    <w:rsid w:val="00B00985"/>
    <w:rsid w:val="00B00CF8"/>
    <w:rsid w:val="00B00D1B"/>
    <w:rsid w:val="00B00D8B"/>
    <w:rsid w:val="00B00DEC"/>
    <w:rsid w:val="00B00EEB"/>
    <w:rsid w:val="00B00F18"/>
    <w:rsid w:val="00B0104B"/>
    <w:rsid w:val="00B010BE"/>
    <w:rsid w:val="00B012C8"/>
    <w:rsid w:val="00B01615"/>
    <w:rsid w:val="00B0186D"/>
    <w:rsid w:val="00B01977"/>
    <w:rsid w:val="00B019F4"/>
    <w:rsid w:val="00B01A93"/>
    <w:rsid w:val="00B01AFC"/>
    <w:rsid w:val="00B01AFD"/>
    <w:rsid w:val="00B01EFE"/>
    <w:rsid w:val="00B02062"/>
    <w:rsid w:val="00B020D3"/>
    <w:rsid w:val="00B02170"/>
    <w:rsid w:val="00B021BD"/>
    <w:rsid w:val="00B02226"/>
    <w:rsid w:val="00B02656"/>
    <w:rsid w:val="00B0272E"/>
    <w:rsid w:val="00B02A0F"/>
    <w:rsid w:val="00B02A66"/>
    <w:rsid w:val="00B02B82"/>
    <w:rsid w:val="00B02BB6"/>
    <w:rsid w:val="00B02BCA"/>
    <w:rsid w:val="00B02FFC"/>
    <w:rsid w:val="00B03303"/>
    <w:rsid w:val="00B03557"/>
    <w:rsid w:val="00B036CE"/>
    <w:rsid w:val="00B03778"/>
    <w:rsid w:val="00B0378B"/>
    <w:rsid w:val="00B03ECF"/>
    <w:rsid w:val="00B03EE9"/>
    <w:rsid w:val="00B0408D"/>
    <w:rsid w:val="00B044F9"/>
    <w:rsid w:val="00B045B1"/>
    <w:rsid w:val="00B047CC"/>
    <w:rsid w:val="00B04879"/>
    <w:rsid w:val="00B048DE"/>
    <w:rsid w:val="00B04C06"/>
    <w:rsid w:val="00B04C38"/>
    <w:rsid w:val="00B04C6B"/>
    <w:rsid w:val="00B04D13"/>
    <w:rsid w:val="00B04D1B"/>
    <w:rsid w:val="00B04D40"/>
    <w:rsid w:val="00B04E17"/>
    <w:rsid w:val="00B04EFD"/>
    <w:rsid w:val="00B05175"/>
    <w:rsid w:val="00B05200"/>
    <w:rsid w:val="00B05323"/>
    <w:rsid w:val="00B055C3"/>
    <w:rsid w:val="00B0592E"/>
    <w:rsid w:val="00B05D2D"/>
    <w:rsid w:val="00B05D63"/>
    <w:rsid w:val="00B05E6D"/>
    <w:rsid w:val="00B05EA0"/>
    <w:rsid w:val="00B06165"/>
    <w:rsid w:val="00B0629B"/>
    <w:rsid w:val="00B0633B"/>
    <w:rsid w:val="00B06366"/>
    <w:rsid w:val="00B063CF"/>
    <w:rsid w:val="00B06DA3"/>
    <w:rsid w:val="00B06EB4"/>
    <w:rsid w:val="00B06EDF"/>
    <w:rsid w:val="00B072DC"/>
    <w:rsid w:val="00B072E3"/>
    <w:rsid w:val="00B07482"/>
    <w:rsid w:val="00B074B7"/>
    <w:rsid w:val="00B07824"/>
    <w:rsid w:val="00B07863"/>
    <w:rsid w:val="00B079AC"/>
    <w:rsid w:val="00B07ABE"/>
    <w:rsid w:val="00B07C87"/>
    <w:rsid w:val="00B07CF0"/>
    <w:rsid w:val="00B07CF6"/>
    <w:rsid w:val="00B07D0E"/>
    <w:rsid w:val="00B07D4C"/>
    <w:rsid w:val="00B07D65"/>
    <w:rsid w:val="00B10087"/>
    <w:rsid w:val="00B10089"/>
    <w:rsid w:val="00B100F8"/>
    <w:rsid w:val="00B1026D"/>
    <w:rsid w:val="00B10486"/>
    <w:rsid w:val="00B1056E"/>
    <w:rsid w:val="00B10694"/>
    <w:rsid w:val="00B10711"/>
    <w:rsid w:val="00B10797"/>
    <w:rsid w:val="00B107F8"/>
    <w:rsid w:val="00B10832"/>
    <w:rsid w:val="00B10855"/>
    <w:rsid w:val="00B108E0"/>
    <w:rsid w:val="00B10990"/>
    <w:rsid w:val="00B10B5E"/>
    <w:rsid w:val="00B10BA0"/>
    <w:rsid w:val="00B10BD1"/>
    <w:rsid w:val="00B10D17"/>
    <w:rsid w:val="00B10DD3"/>
    <w:rsid w:val="00B11139"/>
    <w:rsid w:val="00B112DF"/>
    <w:rsid w:val="00B1149F"/>
    <w:rsid w:val="00B11581"/>
    <w:rsid w:val="00B115A0"/>
    <w:rsid w:val="00B116EA"/>
    <w:rsid w:val="00B117F8"/>
    <w:rsid w:val="00B11862"/>
    <w:rsid w:val="00B118DE"/>
    <w:rsid w:val="00B118E8"/>
    <w:rsid w:val="00B119D8"/>
    <w:rsid w:val="00B11A53"/>
    <w:rsid w:val="00B11A7F"/>
    <w:rsid w:val="00B11BAC"/>
    <w:rsid w:val="00B11D9E"/>
    <w:rsid w:val="00B11F11"/>
    <w:rsid w:val="00B12094"/>
    <w:rsid w:val="00B1217D"/>
    <w:rsid w:val="00B12401"/>
    <w:rsid w:val="00B1249C"/>
    <w:rsid w:val="00B126CE"/>
    <w:rsid w:val="00B12741"/>
    <w:rsid w:val="00B12757"/>
    <w:rsid w:val="00B1277C"/>
    <w:rsid w:val="00B12867"/>
    <w:rsid w:val="00B12900"/>
    <w:rsid w:val="00B129CD"/>
    <w:rsid w:val="00B12BF9"/>
    <w:rsid w:val="00B12D2F"/>
    <w:rsid w:val="00B12E52"/>
    <w:rsid w:val="00B12F95"/>
    <w:rsid w:val="00B131DC"/>
    <w:rsid w:val="00B13728"/>
    <w:rsid w:val="00B13795"/>
    <w:rsid w:val="00B13796"/>
    <w:rsid w:val="00B13891"/>
    <w:rsid w:val="00B13929"/>
    <w:rsid w:val="00B13AE6"/>
    <w:rsid w:val="00B13B1A"/>
    <w:rsid w:val="00B13B6E"/>
    <w:rsid w:val="00B13C66"/>
    <w:rsid w:val="00B13EA4"/>
    <w:rsid w:val="00B13F28"/>
    <w:rsid w:val="00B13F7B"/>
    <w:rsid w:val="00B1405E"/>
    <w:rsid w:val="00B140A5"/>
    <w:rsid w:val="00B140E1"/>
    <w:rsid w:val="00B140FD"/>
    <w:rsid w:val="00B1418D"/>
    <w:rsid w:val="00B1436A"/>
    <w:rsid w:val="00B14818"/>
    <w:rsid w:val="00B14889"/>
    <w:rsid w:val="00B148E9"/>
    <w:rsid w:val="00B14AB4"/>
    <w:rsid w:val="00B14B0C"/>
    <w:rsid w:val="00B14BAC"/>
    <w:rsid w:val="00B14BC3"/>
    <w:rsid w:val="00B14D39"/>
    <w:rsid w:val="00B14DF9"/>
    <w:rsid w:val="00B14F63"/>
    <w:rsid w:val="00B1523B"/>
    <w:rsid w:val="00B152BD"/>
    <w:rsid w:val="00B15340"/>
    <w:rsid w:val="00B15491"/>
    <w:rsid w:val="00B155A7"/>
    <w:rsid w:val="00B156D5"/>
    <w:rsid w:val="00B1595C"/>
    <w:rsid w:val="00B15A68"/>
    <w:rsid w:val="00B15A88"/>
    <w:rsid w:val="00B15BBD"/>
    <w:rsid w:val="00B15D69"/>
    <w:rsid w:val="00B15E81"/>
    <w:rsid w:val="00B15F24"/>
    <w:rsid w:val="00B15FA4"/>
    <w:rsid w:val="00B1616B"/>
    <w:rsid w:val="00B162B5"/>
    <w:rsid w:val="00B16518"/>
    <w:rsid w:val="00B16579"/>
    <w:rsid w:val="00B16594"/>
    <w:rsid w:val="00B165AB"/>
    <w:rsid w:val="00B1666A"/>
    <w:rsid w:val="00B166BE"/>
    <w:rsid w:val="00B1670D"/>
    <w:rsid w:val="00B1683A"/>
    <w:rsid w:val="00B168D4"/>
    <w:rsid w:val="00B16A49"/>
    <w:rsid w:val="00B16C32"/>
    <w:rsid w:val="00B16D82"/>
    <w:rsid w:val="00B16EF3"/>
    <w:rsid w:val="00B16F0C"/>
    <w:rsid w:val="00B17109"/>
    <w:rsid w:val="00B171B8"/>
    <w:rsid w:val="00B17480"/>
    <w:rsid w:val="00B17598"/>
    <w:rsid w:val="00B175DD"/>
    <w:rsid w:val="00B17657"/>
    <w:rsid w:val="00B17686"/>
    <w:rsid w:val="00B177FD"/>
    <w:rsid w:val="00B17859"/>
    <w:rsid w:val="00B178AF"/>
    <w:rsid w:val="00B178C5"/>
    <w:rsid w:val="00B17A4C"/>
    <w:rsid w:val="00B17BFB"/>
    <w:rsid w:val="00B17E24"/>
    <w:rsid w:val="00B17ED1"/>
    <w:rsid w:val="00B17EE3"/>
    <w:rsid w:val="00B20225"/>
    <w:rsid w:val="00B20336"/>
    <w:rsid w:val="00B20418"/>
    <w:rsid w:val="00B20548"/>
    <w:rsid w:val="00B2057D"/>
    <w:rsid w:val="00B207F3"/>
    <w:rsid w:val="00B208C6"/>
    <w:rsid w:val="00B20A0C"/>
    <w:rsid w:val="00B20B87"/>
    <w:rsid w:val="00B20E88"/>
    <w:rsid w:val="00B21021"/>
    <w:rsid w:val="00B21353"/>
    <w:rsid w:val="00B21407"/>
    <w:rsid w:val="00B21471"/>
    <w:rsid w:val="00B214FF"/>
    <w:rsid w:val="00B21594"/>
    <w:rsid w:val="00B2159F"/>
    <w:rsid w:val="00B2160E"/>
    <w:rsid w:val="00B21699"/>
    <w:rsid w:val="00B21C46"/>
    <w:rsid w:val="00B21C56"/>
    <w:rsid w:val="00B21CF9"/>
    <w:rsid w:val="00B21D20"/>
    <w:rsid w:val="00B21D8D"/>
    <w:rsid w:val="00B21F92"/>
    <w:rsid w:val="00B21FC3"/>
    <w:rsid w:val="00B22206"/>
    <w:rsid w:val="00B22371"/>
    <w:rsid w:val="00B223AB"/>
    <w:rsid w:val="00B22408"/>
    <w:rsid w:val="00B225BA"/>
    <w:rsid w:val="00B225E9"/>
    <w:rsid w:val="00B22682"/>
    <w:rsid w:val="00B226A7"/>
    <w:rsid w:val="00B22A89"/>
    <w:rsid w:val="00B22AD8"/>
    <w:rsid w:val="00B22B26"/>
    <w:rsid w:val="00B22BD4"/>
    <w:rsid w:val="00B22BF3"/>
    <w:rsid w:val="00B22D52"/>
    <w:rsid w:val="00B22D85"/>
    <w:rsid w:val="00B22DF5"/>
    <w:rsid w:val="00B22E7D"/>
    <w:rsid w:val="00B22EFC"/>
    <w:rsid w:val="00B22FC8"/>
    <w:rsid w:val="00B231EF"/>
    <w:rsid w:val="00B23249"/>
    <w:rsid w:val="00B232A0"/>
    <w:rsid w:val="00B232B1"/>
    <w:rsid w:val="00B235A6"/>
    <w:rsid w:val="00B23773"/>
    <w:rsid w:val="00B2383B"/>
    <w:rsid w:val="00B23892"/>
    <w:rsid w:val="00B238AF"/>
    <w:rsid w:val="00B238B3"/>
    <w:rsid w:val="00B238C8"/>
    <w:rsid w:val="00B238F0"/>
    <w:rsid w:val="00B23947"/>
    <w:rsid w:val="00B239F6"/>
    <w:rsid w:val="00B23B09"/>
    <w:rsid w:val="00B23C5F"/>
    <w:rsid w:val="00B23DFF"/>
    <w:rsid w:val="00B23EA6"/>
    <w:rsid w:val="00B240CF"/>
    <w:rsid w:val="00B241BF"/>
    <w:rsid w:val="00B2427E"/>
    <w:rsid w:val="00B24290"/>
    <w:rsid w:val="00B2430F"/>
    <w:rsid w:val="00B24357"/>
    <w:rsid w:val="00B2448D"/>
    <w:rsid w:val="00B244B3"/>
    <w:rsid w:val="00B24534"/>
    <w:rsid w:val="00B24535"/>
    <w:rsid w:val="00B2454F"/>
    <w:rsid w:val="00B2476D"/>
    <w:rsid w:val="00B2486E"/>
    <w:rsid w:val="00B248BE"/>
    <w:rsid w:val="00B24A36"/>
    <w:rsid w:val="00B24D96"/>
    <w:rsid w:val="00B24E97"/>
    <w:rsid w:val="00B24EA6"/>
    <w:rsid w:val="00B24EA7"/>
    <w:rsid w:val="00B24EDD"/>
    <w:rsid w:val="00B24F66"/>
    <w:rsid w:val="00B24FB7"/>
    <w:rsid w:val="00B2547E"/>
    <w:rsid w:val="00B25940"/>
    <w:rsid w:val="00B25A6A"/>
    <w:rsid w:val="00B25B2F"/>
    <w:rsid w:val="00B25CA7"/>
    <w:rsid w:val="00B25D69"/>
    <w:rsid w:val="00B25E79"/>
    <w:rsid w:val="00B25F34"/>
    <w:rsid w:val="00B25F51"/>
    <w:rsid w:val="00B25F69"/>
    <w:rsid w:val="00B25FF4"/>
    <w:rsid w:val="00B26129"/>
    <w:rsid w:val="00B261F3"/>
    <w:rsid w:val="00B262C6"/>
    <w:rsid w:val="00B26396"/>
    <w:rsid w:val="00B2656E"/>
    <w:rsid w:val="00B2669A"/>
    <w:rsid w:val="00B266A2"/>
    <w:rsid w:val="00B266B8"/>
    <w:rsid w:val="00B266D5"/>
    <w:rsid w:val="00B26732"/>
    <w:rsid w:val="00B2674A"/>
    <w:rsid w:val="00B26751"/>
    <w:rsid w:val="00B2690B"/>
    <w:rsid w:val="00B269B8"/>
    <w:rsid w:val="00B26A19"/>
    <w:rsid w:val="00B26A22"/>
    <w:rsid w:val="00B26ACC"/>
    <w:rsid w:val="00B26AEB"/>
    <w:rsid w:val="00B26B0B"/>
    <w:rsid w:val="00B26BE9"/>
    <w:rsid w:val="00B26BF8"/>
    <w:rsid w:val="00B26C2A"/>
    <w:rsid w:val="00B26C69"/>
    <w:rsid w:val="00B26CCF"/>
    <w:rsid w:val="00B26E34"/>
    <w:rsid w:val="00B26E51"/>
    <w:rsid w:val="00B2723C"/>
    <w:rsid w:val="00B27334"/>
    <w:rsid w:val="00B2733B"/>
    <w:rsid w:val="00B27358"/>
    <w:rsid w:val="00B274A2"/>
    <w:rsid w:val="00B275EA"/>
    <w:rsid w:val="00B2763B"/>
    <w:rsid w:val="00B276B4"/>
    <w:rsid w:val="00B277E7"/>
    <w:rsid w:val="00B27848"/>
    <w:rsid w:val="00B27954"/>
    <w:rsid w:val="00B27998"/>
    <w:rsid w:val="00B27A85"/>
    <w:rsid w:val="00B27C3B"/>
    <w:rsid w:val="00B27CB5"/>
    <w:rsid w:val="00B27DB6"/>
    <w:rsid w:val="00B27E82"/>
    <w:rsid w:val="00B27EC0"/>
    <w:rsid w:val="00B27F13"/>
    <w:rsid w:val="00B27F3F"/>
    <w:rsid w:val="00B3000A"/>
    <w:rsid w:val="00B30037"/>
    <w:rsid w:val="00B300BA"/>
    <w:rsid w:val="00B300FD"/>
    <w:rsid w:val="00B30148"/>
    <w:rsid w:val="00B303DD"/>
    <w:rsid w:val="00B3049D"/>
    <w:rsid w:val="00B3071F"/>
    <w:rsid w:val="00B307D1"/>
    <w:rsid w:val="00B308C9"/>
    <w:rsid w:val="00B30A4B"/>
    <w:rsid w:val="00B30AD2"/>
    <w:rsid w:val="00B30AD6"/>
    <w:rsid w:val="00B30B60"/>
    <w:rsid w:val="00B30C2E"/>
    <w:rsid w:val="00B30DEC"/>
    <w:rsid w:val="00B30EB6"/>
    <w:rsid w:val="00B30F45"/>
    <w:rsid w:val="00B31082"/>
    <w:rsid w:val="00B31180"/>
    <w:rsid w:val="00B31214"/>
    <w:rsid w:val="00B31274"/>
    <w:rsid w:val="00B312BF"/>
    <w:rsid w:val="00B31376"/>
    <w:rsid w:val="00B313E9"/>
    <w:rsid w:val="00B31496"/>
    <w:rsid w:val="00B31551"/>
    <w:rsid w:val="00B31778"/>
    <w:rsid w:val="00B3181E"/>
    <w:rsid w:val="00B318FB"/>
    <w:rsid w:val="00B31BDE"/>
    <w:rsid w:val="00B31C31"/>
    <w:rsid w:val="00B31E70"/>
    <w:rsid w:val="00B31EB2"/>
    <w:rsid w:val="00B31F4E"/>
    <w:rsid w:val="00B31F5F"/>
    <w:rsid w:val="00B31F8B"/>
    <w:rsid w:val="00B31FDD"/>
    <w:rsid w:val="00B3200B"/>
    <w:rsid w:val="00B32110"/>
    <w:rsid w:val="00B32185"/>
    <w:rsid w:val="00B321DE"/>
    <w:rsid w:val="00B3221D"/>
    <w:rsid w:val="00B32409"/>
    <w:rsid w:val="00B32416"/>
    <w:rsid w:val="00B324D6"/>
    <w:rsid w:val="00B32502"/>
    <w:rsid w:val="00B32540"/>
    <w:rsid w:val="00B327F7"/>
    <w:rsid w:val="00B329DE"/>
    <w:rsid w:val="00B331DD"/>
    <w:rsid w:val="00B3328B"/>
    <w:rsid w:val="00B332B3"/>
    <w:rsid w:val="00B33337"/>
    <w:rsid w:val="00B33364"/>
    <w:rsid w:val="00B33387"/>
    <w:rsid w:val="00B336B3"/>
    <w:rsid w:val="00B33720"/>
    <w:rsid w:val="00B33759"/>
    <w:rsid w:val="00B33958"/>
    <w:rsid w:val="00B33966"/>
    <w:rsid w:val="00B339DA"/>
    <w:rsid w:val="00B33AAD"/>
    <w:rsid w:val="00B33B0B"/>
    <w:rsid w:val="00B33D9C"/>
    <w:rsid w:val="00B33E86"/>
    <w:rsid w:val="00B33EC3"/>
    <w:rsid w:val="00B33F08"/>
    <w:rsid w:val="00B33FC1"/>
    <w:rsid w:val="00B34078"/>
    <w:rsid w:val="00B34192"/>
    <w:rsid w:val="00B3444A"/>
    <w:rsid w:val="00B3449A"/>
    <w:rsid w:val="00B345F0"/>
    <w:rsid w:val="00B346B6"/>
    <w:rsid w:val="00B347AB"/>
    <w:rsid w:val="00B34811"/>
    <w:rsid w:val="00B34882"/>
    <w:rsid w:val="00B3491A"/>
    <w:rsid w:val="00B3499F"/>
    <w:rsid w:val="00B34A2F"/>
    <w:rsid w:val="00B34A7D"/>
    <w:rsid w:val="00B34A9D"/>
    <w:rsid w:val="00B34CEB"/>
    <w:rsid w:val="00B34CF8"/>
    <w:rsid w:val="00B34CFA"/>
    <w:rsid w:val="00B34F7D"/>
    <w:rsid w:val="00B35196"/>
    <w:rsid w:val="00B351E2"/>
    <w:rsid w:val="00B35278"/>
    <w:rsid w:val="00B35393"/>
    <w:rsid w:val="00B35691"/>
    <w:rsid w:val="00B3570E"/>
    <w:rsid w:val="00B358AE"/>
    <w:rsid w:val="00B35A98"/>
    <w:rsid w:val="00B35C10"/>
    <w:rsid w:val="00B35CC8"/>
    <w:rsid w:val="00B35CF8"/>
    <w:rsid w:val="00B35E08"/>
    <w:rsid w:val="00B35F16"/>
    <w:rsid w:val="00B35FD6"/>
    <w:rsid w:val="00B36087"/>
    <w:rsid w:val="00B362F3"/>
    <w:rsid w:val="00B36308"/>
    <w:rsid w:val="00B3649C"/>
    <w:rsid w:val="00B3650B"/>
    <w:rsid w:val="00B36598"/>
    <w:rsid w:val="00B365DF"/>
    <w:rsid w:val="00B36607"/>
    <w:rsid w:val="00B36636"/>
    <w:rsid w:val="00B3669A"/>
    <w:rsid w:val="00B366C4"/>
    <w:rsid w:val="00B3672E"/>
    <w:rsid w:val="00B369AE"/>
    <w:rsid w:val="00B369C0"/>
    <w:rsid w:val="00B369CD"/>
    <w:rsid w:val="00B36ACC"/>
    <w:rsid w:val="00B36BE9"/>
    <w:rsid w:val="00B36DF3"/>
    <w:rsid w:val="00B36FA1"/>
    <w:rsid w:val="00B36FA2"/>
    <w:rsid w:val="00B36FA3"/>
    <w:rsid w:val="00B37137"/>
    <w:rsid w:val="00B3771A"/>
    <w:rsid w:val="00B377EB"/>
    <w:rsid w:val="00B37B75"/>
    <w:rsid w:val="00B37C0A"/>
    <w:rsid w:val="00B37C2C"/>
    <w:rsid w:val="00B37C8C"/>
    <w:rsid w:val="00B37CE7"/>
    <w:rsid w:val="00B37F72"/>
    <w:rsid w:val="00B37F93"/>
    <w:rsid w:val="00B37F94"/>
    <w:rsid w:val="00B40015"/>
    <w:rsid w:val="00B40332"/>
    <w:rsid w:val="00B40405"/>
    <w:rsid w:val="00B40431"/>
    <w:rsid w:val="00B404AC"/>
    <w:rsid w:val="00B40A03"/>
    <w:rsid w:val="00B40A91"/>
    <w:rsid w:val="00B40AF7"/>
    <w:rsid w:val="00B40B0E"/>
    <w:rsid w:val="00B40C0B"/>
    <w:rsid w:val="00B40CF2"/>
    <w:rsid w:val="00B41334"/>
    <w:rsid w:val="00B413C1"/>
    <w:rsid w:val="00B413D2"/>
    <w:rsid w:val="00B41453"/>
    <w:rsid w:val="00B41499"/>
    <w:rsid w:val="00B4172C"/>
    <w:rsid w:val="00B41805"/>
    <w:rsid w:val="00B4184A"/>
    <w:rsid w:val="00B41AD0"/>
    <w:rsid w:val="00B41BAE"/>
    <w:rsid w:val="00B41C24"/>
    <w:rsid w:val="00B4205A"/>
    <w:rsid w:val="00B42113"/>
    <w:rsid w:val="00B4238A"/>
    <w:rsid w:val="00B423FD"/>
    <w:rsid w:val="00B424F5"/>
    <w:rsid w:val="00B42523"/>
    <w:rsid w:val="00B42620"/>
    <w:rsid w:val="00B42628"/>
    <w:rsid w:val="00B42708"/>
    <w:rsid w:val="00B4276D"/>
    <w:rsid w:val="00B428E5"/>
    <w:rsid w:val="00B42A33"/>
    <w:rsid w:val="00B42B01"/>
    <w:rsid w:val="00B42B3D"/>
    <w:rsid w:val="00B42B63"/>
    <w:rsid w:val="00B42C87"/>
    <w:rsid w:val="00B42C94"/>
    <w:rsid w:val="00B4305A"/>
    <w:rsid w:val="00B430D6"/>
    <w:rsid w:val="00B43158"/>
    <w:rsid w:val="00B43204"/>
    <w:rsid w:val="00B434E8"/>
    <w:rsid w:val="00B43593"/>
    <w:rsid w:val="00B439DB"/>
    <w:rsid w:val="00B439ED"/>
    <w:rsid w:val="00B43C03"/>
    <w:rsid w:val="00B43D53"/>
    <w:rsid w:val="00B43D8D"/>
    <w:rsid w:val="00B43E59"/>
    <w:rsid w:val="00B43EDA"/>
    <w:rsid w:val="00B43FB3"/>
    <w:rsid w:val="00B443B1"/>
    <w:rsid w:val="00B443BB"/>
    <w:rsid w:val="00B444B5"/>
    <w:rsid w:val="00B4478B"/>
    <w:rsid w:val="00B44BDB"/>
    <w:rsid w:val="00B44DB3"/>
    <w:rsid w:val="00B45188"/>
    <w:rsid w:val="00B451BA"/>
    <w:rsid w:val="00B452BA"/>
    <w:rsid w:val="00B45313"/>
    <w:rsid w:val="00B453EA"/>
    <w:rsid w:val="00B454E6"/>
    <w:rsid w:val="00B45515"/>
    <w:rsid w:val="00B4551D"/>
    <w:rsid w:val="00B4559F"/>
    <w:rsid w:val="00B45672"/>
    <w:rsid w:val="00B457C2"/>
    <w:rsid w:val="00B4598C"/>
    <w:rsid w:val="00B45AA8"/>
    <w:rsid w:val="00B45C1A"/>
    <w:rsid w:val="00B45CDC"/>
    <w:rsid w:val="00B45E8F"/>
    <w:rsid w:val="00B4610C"/>
    <w:rsid w:val="00B464F9"/>
    <w:rsid w:val="00B4676B"/>
    <w:rsid w:val="00B46875"/>
    <w:rsid w:val="00B46D1E"/>
    <w:rsid w:val="00B46E05"/>
    <w:rsid w:val="00B471A5"/>
    <w:rsid w:val="00B471F2"/>
    <w:rsid w:val="00B472A5"/>
    <w:rsid w:val="00B47499"/>
    <w:rsid w:val="00B474E4"/>
    <w:rsid w:val="00B476C0"/>
    <w:rsid w:val="00B476E3"/>
    <w:rsid w:val="00B47714"/>
    <w:rsid w:val="00B477A7"/>
    <w:rsid w:val="00B47870"/>
    <w:rsid w:val="00B47AAE"/>
    <w:rsid w:val="00B47ADA"/>
    <w:rsid w:val="00B47ADC"/>
    <w:rsid w:val="00B47BFD"/>
    <w:rsid w:val="00B47D38"/>
    <w:rsid w:val="00B47DBF"/>
    <w:rsid w:val="00B47E5B"/>
    <w:rsid w:val="00B47F00"/>
    <w:rsid w:val="00B47F1D"/>
    <w:rsid w:val="00B47F85"/>
    <w:rsid w:val="00B47F90"/>
    <w:rsid w:val="00B50422"/>
    <w:rsid w:val="00B50502"/>
    <w:rsid w:val="00B50688"/>
    <w:rsid w:val="00B50863"/>
    <w:rsid w:val="00B509AE"/>
    <w:rsid w:val="00B50BFA"/>
    <w:rsid w:val="00B50C74"/>
    <w:rsid w:val="00B50CA4"/>
    <w:rsid w:val="00B50CCF"/>
    <w:rsid w:val="00B50CDE"/>
    <w:rsid w:val="00B50D1C"/>
    <w:rsid w:val="00B50D29"/>
    <w:rsid w:val="00B50DAB"/>
    <w:rsid w:val="00B50DCB"/>
    <w:rsid w:val="00B50E1A"/>
    <w:rsid w:val="00B50FC9"/>
    <w:rsid w:val="00B511FB"/>
    <w:rsid w:val="00B51269"/>
    <w:rsid w:val="00B512E5"/>
    <w:rsid w:val="00B5134E"/>
    <w:rsid w:val="00B5135E"/>
    <w:rsid w:val="00B5159D"/>
    <w:rsid w:val="00B515A8"/>
    <w:rsid w:val="00B5164A"/>
    <w:rsid w:val="00B51727"/>
    <w:rsid w:val="00B51A07"/>
    <w:rsid w:val="00B51A64"/>
    <w:rsid w:val="00B51A6E"/>
    <w:rsid w:val="00B51BB1"/>
    <w:rsid w:val="00B51BC2"/>
    <w:rsid w:val="00B51CC5"/>
    <w:rsid w:val="00B51E60"/>
    <w:rsid w:val="00B51F2D"/>
    <w:rsid w:val="00B5206B"/>
    <w:rsid w:val="00B52121"/>
    <w:rsid w:val="00B521E2"/>
    <w:rsid w:val="00B521F9"/>
    <w:rsid w:val="00B5227C"/>
    <w:rsid w:val="00B5230C"/>
    <w:rsid w:val="00B5241C"/>
    <w:rsid w:val="00B524C2"/>
    <w:rsid w:val="00B524E4"/>
    <w:rsid w:val="00B52599"/>
    <w:rsid w:val="00B52695"/>
    <w:rsid w:val="00B527C5"/>
    <w:rsid w:val="00B52896"/>
    <w:rsid w:val="00B5296A"/>
    <w:rsid w:val="00B5296E"/>
    <w:rsid w:val="00B52AB2"/>
    <w:rsid w:val="00B52D1F"/>
    <w:rsid w:val="00B52E26"/>
    <w:rsid w:val="00B52F38"/>
    <w:rsid w:val="00B53041"/>
    <w:rsid w:val="00B53177"/>
    <w:rsid w:val="00B5327A"/>
    <w:rsid w:val="00B53338"/>
    <w:rsid w:val="00B534A7"/>
    <w:rsid w:val="00B53502"/>
    <w:rsid w:val="00B53507"/>
    <w:rsid w:val="00B536CD"/>
    <w:rsid w:val="00B53798"/>
    <w:rsid w:val="00B537CF"/>
    <w:rsid w:val="00B53A48"/>
    <w:rsid w:val="00B53B11"/>
    <w:rsid w:val="00B53BCB"/>
    <w:rsid w:val="00B53D67"/>
    <w:rsid w:val="00B53EA7"/>
    <w:rsid w:val="00B54113"/>
    <w:rsid w:val="00B541C3"/>
    <w:rsid w:val="00B5428A"/>
    <w:rsid w:val="00B542E7"/>
    <w:rsid w:val="00B5446A"/>
    <w:rsid w:val="00B54565"/>
    <w:rsid w:val="00B5496E"/>
    <w:rsid w:val="00B54BD1"/>
    <w:rsid w:val="00B54BD2"/>
    <w:rsid w:val="00B54C90"/>
    <w:rsid w:val="00B54D27"/>
    <w:rsid w:val="00B54D3A"/>
    <w:rsid w:val="00B54E57"/>
    <w:rsid w:val="00B54E60"/>
    <w:rsid w:val="00B55127"/>
    <w:rsid w:val="00B5513D"/>
    <w:rsid w:val="00B55141"/>
    <w:rsid w:val="00B551C3"/>
    <w:rsid w:val="00B55222"/>
    <w:rsid w:val="00B554B3"/>
    <w:rsid w:val="00B5575E"/>
    <w:rsid w:val="00B5582C"/>
    <w:rsid w:val="00B5598B"/>
    <w:rsid w:val="00B55A3D"/>
    <w:rsid w:val="00B55EFE"/>
    <w:rsid w:val="00B55F3A"/>
    <w:rsid w:val="00B55F59"/>
    <w:rsid w:val="00B56097"/>
    <w:rsid w:val="00B560C3"/>
    <w:rsid w:val="00B561AA"/>
    <w:rsid w:val="00B561D3"/>
    <w:rsid w:val="00B56317"/>
    <w:rsid w:val="00B56323"/>
    <w:rsid w:val="00B5632E"/>
    <w:rsid w:val="00B56647"/>
    <w:rsid w:val="00B56799"/>
    <w:rsid w:val="00B568D7"/>
    <w:rsid w:val="00B569F6"/>
    <w:rsid w:val="00B56A1A"/>
    <w:rsid w:val="00B56A1E"/>
    <w:rsid w:val="00B56A79"/>
    <w:rsid w:val="00B56B37"/>
    <w:rsid w:val="00B56F8D"/>
    <w:rsid w:val="00B56FED"/>
    <w:rsid w:val="00B57016"/>
    <w:rsid w:val="00B57148"/>
    <w:rsid w:val="00B571B0"/>
    <w:rsid w:val="00B572CA"/>
    <w:rsid w:val="00B57515"/>
    <w:rsid w:val="00B5758F"/>
    <w:rsid w:val="00B5769F"/>
    <w:rsid w:val="00B576CD"/>
    <w:rsid w:val="00B5787D"/>
    <w:rsid w:val="00B578F4"/>
    <w:rsid w:val="00B5790A"/>
    <w:rsid w:val="00B57955"/>
    <w:rsid w:val="00B57D5F"/>
    <w:rsid w:val="00B57E83"/>
    <w:rsid w:val="00B57EC4"/>
    <w:rsid w:val="00B57F4B"/>
    <w:rsid w:val="00B60229"/>
    <w:rsid w:val="00B60346"/>
    <w:rsid w:val="00B604C4"/>
    <w:rsid w:val="00B604D2"/>
    <w:rsid w:val="00B60617"/>
    <w:rsid w:val="00B60782"/>
    <w:rsid w:val="00B607E2"/>
    <w:rsid w:val="00B60C71"/>
    <w:rsid w:val="00B60DF0"/>
    <w:rsid w:val="00B60E69"/>
    <w:rsid w:val="00B60F54"/>
    <w:rsid w:val="00B60F59"/>
    <w:rsid w:val="00B611B3"/>
    <w:rsid w:val="00B6140C"/>
    <w:rsid w:val="00B614FB"/>
    <w:rsid w:val="00B615D3"/>
    <w:rsid w:val="00B6163A"/>
    <w:rsid w:val="00B61672"/>
    <w:rsid w:val="00B616AE"/>
    <w:rsid w:val="00B61807"/>
    <w:rsid w:val="00B6181E"/>
    <w:rsid w:val="00B61899"/>
    <w:rsid w:val="00B61A09"/>
    <w:rsid w:val="00B61A37"/>
    <w:rsid w:val="00B61AA7"/>
    <w:rsid w:val="00B61B9B"/>
    <w:rsid w:val="00B61C3D"/>
    <w:rsid w:val="00B61FC6"/>
    <w:rsid w:val="00B6204F"/>
    <w:rsid w:val="00B6205C"/>
    <w:rsid w:val="00B620DB"/>
    <w:rsid w:val="00B621BE"/>
    <w:rsid w:val="00B621F3"/>
    <w:rsid w:val="00B622E3"/>
    <w:rsid w:val="00B623D5"/>
    <w:rsid w:val="00B6248E"/>
    <w:rsid w:val="00B625B2"/>
    <w:rsid w:val="00B62733"/>
    <w:rsid w:val="00B62787"/>
    <w:rsid w:val="00B6280B"/>
    <w:rsid w:val="00B62860"/>
    <w:rsid w:val="00B6294C"/>
    <w:rsid w:val="00B62976"/>
    <w:rsid w:val="00B62AFC"/>
    <w:rsid w:val="00B62C71"/>
    <w:rsid w:val="00B62CAB"/>
    <w:rsid w:val="00B62D65"/>
    <w:rsid w:val="00B62D6D"/>
    <w:rsid w:val="00B62D6E"/>
    <w:rsid w:val="00B62F6D"/>
    <w:rsid w:val="00B630A3"/>
    <w:rsid w:val="00B630B8"/>
    <w:rsid w:val="00B631AE"/>
    <w:rsid w:val="00B632EC"/>
    <w:rsid w:val="00B63350"/>
    <w:rsid w:val="00B63369"/>
    <w:rsid w:val="00B6339B"/>
    <w:rsid w:val="00B63499"/>
    <w:rsid w:val="00B6359A"/>
    <w:rsid w:val="00B63761"/>
    <w:rsid w:val="00B63817"/>
    <w:rsid w:val="00B63972"/>
    <w:rsid w:val="00B639FA"/>
    <w:rsid w:val="00B63D26"/>
    <w:rsid w:val="00B63E44"/>
    <w:rsid w:val="00B63E83"/>
    <w:rsid w:val="00B63F60"/>
    <w:rsid w:val="00B63F69"/>
    <w:rsid w:val="00B63F88"/>
    <w:rsid w:val="00B6436A"/>
    <w:rsid w:val="00B64798"/>
    <w:rsid w:val="00B6491B"/>
    <w:rsid w:val="00B64AC7"/>
    <w:rsid w:val="00B64B12"/>
    <w:rsid w:val="00B64DDB"/>
    <w:rsid w:val="00B64EB9"/>
    <w:rsid w:val="00B64F54"/>
    <w:rsid w:val="00B65124"/>
    <w:rsid w:val="00B653CE"/>
    <w:rsid w:val="00B655A0"/>
    <w:rsid w:val="00B656C2"/>
    <w:rsid w:val="00B658AC"/>
    <w:rsid w:val="00B659FD"/>
    <w:rsid w:val="00B65A6E"/>
    <w:rsid w:val="00B65B1A"/>
    <w:rsid w:val="00B65BF7"/>
    <w:rsid w:val="00B65C65"/>
    <w:rsid w:val="00B65E3B"/>
    <w:rsid w:val="00B66133"/>
    <w:rsid w:val="00B66296"/>
    <w:rsid w:val="00B66299"/>
    <w:rsid w:val="00B6632F"/>
    <w:rsid w:val="00B66357"/>
    <w:rsid w:val="00B6641E"/>
    <w:rsid w:val="00B66622"/>
    <w:rsid w:val="00B66949"/>
    <w:rsid w:val="00B66A34"/>
    <w:rsid w:val="00B66A84"/>
    <w:rsid w:val="00B66AC2"/>
    <w:rsid w:val="00B66B69"/>
    <w:rsid w:val="00B66BF0"/>
    <w:rsid w:val="00B6703E"/>
    <w:rsid w:val="00B670A3"/>
    <w:rsid w:val="00B67300"/>
    <w:rsid w:val="00B673AD"/>
    <w:rsid w:val="00B67648"/>
    <w:rsid w:val="00B676C9"/>
    <w:rsid w:val="00B676EB"/>
    <w:rsid w:val="00B67799"/>
    <w:rsid w:val="00B678E6"/>
    <w:rsid w:val="00B679A6"/>
    <w:rsid w:val="00B679DD"/>
    <w:rsid w:val="00B679FD"/>
    <w:rsid w:val="00B67AFF"/>
    <w:rsid w:val="00B67CA4"/>
    <w:rsid w:val="00B67D78"/>
    <w:rsid w:val="00B67E3F"/>
    <w:rsid w:val="00B67E62"/>
    <w:rsid w:val="00B67ED6"/>
    <w:rsid w:val="00B67EF4"/>
    <w:rsid w:val="00B70087"/>
    <w:rsid w:val="00B70223"/>
    <w:rsid w:val="00B7026A"/>
    <w:rsid w:val="00B702AD"/>
    <w:rsid w:val="00B702D6"/>
    <w:rsid w:val="00B7056F"/>
    <w:rsid w:val="00B70655"/>
    <w:rsid w:val="00B70666"/>
    <w:rsid w:val="00B706A4"/>
    <w:rsid w:val="00B706C4"/>
    <w:rsid w:val="00B7097E"/>
    <w:rsid w:val="00B70A17"/>
    <w:rsid w:val="00B70A49"/>
    <w:rsid w:val="00B70A81"/>
    <w:rsid w:val="00B70B87"/>
    <w:rsid w:val="00B70C76"/>
    <w:rsid w:val="00B70CD3"/>
    <w:rsid w:val="00B70CED"/>
    <w:rsid w:val="00B70E30"/>
    <w:rsid w:val="00B710E7"/>
    <w:rsid w:val="00B713AE"/>
    <w:rsid w:val="00B715E9"/>
    <w:rsid w:val="00B715F2"/>
    <w:rsid w:val="00B716B6"/>
    <w:rsid w:val="00B716F1"/>
    <w:rsid w:val="00B71A67"/>
    <w:rsid w:val="00B71BD4"/>
    <w:rsid w:val="00B7219C"/>
    <w:rsid w:val="00B722C5"/>
    <w:rsid w:val="00B722F0"/>
    <w:rsid w:val="00B724AB"/>
    <w:rsid w:val="00B725BA"/>
    <w:rsid w:val="00B725F1"/>
    <w:rsid w:val="00B726D9"/>
    <w:rsid w:val="00B72714"/>
    <w:rsid w:val="00B727A2"/>
    <w:rsid w:val="00B72A0A"/>
    <w:rsid w:val="00B72D93"/>
    <w:rsid w:val="00B72E31"/>
    <w:rsid w:val="00B72EC9"/>
    <w:rsid w:val="00B72EF7"/>
    <w:rsid w:val="00B72F92"/>
    <w:rsid w:val="00B72FC4"/>
    <w:rsid w:val="00B730B4"/>
    <w:rsid w:val="00B73133"/>
    <w:rsid w:val="00B731B3"/>
    <w:rsid w:val="00B73321"/>
    <w:rsid w:val="00B73440"/>
    <w:rsid w:val="00B73444"/>
    <w:rsid w:val="00B73509"/>
    <w:rsid w:val="00B73651"/>
    <w:rsid w:val="00B7370E"/>
    <w:rsid w:val="00B73755"/>
    <w:rsid w:val="00B737F3"/>
    <w:rsid w:val="00B73900"/>
    <w:rsid w:val="00B7394E"/>
    <w:rsid w:val="00B73D8B"/>
    <w:rsid w:val="00B73E67"/>
    <w:rsid w:val="00B73EA2"/>
    <w:rsid w:val="00B73F02"/>
    <w:rsid w:val="00B73FC2"/>
    <w:rsid w:val="00B74032"/>
    <w:rsid w:val="00B740BA"/>
    <w:rsid w:val="00B74141"/>
    <w:rsid w:val="00B7419E"/>
    <w:rsid w:val="00B741C3"/>
    <w:rsid w:val="00B74347"/>
    <w:rsid w:val="00B743EE"/>
    <w:rsid w:val="00B7441B"/>
    <w:rsid w:val="00B744C6"/>
    <w:rsid w:val="00B744E9"/>
    <w:rsid w:val="00B74617"/>
    <w:rsid w:val="00B74633"/>
    <w:rsid w:val="00B7465A"/>
    <w:rsid w:val="00B74740"/>
    <w:rsid w:val="00B7489F"/>
    <w:rsid w:val="00B74964"/>
    <w:rsid w:val="00B74ACC"/>
    <w:rsid w:val="00B74ACF"/>
    <w:rsid w:val="00B74E0D"/>
    <w:rsid w:val="00B74E23"/>
    <w:rsid w:val="00B74F38"/>
    <w:rsid w:val="00B75052"/>
    <w:rsid w:val="00B751B8"/>
    <w:rsid w:val="00B751C9"/>
    <w:rsid w:val="00B751DE"/>
    <w:rsid w:val="00B752A9"/>
    <w:rsid w:val="00B752F6"/>
    <w:rsid w:val="00B75360"/>
    <w:rsid w:val="00B75391"/>
    <w:rsid w:val="00B75395"/>
    <w:rsid w:val="00B75440"/>
    <w:rsid w:val="00B75672"/>
    <w:rsid w:val="00B75B1D"/>
    <w:rsid w:val="00B75B95"/>
    <w:rsid w:val="00B75BCD"/>
    <w:rsid w:val="00B75C07"/>
    <w:rsid w:val="00B75E7A"/>
    <w:rsid w:val="00B75EBB"/>
    <w:rsid w:val="00B76037"/>
    <w:rsid w:val="00B760D9"/>
    <w:rsid w:val="00B7610A"/>
    <w:rsid w:val="00B7612B"/>
    <w:rsid w:val="00B762F7"/>
    <w:rsid w:val="00B76375"/>
    <w:rsid w:val="00B763B0"/>
    <w:rsid w:val="00B76449"/>
    <w:rsid w:val="00B7680A"/>
    <w:rsid w:val="00B7684F"/>
    <w:rsid w:val="00B76898"/>
    <w:rsid w:val="00B769ED"/>
    <w:rsid w:val="00B769F3"/>
    <w:rsid w:val="00B76A10"/>
    <w:rsid w:val="00B76C93"/>
    <w:rsid w:val="00B76CA3"/>
    <w:rsid w:val="00B76D79"/>
    <w:rsid w:val="00B77214"/>
    <w:rsid w:val="00B776D7"/>
    <w:rsid w:val="00B776F2"/>
    <w:rsid w:val="00B77A23"/>
    <w:rsid w:val="00B77A29"/>
    <w:rsid w:val="00B77A40"/>
    <w:rsid w:val="00B77A8F"/>
    <w:rsid w:val="00B77ADC"/>
    <w:rsid w:val="00B77B24"/>
    <w:rsid w:val="00B77B7D"/>
    <w:rsid w:val="00B77C2C"/>
    <w:rsid w:val="00B77C53"/>
    <w:rsid w:val="00B77C66"/>
    <w:rsid w:val="00B77D0F"/>
    <w:rsid w:val="00B8006C"/>
    <w:rsid w:val="00B801E3"/>
    <w:rsid w:val="00B8024F"/>
    <w:rsid w:val="00B8051D"/>
    <w:rsid w:val="00B80631"/>
    <w:rsid w:val="00B806DF"/>
    <w:rsid w:val="00B806F1"/>
    <w:rsid w:val="00B8078F"/>
    <w:rsid w:val="00B80872"/>
    <w:rsid w:val="00B808E3"/>
    <w:rsid w:val="00B8092D"/>
    <w:rsid w:val="00B80967"/>
    <w:rsid w:val="00B80E0F"/>
    <w:rsid w:val="00B81082"/>
    <w:rsid w:val="00B810CF"/>
    <w:rsid w:val="00B810E2"/>
    <w:rsid w:val="00B81116"/>
    <w:rsid w:val="00B81350"/>
    <w:rsid w:val="00B81383"/>
    <w:rsid w:val="00B81436"/>
    <w:rsid w:val="00B816E8"/>
    <w:rsid w:val="00B81869"/>
    <w:rsid w:val="00B8187C"/>
    <w:rsid w:val="00B81C45"/>
    <w:rsid w:val="00B81E0B"/>
    <w:rsid w:val="00B81E53"/>
    <w:rsid w:val="00B81F03"/>
    <w:rsid w:val="00B81F5E"/>
    <w:rsid w:val="00B81FF8"/>
    <w:rsid w:val="00B82108"/>
    <w:rsid w:val="00B823FA"/>
    <w:rsid w:val="00B82448"/>
    <w:rsid w:val="00B825C3"/>
    <w:rsid w:val="00B82763"/>
    <w:rsid w:val="00B828BB"/>
    <w:rsid w:val="00B828DB"/>
    <w:rsid w:val="00B82948"/>
    <w:rsid w:val="00B82A65"/>
    <w:rsid w:val="00B82C2C"/>
    <w:rsid w:val="00B82C31"/>
    <w:rsid w:val="00B82F2C"/>
    <w:rsid w:val="00B82F5D"/>
    <w:rsid w:val="00B8308F"/>
    <w:rsid w:val="00B831D6"/>
    <w:rsid w:val="00B8322D"/>
    <w:rsid w:val="00B83437"/>
    <w:rsid w:val="00B83950"/>
    <w:rsid w:val="00B83A5D"/>
    <w:rsid w:val="00B83C60"/>
    <w:rsid w:val="00B83D1A"/>
    <w:rsid w:val="00B83E23"/>
    <w:rsid w:val="00B83E2B"/>
    <w:rsid w:val="00B83EA8"/>
    <w:rsid w:val="00B8420C"/>
    <w:rsid w:val="00B84330"/>
    <w:rsid w:val="00B84574"/>
    <w:rsid w:val="00B84587"/>
    <w:rsid w:val="00B848D0"/>
    <w:rsid w:val="00B849F0"/>
    <w:rsid w:val="00B84C5D"/>
    <w:rsid w:val="00B84CC3"/>
    <w:rsid w:val="00B84CD1"/>
    <w:rsid w:val="00B84F6C"/>
    <w:rsid w:val="00B850D0"/>
    <w:rsid w:val="00B85150"/>
    <w:rsid w:val="00B852A5"/>
    <w:rsid w:val="00B85517"/>
    <w:rsid w:val="00B85521"/>
    <w:rsid w:val="00B855E7"/>
    <w:rsid w:val="00B856B5"/>
    <w:rsid w:val="00B859CC"/>
    <w:rsid w:val="00B859E2"/>
    <w:rsid w:val="00B85A71"/>
    <w:rsid w:val="00B85A7B"/>
    <w:rsid w:val="00B85B70"/>
    <w:rsid w:val="00B85BA5"/>
    <w:rsid w:val="00B85BFC"/>
    <w:rsid w:val="00B8601F"/>
    <w:rsid w:val="00B8606C"/>
    <w:rsid w:val="00B860B6"/>
    <w:rsid w:val="00B8614A"/>
    <w:rsid w:val="00B8618D"/>
    <w:rsid w:val="00B86195"/>
    <w:rsid w:val="00B862B3"/>
    <w:rsid w:val="00B864D2"/>
    <w:rsid w:val="00B8655C"/>
    <w:rsid w:val="00B866AC"/>
    <w:rsid w:val="00B86729"/>
    <w:rsid w:val="00B867F0"/>
    <w:rsid w:val="00B868CD"/>
    <w:rsid w:val="00B869AC"/>
    <w:rsid w:val="00B86AFA"/>
    <w:rsid w:val="00B86B02"/>
    <w:rsid w:val="00B86E71"/>
    <w:rsid w:val="00B871F6"/>
    <w:rsid w:val="00B8723F"/>
    <w:rsid w:val="00B87276"/>
    <w:rsid w:val="00B873E3"/>
    <w:rsid w:val="00B87443"/>
    <w:rsid w:val="00B875BD"/>
    <w:rsid w:val="00B87618"/>
    <w:rsid w:val="00B87B06"/>
    <w:rsid w:val="00B87FA1"/>
    <w:rsid w:val="00B900F4"/>
    <w:rsid w:val="00B90139"/>
    <w:rsid w:val="00B9022D"/>
    <w:rsid w:val="00B90542"/>
    <w:rsid w:val="00B905C5"/>
    <w:rsid w:val="00B9080F"/>
    <w:rsid w:val="00B909B5"/>
    <w:rsid w:val="00B909D5"/>
    <w:rsid w:val="00B90A2B"/>
    <w:rsid w:val="00B90AFC"/>
    <w:rsid w:val="00B90BA0"/>
    <w:rsid w:val="00B90BC4"/>
    <w:rsid w:val="00B90C00"/>
    <w:rsid w:val="00B90DD6"/>
    <w:rsid w:val="00B90E64"/>
    <w:rsid w:val="00B9105A"/>
    <w:rsid w:val="00B91156"/>
    <w:rsid w:val="00B9118A"/>
    <w:rsid w:val="00B9124B"/>
    <w:rsid w:val="00B9128C"/>
    <w:rsid w:val="00B91745"/>
    <w:rsid w:val="00B9177F"/>
    <w:rsid w:val="00B91861"/>
    <w:rsid w:val="00B91B9C"/>
    <w:rsid w:val="00B91D04"/>
    <w:rsid w:val="00B91E02"/>
    <w:rsid w:val="00B91E6B"/>
    <w:rsid w:val="00B91EB2"/>
    <w:rsid w:val="00B91F37"/>
    <w:rsid w:val="00B91FD3"/>
    <w:rsid w:val="00B92123"/>
    <w:rsid w:val="00B92224"/>
    <w:rsid w:val="00B92310"/>
    <w:rsid w:val="00B924D8"/>
    <w:rsid w:val="00B92509"/>
    <w:rsid w:val="00B92572"/>
    <w:rsid w:val="00B92864"/>
    <w:rsid w:val="00B928B0"/>
    <w:rsid w:val="00B928FD"/>
    <w:rsid w:val="00B92902"/>
    <w:rsid w:val="00B9291F"/>
    <w:rsid w:val="00B92B79"/>
    <w:rsid w:val="00B92C81"/>
    <w:rsid w:val="00B92DA5"/>
    <w:rsid w:val="00B92E44"/>
    <w:rsid w:val="00B93013"/>
    <w:rsid w:val="00B930DF"/>
    <w:rsid w:val="00B9314E"/>
    <w:rsid w:val="00B932B4"/>
    <w:rsid w:val="00B93321"/>
    <w:rsid w:val="00B9332C"/>
    <w:rsid w:val="00B93354"/>
    <w:rsid w:val="00B935CC"/>
    <w:rsid w:val="00B93651"/>
    <w:rsid w:val="00B93861"/>
    <w:rsid w:val="00B93A9D"/>
    <w:rsid w:val="00B93BDB"/>
    <w:rsid w:val="00B93C3F"/>
    <w:rsid w:val="00B93C96"/>
    <w:rsid w:val="00B93D2B"/>
    <w:rsid w:val="00B93DB0"/>
    <w:rsid w:val="00B93E1E"/>
    <w:rsid w:val="00B94072"/>
    <w:rsid w:val="00B94212"/>
    <w:rsid w:val="00B943A8"/>
    <w:rsid w:val="00B94482"/>
    <w:rsid w:val="00B944F6"/>
    <w:rsid w:val="00B945A2"/>
    <w:rsid w:val="00B94829"/>
    <w:rsid w:val="00B94835"/>
    <w:rsid w:val="00B9488D"/>
    <w:rsid w:val="00B94A82"/>
    <w:rsid w:val="00B94B1F"/>
    <w:rsid w:val="00B94B27"/>
    <w:rsid w:val="00B95019"/>
    <w:rsid w:val="00B953FE"/>
    <w:rsid w:val="00B954BE"/>
    <w:rsid w:val="00B95660"/>
    <w:rsid w:val="00B95672"/>
    <w:rsid w:val="00B9574D"/>
    <w:rsid w:val="00B95784"/>
    <w:rsid w:val="00B9583E"/>
    <w:rsid w:val="00B95915"/>
    <w:rsid w:val="00B959DE"/>
    <w:rsid w:val="00B95B96"/>
    <w:rsid w:val="00B95BB0"/>
    <w:rsid w:val="00B95D59"/>
    <w:rsid w:val="00B95DC6"/>
    <w:rsid w:val="00B95ECB"/>
    <w:rsid w:val="00B96032"/>
    <w:rsid w:val="00B96570"/>
    <w:rsid w:val="00B965D8"/>
    <w:rsid w:val="00B96745"/>
    <w:rsid w:val="00B96829"/>
    <w:rsid w:val="00B96933"/>
    <w:rsid w:val="00B96999"/>
    <w:rsid w:val="00B969B6"/>
    <w:rsid w:val="00B96C3F"/>
    <w:rsid w:val="00B96CC6"/>
    <w:rsid w:val="00B96CD9"/>
    <w:rsid w:val="00B972B3"/>
    <w:rsid w:val="00B972FA"/>
    <w:rsid w:val="00B9751D"/>
    <w:rsid w:val="00B976A2"/>
    <w:rsid w:val="00B97880"/>
    <w:rsid w:val="00B978FC"/>
    <w:rsid w:val="00B97AEC"/>
    <w:rsid w:val="00B97B10"/>
    <w:rsid w:val="00B97ED5"/>
    <w:rsid w:val="00B97F12"/>
    <w:rsid w:val="00BA0113"/>
    <w:rsid w:val="00BA0215"/>
    <w:rsid w:val="00BA031B"/>
    <w:rsid w:val="00BA037F"/>
    <w:rsid w:val="00BA0434"/>
    <w:rsid w:val="00BA0496"/>
    <w:rsid w:val="00BA051D"/>
    <w:rsid w:val="00BA05DE"/>
    <w:rsid w:val="00BA0763"/>
    <w:rsid w:val="00BA09A9"/>
    <w:rsid w:val="00BA0A7C"/>
    <w:rsid w:val="00BA0C58"/>
    <w:rsid w:val="00BA0DD2"/>
    <w:rsid w:val="00BA0EB6"/>
    <w:rsid w:val="00BA0F8F"/>
    <w:rsid w:val="00BA0FE9"/>
    <w:rsid w:val="00BA1126"/>
    <w:rsid w:val="00BA1179"/>
    <w:rsid w:val="00BA1301"/>
    <w:rsid w:val="00BA1407"/>
    <w:rsid w:val="00BA160C"/>
    <w:rsid w:val="00BA1612"/>
    <w:rsid w:val="00BA1E80"/>
    <w:rsid w:val="00BA203D"/>
    <w:rsid w:val="00BA2207"/>
    <w:rsid w:val="00BA2234"/>
    <w:rsid w:val="00BA230C"/>
    <w:rsid w:val="00BA23A9"/>
    <w:rsid w:val="00BA2442"/>
    <w:rsid w:val="00BA25C2"/>
    <w:rsid w:val="00BA271C"/>
    <w:rsid w:val="00BA2771"/>
    <w:rsid w:val="00BA27CE"/>
    <w:rsid w:val="00BA2893"/>
    <w:rsid w:val="00BA2A83"/>
    <w:rsid w:val="00BA2B02"/>
    <w:rsid w:val="00BA2B10"/>
    <w:rsid w:val="00BA2B16"/>
    <w:rsid w:val="00BA2CAC"/>
    <w:rsid w:val="00BA3068"/>
    <w:rsid w:val="00BA30B6"/>
    <w:rsid w:val="00BA317B"/>
    <w:rsid w:val="00BA3282"/>
    <w:rsid w:val="00BA328C"/>
    <w:rsid w:val="00BA328F"/>
    <w:rsid w:val="00BA3354"/>
    <w:rsid w:val="00BA3355"/>
    <w:rsid w:val="00BA3452"/>
    <w:rsid w:val="00BA365A"/>
    <w:rsid w:val="00BA36AB"/>
    <w:rsid w:val="00BA3703"/>
    <w:rsid w:val="00BA38F5"/>
    <w:rsid w:val="00BA3A4D"/>
    <w:rsid w:val="00BA3A60"/>
    <w:rsid w:val="00BA3A80"/>
    <w:rsid w:val="00BA3B4E"/>
    <w:rsid w:val="00BA3C5B"/>
    <w:rsid w:val="00BA3D8D"/>
    <w:rsid w:val="00BA3D93"/>
    <w:rsid w:val="00BA3ED9"/>
    <w:rsid w:val="00BA4016"/>
    <w:rsid w:val="00BA4036"/>
    <w:rsid w:val="00BA40BD"/>
    <w:rsid w:val="00BA416A"/>
    <w:rsid w:val="00BA429D"/>
    <w:rsid w:val="00BA438C"/>
    <w:rsid w:val="00BA4496"/>
    <w:rsid w:val="00BA484D"/>
    <w:rsid w:val="00BA48CB"/>
    <w:rsid w:val="00BA49F1"/>
    <w:rsid w:val="00BA49F9"/>
    <w:rsid w:val="00BA4B6E"/>
    <w:rsid w:val="00BA4C1C"/>
    <w:rsid w:val="00BA4CC9"/>
    <w:rsid w:val="00BA4E73"/>
    <w:rsid w:val="00BA4E90"/>
    <w:rsid w:val="00BA4F3B"/>
    <w:rsid w:val="00BA4F3F"/>
    <w:rsid w:val="00BA506A"/>
    <w:rsid w:val="00BA5254"/>
    <w:rsid w:val="00BA52F5"/>
    <w:rsid w:val="00BA5318"/>
    <w:rsid w:val="00BA5415"/>
    <w:rsid w:val="00BA54DD"/>
    <w:rsid w:val="00BA5734"/>
    <w:rsid w:val="00BA57C7"/>
    <w:rsid w:val="00BA5847"/>
    <w:rsid w:val="00BA58A6"/>
    <w:rsid w:val="00BA5908"/>
    <w:rsid w:val="00BA5AE0"/>
    <w:rsid w:val="00BA5B0B"/>
    <w:rsid w:val="00BA5B2D"/>
    <w:rsid w:val="00BA5B36"/>
    <w:rsid w:val="00BA5B42"/>
    <w:rsid w:val="00BA5C43"/>
    <w:rsid w:val="00BA5D71"/>
    <w:rsid w:val="00BA5E5E"/>
    <w:rsid w:val="00BA622D"/>
    <w:rsid w:val="00BA6243"/>
    <w:rsid w:val="00BA626B"/>
    <w:rsid w:val="00BA6300"/>
    <w:rsid w:val="00BA6437"/>
    <w:rsid w:val="00BA64A8"/>
    <w:rsid w:val="00BA6544"/>
    <w:rsid w:val="00BA66CD"/>
    <w:rsid w:val="00BA6793"/>
    <w:rsid w:val="00BA68C4"/>
    <w:rsid w:val="00BA6A55"/>
    <w:rsid w:val="00BA6A62"/>
    <w:rsid w:val="00BA6E56"/>
    <w:rsid w:val="00BA6F39"/>
    <w:rsid w:val="00BA6F6E"/>
    <w:rsid w:val="00BA7152"/>
    <w:rsid w:val="00BA7205"/>
    <w:rsid w:val="00BA7681"/>
    <w:rsid w:val="00BA76BE"/>
    <w:rsid w:val="00BA76CA"/>
    <w:rsid w:val="00BA79AC"/>
    <w:rsid w:val="00BA7C16"/>
    <w:rsid w:val="00BA7C49"/>
    <w:rsid w:val="00BB0162"/>
    <w:rsid w:val="00BB0200"/>
    <w:rsid w:val="00BB0475"/>
    <w:rsid w:val="00BB05C6"/>
    <w:rsid w:val="00BB0928"/>
    <w:rsid w:val="00BB0974"/>
    <w:rsid w:val="00BB09C0"/>
    <w:rsid w:val="00BB0CF8"/>
    <w:rsid w:val="00BB0CFE"/>
    <w:rsid w:val="00BB0E8A"/>
    <w:rsid w:val="00BB0F9B"/>
    <w:rsid w:val="00BB0FA4"/>
    <w:rsid w:val="00BB119B"/>
    <w:rsid w:val="00BB11A0"/>
    <w:rsid w:val="00BB11AC"/>
    <w:rsid w:val="00BB11EA"/>
    <w:rsid w:val="00BB11F5"/>
    <w:rsid w:val="00BB134F"/>
    <w:rsid w:val="00BB13E2"/>
    <w:rsid w:val="00BB142D"/>
    <w:rsid w:val="00BB15FF"/>
    <w:rsid w:val="00BB17AE"/>
    <w:rsid w:val="00BB18BF"/>
    <w:rsid w:val="00BB18DD"/>
    <w:rsid w:val="00BB19C4"/>
    <w:rsid w:val="00BB1A48"/>
    <w:rsid w:val="00BB1A6B"/>
    <w:rsid w:val="00BB1AA4"/>
    <w:rsid w:val="00BB1AC6"/>
    <w:rsid w:val="00BB1C2E"/>
    <w:rsid w:val="00BB2078"/>
    <w:rsid w:val="00BB2149"/>
    <w:rsid w:val="00BB21D7"/>
    <w:rsid w:val="00BB24B3"/>
    <w:rsid w:val="00BB27F4"/>
    <w:rsid w:val="00BB2834"/>
    <w:rsid w:val="00BB2941"/>
    <w:rsid w:val="00BB298C"/>
    <w:rsid w:val="00BB2AD3"/>
    <w:rsid w:val="00BB2B96"/>
    <w:rsid w:val="00BB2DD1"/>
    <w:rsid w:val="00BB2E11"/>
    <w:rsid w:val="00BB2F05"/>
    <w:rsid w:val="00BB3309"/>
    <w:rsid w:val="00BB3496"/>
    <w:rsid w:val="00BB34D0"/>
    <w:rsid w:val="00BB35EF"/>
    <w:rsid w:val="00BB3703"/>
    <w:rsid w:val="00BB374D"/>
    <w:rsid w:val="00BB3A6A"/>
    <w:rsid w:val="00BB3AC2"/>
    <w:rsid w:val="00BB3C47"/>
    <w:rsid w:val="00BB3E8E"/>
    <w:rsid w:val="00BB3F98"/>
    <w:rsid w:val="00BB3FAA"/>
    <w:rsid w:val="00BB4002"/>
    <w:rsid w:val="00BB405D"/>
    <w:rsid w:val="00BB411D"/>
    <w:rsid w:val="00BB4264"/>
    <w:rsid w:val="00BB43E7"/>
    <w:rsid w:val="00BB442E"/>
    <w:rsid w:val="00BB445E"/>
    <w:rsid w:val="00BB448F"/>
    <w:rsid w:val="00BB44C2"/>
    <w:rsid w:val="00BB44E6"/>
    <w:rsid w:val="00BB4514"/>
    <w:rsid w:val="00BB451A"/>
    <w:rsid w:val="00BB452E"/>
    <w:rsid w:val="00BB45EA"/>
    <w:rsid w:val="00BB47F9"/>
    <w:rsid w:val="00BB486B"/>
    <w:rsid w:val="00BB4A15"/>
    <w:rsid w:val="00BB4C7A"/>
    <w:rsid w:val="00BB4C8F"/>
    <w:rsid w:val="00BB4CA4"/>
    <w:rsid w:val="00BB4D42"/>
    <w:rsid w:val="00BB4D50"/>
    <w:rsid w:val="00BB4EDB"/>
    <w:rsid w:val="00BB53A4"/>
    <w:rsid w:val="00BB542C"/>
    <w:rsid w:val="00BB55C5"/>
    <w:rsid w:val="00BB564E"/>
    <w:rsid w:val="00BB5936"/>
    <w:rsid w:val="00BB5E31"/>
    <w:rsid w:val="00BB5EED"/>
    <w:rsid w:val="00BB5F5F"/>
    <w:rsid w:val="00BB6084"/>
    <w:rsid w:val="00BB613E"/>
    <w:rsid w:val="00BB61F7"/>
    <w:rsid w:val="00BB62CC"/>
    <w:rsid w:val="00BB6467"/>
    <w:rsid w:val="00BB646D"/>
    <w:rsid w:val="00BB6495"/>
    <w:rsid w:val="00BB64C3"/>
    <w:rsid w:val="00BB6530"/>
    <w:rsid w:val="00BB6647"/>
    <w:rsid w:val="00BB6753"/>
    <w:rsid w:val="00BB6776"/>
    <w:rsid w:val="00BB6814"/>
    <w:rsid w:val="00BB6E22"/>
    <w:rsid w:val="00BB6EF8"/>
    <w:rsid w:val="00BB7112"/>
    <w:rsid w:val="00BB72AB"/>
    <w:rsid w:val="00BB7475"/>
    <w:rsid w:val="00BB753A"/>
    <w:rsid w:val="00BB764E"/>
    <w:rsid w:val="00BB76E3"/>
    <w:rsid w:val="00BB7907"/>
    <w:rsid w:val="00BB7AB5"/>
    <w:rsid w:val="00BB7D3B"/>
    <w:rsid w:val="00BB7DD3"/>
    <w:rsid w:val="00BB7EB0"/>
    <w:rsid w:val="00BB7F61"/>
    <w:rsid w:val="00BB7FA9"/>
    <w:rsid w:val="00BC0062"/>
    <w:rsid w:val="00BC01AB"/>
    <w:rsid w:val="00BC04E3"/>
    <w:rsid w:val="00BC0560"/>
    <w:rsid w:val="00BC05F0"/>
    <w:rsid w:val="00BC0650"/>
    <w:rsid w:val="00BC0663"/>
    <w:rsid w:val="00BC06D9"/>
    <w:rsid w:val="00BC070D"/>
    <w:rsid w:val="00BC07B6"/>
    <w:rsid w:val="00BC07D0"/>
    <w:rsid w:val="00BC085C"/>
    <w:rsid w:val="00BC086B"/>
    <w:rsid w:val="00BC08FA"/>
    <w:rsid w:val="00BC090C"/>
    <w:rsid w:val="00BC0959"/>
    <w:rsid w:val="00BC0A8B"/>
    <w:rsid w:val="00BC0B1A"/>
    <w:rsid w:val="00BC0B86"/>
    <w:rsid w:val="00BC0C29"/>
    <w:rsid w:val="00BC0C30"/>
    <w:rsid w:val="00BC0CC8"/>
    <w:rsid w:val="00BC0E2A"/>
    <w:rsid w:val="00BC0E39"/>
    <w:rsid w:val="00BC0EC3"/>
    <w:rsid w:val="00BC0EE4"/>
    <w:rsid w:val="00BC0F11"/>
    <w:rsid w:val="00BC1325"/>
    <w:rsid w:val="00BC133C"/>
    <w:rsid w:val="00BC158D"/>
    <w:rsid w:val="00BC1807"/>
    <w:rsid w:val="00BC19BB"/>
    <w:rsid w:val="00BC1CDB"/>
    <w:rsid w:val="00BC1E14"/>
    <w:rsid w:val="00BC1F29"/>
    <w:rsid w:val="00BC2081"/>
    <w:rsid w:val="00BC208A"/>
    <w:rsid w:val="00BC22B8"/>
    <w:rsid w:val="00BC23C3"/>
    <w:rsid w:val="00BC2501"/>
    <w:rsid w:val="00BC2573"/>
    <w:rsid w:val="00BC2687"/>
    <w:rsid w:val="00BC271D"/>
    <w:rsid w:val="00BC290A"/>
    <w:rsid w:val="00BC2DB2"/>
    <w:rsid w:val="00BC2FCC"/>
    <w:rsid w:val="00BC3123"/>
    <w:rsid w:val="00BC3167"/>
    <w:rsid w:val="00BC31C4"/>
    <w:rsid w:val="00BC31CF"/>
    <w:rsid w:val="00BC383B"/>
    <w:rsid w:val="00BC3A6C"/>
    <w:rsid w:val="00BC3BA7"/>
    <w:rsid w:val="00BC3CEA"/>
    <w:rsid w:val="00BC3EB2"/>
    <w:rsid w:val="00BC3F7D"/>
    <w:rsid w:val="00BC4182"/>
    <w:rsid w:val="00BC41A6"/>
    <w:rsid w:val="00BC41D2"/>
    <w:rsid w:val="00BC4259"/>
    <w:rsid w:val="00BC43E0"/>
    <w:rsid w:val="00BC43E5"/>
    <w:rsid w:val="00BC457C"/>
    <w:rsid w:val="00BC484B"/>
    <w:rsid w:val="00BC484C"/>
    <w:rsid w:val="00BC4935"/>
    <w:rsid w:val="00BC4AC8"/>
    <w:rsid w:val="00BC4B0C"/>
    <w:rsid w:val="00BC4C8A"/>
    <w:rsid w:val="00BC4EA9"/>
    <w:rsid w:val="00BC4FD8"/>
    <w:rsid w:val="00BC500F"/>
    <w:rsid w:val="00BC5071"/>
    <w:rsid w:val="00BC5193"/>
    <w:rsid w:val="00BC531D"/>
    <w:rsid w:val="00BC535B"/>
    <w:rsid w:val="00BC53E5"/>
    <w:rsid w:val="00BC5716"/>
    <w:rsid w:val="00BC592A"/>
    <w:rsid w:val="00BC5951"/>
    <w:rsid w:val="00BC595C"/>
    <w:rsid w:val="00BC5BE2"/>
    <w:rsid w:val="00BC5CC6"/>
    <w:rsid w:val="00BC5D46"/>
    <w:rsid w:val="00BC5D6A"/>
    <w:rsid w:val="00BC60F0"/>
    <w:rsid w:val="00BC614E"/>
    <w:rsid w:val="00BC6283"/>
    <w:rsid w:val="00BC6443"/>
    <w:rsid w:val="00BC6650"/>
    <w:rsid w:val="00BC66C0"/>
    <w:rsid w:val="00BC6786"/>
    <w:rsid w:val="00BC6870"/>
    <w:rsid w:val="00BC68F5"/>
    <w:rsid w:val="00BC6979"/>
    <w:rsid w:val="00BC6C21"/>
    <w:rsid w:val="00BC6CCA"/>
    <w:rsid w:val="00BC6DA5"/>
    <w:rsid w:val="00BC6E20"/>
    <w:rsid w:val="00BC6FA0"/>
    <w:rsid w:val="00BC7033"/>
    <w:rsid w:val="00BC712B"/>
    <w:rsid w:val="00BC7316"/>
    <w:rsid w:val="00BC7317"/>
    <w:rsid w:val="00BC7599"/>
    <w:rsid w:val="00BC7641"/>
    <w:rsid w:val="00BC76EE"/>
    <w:rsid w:val="00BC783D"/>
    <w:rsid w:val="00BC7941"/>
    <w:rsid w:val="00BC7979"/>
    <w:rsid w:val="00BC7B6B"/>
    <w:rsid w:val="00BC7D8D"/>
    <w:rsid w:val="00BC7DB2"/>
    <w:rsid w:val="00BC7EE2"/>
    <w:rsid w:val="00BC7F6B"/>
    <w:rsid w:val="00BD0108"/>
    <w:rsid w:val="00BD0257"/>
    <w:rsid w:val="00BD0276"/>
    <w:rsid w:val="00BD0396"/>
    <w:rsid w:val="00BD039C"/>
    <w:rsid w:val="00BD04CF"/>
    <w:rsid w:val="00BD06AD"/>
    <w:rsid w:val="00BD08FC"/>
    <w:rsid w:val="00BD0A8D"/>
    <w:rsid w:val="00BD0C28"/>
    <w:rsid w:val="00BD0C32"/>
    <w:rsid w:val="00BD0D61"/>
    <w:rsid w:val="00BD0E10"/>
    <w:rsid w:val="00BD0E18"/>
    <w:rsid w:val="00BD0F75"/>
    <w:rsid w:val="00BD1017"/>
    <w:rsid w:val="00BD10A5"/>
    <w:rsid w:val="00BD117E"/>
    <w:rsid w:val="00BD12A3"/>
    <w:rsid w:val="00BD13FE"/>
    <w:rsid w:val="00BD1488"/>
    <w:rsid w:val="00BD1688"/>
    <w:rsid w:val="00BD175A"/>
    <w:rsid w:val="00BD18D3"/>
    <w:rsid w:val="00BD1933"/>
    <w:rsid w:val="00BD193F"/>
    <w:rsid w:val="00BD19A4"/>
    <w:rsid w:val="00BD1E13"/>
    <w:rsid w:val="00BD1E2D"/>
    <w:rsid w:val="00BD206E"/>
    <w:rsid w:val="00BD2407"/>
    <w:rsid w:val="00BD2495"/>
    <w:rsid w:val="00BD251E"/>
    <w:rsid w:val="00BD2631"/>
    <w:rsid w:val="00BD278C"/>
    <w:rsid w:val="00BD2903"/>
    <w:rsid w:val="00BD2A4A"/>
    <w:rsid w:val="00BD2A52"/>
    <w:rsid w:val="00BD2A5C"/>
    <w:rsid w:val="00BD2A82"/>
    <w:rsid w:val="00BD2AFC"/>
    <w:rsid w:val="00BD2D0B"/>
    <w:rsid w:val="00BD2DB8"/>
    <w:rsid w:val="00BD2DC9"/>
    <w:rsid w:val="00BD2F59"/>
    <w:rsid w:val="00BD3020"/>
    <w:rsid w:val="00BD31D5"/>
    <w:rsid w:val="00BD3316"/>
    <w:rsid w:val="00BD34FF"/>
    <w:rsid w:val="00BD36E7"/>
    <w:rsid w:val="00BD3836"/>
    <w:rsid w:val="00BD38BE"/>
    <w:rsid w:val="00BD3993"/>
    <w:rsid w:val="00BD3A94"/>
    <w:rsid w:val="00BD3AC2"/>
    <w:rsid w:val="00BD3D60"/>
    <w:rsid w:val="00BD3F3C"/>
    <w:rsid w:val="00BD4087"/>
    <w:rsid w:val="00BD40E8"/>
    <w:rsid w:val="00BD41FD"/>
    <w:rsid w:val="00BD42EF"/>
    <w:rsid w:val="00BD4364"/>
    <w:rsid w:val="00BD438A"/>
    <w:rsid w:val="00BD4445"/>
    <w:rsid w:val="00BD4523"/>
    <w:rsid w:val="00BD45EA"/>
    <w:rsid w:val="00BD4721"/>
    <w:rsid w:val="00BD4732"/>
    <w:rsid w:val="00BD48A9"/>
    <w:rsid w:val="00BD49B4"/>
    <w:rsid w:val="00BD49BB"/>
    <w:rsid w:val="00BD4CC3"/>
    <w:rsid w:val="00BD4E92"/>
    <w:rsid w:val="00BD4F2C"/>
    <w:rsid w:val="00BD5090"/>
    <w:rsid w:val="00BD50CF"/>
    <w:rsid w:val="00BD50EE"/>
    <w:rsid w:val="00BD5260"/>
    <w:rsid w:val="00BD54C9"/>
    <w:rsid w:val="00BD55B4"/>
    <w:rsid w:val="00BD55DD"/>
    <w:rsid w:val="00BD562D"/>
    <w:rsid w:val="00BD5BC0"/>
    <w:rsid w:val="00BD5BD3"/>
    <w:rsid w:val="00BD5C14"/>
    <w:rsid w:val="00BD5CF0"/>
    <w:rsid w:val="00BD5E0C"/>
    <w:rsid w:val="00BD5E17"/>
    <w:rsid w:val="00BD6029"/>
    <w:rsid w:val="00BD6051"/>
    <w:rsid w:val="00BD62FF"/>
    <w:rsid w:val="00BD64A3"/>
    <w:rsid w:val="00BD69E1"/>
    <w:rsid w:val="00BD6B8F"/>
    <w:rsid w:val="00BD6D65"/>
    <w:rsid w:val="00BD6E1F"/>
    <w:rsid w:val="00BD6F00"/>
    <w:rsid w:val="00BD703C"/>
    <w:rsid w:val="00BD711B"/>
    <w:rsid w:val="00BD716E"/>
    <w:rsid w:val="00BD7236"/>
    <w:rsid w:val="00BD7554"/>
    <w:rsid w:val="00BD768E"/>
    <w:rsid w:val="00BD7797"/>
    <w:rsid w:val="00BD77C3"/>
    <w:rsid w:val="00BD78F8"/>
    <w:rsid w:val="00BD7B02"/>
    <w:rsid w:val="00BD7BE5"/>
    <w:rsid w:val="00BD7C49"/>
    <w:rsid w:val="00BD7E00"/>
    <w:rsid w:val="00BD7E4D"/>
    <w:rsid w:val="00BD7F20"/>
    <w:rsid w:val="00BD7F86"/>
    <w:rsid w:val="00BD7FCE"/>
    <w:rsid w:val="00BE00CB"/>
    <w:rsid w:val="00BE01EA"/>
    <w:rsid w:val="00BE02B5"/>
    <w:rsid w:val="00BE02C5"/>
    <w:rsid w:val="00BE0519"/>
    <w:rsid w:val="00BE06A8"/>
    <w:rsid w:val="00BE06E0"/>
    <w:rsid w:val="00BE0722"/>
    <w:rsid w:val="00BE07B3"/>
    <w:rsid w:val="00BE07C6"/>
    <w:rsid w:val="00BE0A33"/>
    <w:rsid w:val="00BE0A8B"/>
    <w:rsid w:val="00BE0BC3"/>
    <w:rsid w:val="00BE0BE9"/>
    <w:rsid w:val="00BE0D22"/>
    <w:rsid w:val="00BE0E9C"/>
    <w:rsid w:val="00BE0EFA"/>
    <w:rsid w:val="00BE0F73"/>
    <w:rsid w:val="00BE1077"/>
    <w:rsid w:val="00BE115A"/>
    <w:rsid w:val="00BE1179"/>
    <w:rsid w:val="00BE1215"/>
    <w:rsid w:val="00BE1261"/>
    <w:rsid w:val="00BE13AE"/>
    <w:rsid w:val="00BE15A2"/>
    <w:rsid w:val="00BE15E5"/>
    <w:rsid w:val="00BE190E"/>
    <w:rsid w:val="00BE19B2"/>
    <w:rsid w:val="00BE1A86"/>
    <w:rsid w:val="00BE2088"/>
    <w:rsid w:val="00BE2112"/>
    <w:rsid w:val="00BE2322"/>
    <w:rsid w:val="00BE25D9"/>
    <w:rsid w:val="00BE271C"/>
    <w:rsid w:val="00BE2C97"/>
    <w:rsid w:val="00BE2D10"/>
    <w:rsid w:val="00BE2E91"/>
    <w:rsid w:val="00BE2F12"/>
    <w:rsid w:val="00BE2F3A"/>
    <w:rsid w:val="00BE32B5"/>
    <w:rsid w:val="00BE33E5"/>
    <w:rsid w:val="00BE34BF"/>
    <w:rsid w:val="00BE3676"/>
    <w:rsid w:val="00BE37F8"/>
    <w:rsid w:val="00BE395B"/>
    <w:rsid w:val="00BE3E14"/>
    <w:rsid w:val="00BE3EB9"/>
    <w:rsid w:val="00BE3F27"/>
    <w:rsid w:val="00BE3F85"/>
    <w:rsid w:val="00BE469A"/>
    <w:rsid w:val="00BE470A"/>
    <w:rsid w:val="00BE47E1"/>
    <w:rsid w:val="00BE4860"/>
    <w:rsid w:val="00BE4898"/>
    <w:rsid w:val="00BE49F5"/>
    <w:rsid w:val="00BE49F7"/>
    <w:rsid w:val="00BE4A0B"/>
    <w:rsid w:val="00BE4BF3"/>
    <w:rsid w:val="00BE4C24"/>
    <w:rsid w:val="00BE5035"/>
    <w:rsid w:val="00BE50CA"/>
    <w:rsid w:val="00BE5103"/>
    <w:rsid w:val="00BE51DC"/>
    <w:rsid w:val="00BE5238"/>
    <w:rsid w:val="00BE5324"/>
    <w:rsid w:val="00BE535E"/>
    <w:rsid w:val="00BE5386"/>
    <w:rsid w:val="00BE56E4"/>
    <w:rsid w:val="00BE56FD"/>
    <w:rsid w:val="00BE57B8"/>
    <w:rsid w:val="00BE5870"/>
    <w:rsid w:val="00BE58F8"/>
    <w:rsid w:val="00BE5BAC"/>
    <w:rsid w:val="00BE5C1D"/>
    <w:rsid w:val="00BE5CCD"/>
    <w:rsid w:val="00BE5D76"/>
    <w:rsid w:val="00BE5E7D"/>
    <w:rsid w:val="00BE5FDD"/>
    <w:rsid w:val="00BE63B0"/>
    <w:rsid w:val="00BE6407"/>
    <w:rsid w:val="00BE6463"/>
    <w:rsid w:val="00BE6705"/>
    <w:rsid w:val="00BE6917"/>
    <w:rsid w:val="00BE6918"/>
    <w:rsid w:val="00BE6923"/>
    <w:rsid w:val="00BE69F9"/>
    <w:rsid w:val="00BE6A27"/>
    <w:rsid w:val="00BE6A47"/>
    <w:rsid w:val="00BE6B33"/>
    <w:rsid w:val="00BE6D96"/>
    <w:rsid w:val="00BE6E9C"/>
    <w:rsid w:val="00BE6F8A"/>
    <w:rsid w:val="00BE7066"/>
    <w:rsid w:val="00BE714A"/>
    <w:rsid w:val="00BE7269"/>
    <w:rsid w:val="00BE72D3"/>
    <w:rsid w:val="00BE73C5"/>
    <w:rsid w:val="00BE73F2"/>
    <w:rsid w:val="00BE75A3"/>
    <w:rsid w:val="00BE75FF"/>
    <w:rsid w:val="00BE795C"/>
    <w:rsid w:val="00BE79D5"/>
    <w:rsid w:val="00BE7A3B"/>
    <w:rsid w:val="00BE7AE6"/>
    <w:rsid w:val="00BE7C7B"/>
    <w:rsid w:val="00BE7D0B"/>
    <w:rsid w:val="00BE7D76"/>
    <w:rsid w:val="00BE7EA0"/>
    <w:rsid w:val="00BE7FC2"/>
    <w:rsid w:val="00BF0339"/>
    <w:rsid w:val="00BF0369"/>
    <w:rsid w:val="00BF03C1"/>
    <w:rsid w:val="00BF05F0"/>
    <w:rsid w:val="00BF05F1"/>
    <w:rsid w:val="00BF0700"/>
    <w:rsid w:val="00BF0732"/>
    <w:rsid w:val="00BF077C"/>
    <w:rsid w:val="00BF08D6"/>
    <w:rsid w:val="00BF09B7"/>
    <w:rsid w:val="00BF0AE6"/>
    <w:rsid w:val="00BF0C79"/>
    <w:rsid w:val="00BF0ED8"/>
    <w:rsid w:val="00BF10D2"/>
    <w:rsid w:val="00BF11AB"/>
    <w:rsid w:val="00BF124F"/>
    <w:rsid w:val="00BF1482"/>
    <w:rsid w:val="00BF15EC"/>
    <w:rsid w:val="00BF1698"/>
    <w:rsid w:val="00BF16C8"/>
    <w:rsid w:val="00BF170E"/>
    <w:rsid w:val="00BF174D"/>
    <w:rsid w:val="00BF1841"/>
    <w:rsid w:val="00BF1991"/>
    <w:rsid w:val="00BF1B6B"/>
    <w:rsid w:val="00BF1FB0"/>
    <w:rsid w:val="00BF20C0"/>
    <w:rsid w:val="00BF20CD"/>
    <w:rsid w:val="00BF2101"/>
    <w:rsid w:val="00BF2142"/>
    <w:rsid w:val="00BF2188"/>
    <w:rsid w:val="00BF229E"/>
    <w:rsid w:val="00BF253C"/>
    <w:rsid w:val="00BF25EB"/>
    <w:rsid w:val="00BF280D"/>
    <w:rsid w:val="00BF2B89"/>
    <w:rsid w:val="00BF2BBE"/>
    <w:rsid w:val="00BF2C30"/>
    <w:rsid w:val="00BF2C4A"/>
    <w:rsid w:val="00BF2D58"/>
    <w:rsid w:val="00BF2D5C"/>
    <w:rsid w:val="00BF3019"/>
    <w:rsid w:val="00BF30BB"/>
    <w:rsid w:val="00BF322A"/>
    <w:rsid w:val="00BF3327"/>
    <w:rsid w:val="00BF333D"/>
    <w:rsid w:val="00BF3402"/>
    <w:rsid w:val="00BF34D4"/>
    <w:rsid w:val="00BF3813"/>
    <w:rsid w:val="00BF3819"/>
    <w:rsid w:val="00BF3857"/>
    <w:rsid w:val="00BF38C3"/>
    <w:rsid w:val="00BF394A"/>
    <w:rsid w:val="00BF3ABE"/>
    <w:rsid w:val="00BF3C7C"/>
    <w:rsid w:val="00BF3F3B"/>
    <w:rsid w:val="00BF404C"/>
    <w:rsid w:val="00BF4100"/>
    <w:rsid w:val="00BF4463"/>
    <w:rsid w:val="00BF459E"/>
    <w:rsid w:val="00BF476B"/>
    <w:rsid w:val="00BF49C2"/>
    <w:rsid w:val="00BF4A4B"/>
    <w:rsid w:val="00BF4BA6"/>
    <w:rsid w:val="00BF4C6A"/>
    <w:rsid w:val="00BF4C8C"/>
    <w:rsid w:val="00BF4D4F"/>
    <w:rsid w:val="00BF5207"/>
    <w:rsid w:val="00BF5252"/>
    <w:rsid w:val="00BF53BD"/>
    <w:rsid w:val="00BF5437"/>
    <w:rsid w:val="00BF5743"/>
    <w:rsid w:val="00BF576E"/>
    <w:rsid w:val="00BF57DD"/>
    <w:rsid w:val="00BF5A8B"/>
    <w:rsid w:val="00BF5AC9"/>
    <w:rsid w:val="00BF5AD6"/>
    <w:rsid w:val="00BF5C87"/>
    <w:rsid w:val="00BF5E79"/>
    <w:rsid w:val="00BF6039"/>
    <w:rsid w:val="00BF60EC"/>
    <w:rsid w:val="00BF6160"/>
    <w:rsid w:val="00BF61DB"/>
    <w:rsid w:val="00BF636D"/>
    <w:rsid w:val="00BF655F"/>
    <w:rsid w:val="00BF65E1"/>
    <w:rsid w:val="00BF6796"/>
    <w:rsid w:val="00BF6861"/>
    <w:rsid w:val="00BF6B0A"/>
    <w:rsid w:val="00BF6BF4"/>
    <w:rsid w:val="00BF6C1E"/>
    <w:rsid w:val="00BF6C6B"/>
    <w:rsid w:val="00BF6D14"/>
    <w:rsid w:val="00BF6E85"/>
    <w:rsid w:val="00BF6F06"/>
    <w:rsid w:val="00BF6F43"/>
    <w:rsid w:val="00BF6F9D"/>
    <w:rsid w:val="00BF6FFE"/>
    <w:rsid w:val="00BF70E0"/>
    <w:rsid w:val="00BF7329"/>
    <w:rsid w:val="00BF7479"/>
    <w:rsid w:val="00BF7744"/>
    <w:rsid w:val="00BF7885"/>
    <w:rsid w:val="00BF789C"/>
    <w:rsid w:val="00BF78E9"/>
    <w:rsid w:val="00BF7921"/>
    <w:rsid w:val="00BF79B5"/>
    <w:rsid w:val="00BF7BC4"/>
    <w:rsid w:val="00BF7C15"/>
    <w:rsid w:val="00BF7D40"/>
    <w:rsid w:val="00BF7F55"/>
    <w:rsid w:val="00BF7F69"/>
    <w:rsid w:val="00BF7F92"/>
    <w:rsid w:val="00C000C2"/>
    <w:rsid w:val="00C00108"/>
    <w:rsid w:val="00C001A6"/>
    <w:rsid w:val="00C001AC"/>
    <w:rsid w:val="00C00280"/>
    <w:rsid w:val="00C00393"/>
    <w:rsid w:val="00C0051E"/>
    <w:rsid w:val="00C0063C"/>
    <w:rsid w:val="00C006E3"/>
    <w:rsid w:val="00C0077E"/>
    <w:rsid w:val="00C00847"/>
    <w:rsid w:val="00C00954"/>
    <w:rsid w:val="00C00A92"/>
    <w:rsid w:val="00C00B36"/>
    <w:rsid w:val="00C00B9B"/>
    <w:rsid w:val="00C00C05"/>
    <w:rsid w:val="00C00C1F"/>
    <w:rsid w:val="00C00C40"/>
    <w:rsid w:val="00C00CA1"/>
    <w:rsid w:val="00C00DD5"/>
    <w:rsid w:val="00C00F0C"/>
    <w:rsid w:val="00C00FDC"/>
    <w:rsid w:val="00C01236"/>
    <w:rsid w:val="00C012E0"/>
    <w:rsid w:val="00C014D5"/>
    <w:rsid w:val="00C0157F"/>
    <w:rsid w:val="00C015AF"/>
    <w:rsid w:val="00C0185A"/>
    <w:rsid w:val="00C018DE"/>
    <w:rsid w:val="00C01B12"/>
    <w:rsid w:val="00C01D4C"/>
    <w:rsid w:val="00C01DE8"/>
    <w:rsid w:val="00C01EE5"/>
    <w:rsid w:val="00C01FBF"/>
    <w:rsid w:val="00C021A8"/>
    <w:rsid w:val="00C02340"/>
    <w:rsid w:val="00C023E7"/>
    <w:rsid w:val="00C02409"/>
    <w:rsid w:val="00C0244E"/>
    <w:rsid w:val="00C026F7"/>
    <w:rsid w:val="00C02811"/>
    <w:rsid w:val="00C02967"/>
    <w:rsid w:val="00C02CA4"/>
    <w:rsid w:val="00C02F82"/>
    <w:rsid w:val="00C02FE4"/>
    <w:rsid w:val="00C03144"/>
    <w:rsid w:val="00C031B3"/>
    <w:rsid w:val="00C033E3"/>
    <w:rsid w:val="00C03437"/>
    <w:rsid w:val="00C034B6"/>
    <w:rsid w:val="00C034FA"/>
    <w:rsid w:val="00C035C1"/>
    <w:rsid w:val="00C0366F"/>
    <w:rsid w:val="00C03DDB"/>
    <w:rsid w:val="00C03E06"/>
    <w:rsid w:val="00C03F32"/>
    <w:rsid w:val="00C03F45"/>
    <w:rsid w:val="00C03F73"/>
    <w:rsid w:val="00C03FD0"/>
    <w:rsid w:val="00C03FD9"/>
    <w:rsid w:val="00C04154"/>
    <w:rsid w:val="00C04485"/>
    <w:rsid w:val="00C044B9"/>
    <w:rsid w:val="00C044F1"/>
    <w:rsid w:val="00C045FA"/>
    <w:rsid w:val="00C04610"/>
    <w:rsid w:val="00C0477A"/>
    <w:rsid w:val="00C0481E"/>
    <w:rsid w:val="00C04A38"/>
    <w:rsid w:val="00C04A9A"/>
    <w:rsid w:val="00C04AC1"/>
    <w:rsid w:val="00C04B0A"/>
    <w:rsid w:val="00C04B22"/>
    <w:rsid w:val="00C04B44"/>
    <w:rsid w:val="00C04C37"/>
    <w:rsid w:val="00C04C53"/>
    <w:rsid w:val="00C04DB8"/>
    <w:rsid w:val="00C05236"/>
    <w:rsid w:val="00C052C8"/>
    <w:rsid w:val="00C053FD"/>
    <w:rsid w:val="00C05630"/>
    <w:rsid w:val="00C05684"/>
    <w:rsid w:val="00C05A37"/>
    <w:rsid w:val="00C05A98"/>
    <w:rsid w:val="00C05A9C"/>
    <w:rsid w:val="00C05A9D"/>
    <w:rsid w:val="00C05DB0"/>
    <w:rsid w:val="00C05E54"/>
    <w:rsid w:val="00C0602A"/>
    <w:rsid w:val="00C061A6"/>
    <w:rsid w:val="00C0621C"/>
    <w:rsid w:val="00C063FE"/>
    <w:rsid w:val="00C06899"/>
    <w:rsid w:val="00C06963"/>
    <w:rsid w:val="00C06A3C"/>
    <w:rsid w:val="00C06AC4"/>
    <w:rsid w:val="00C06BEA"/>
    <w:rsid w:val="00C06EBA"/>
    <w:rsid w:val="00C06FA2"/>
    <w:rsid w:val="00C071D4"/>
    <w:rsid w:val="00C0722F"/>
    <w:rsid w:val="00C07277"/>
    <w:rsid w:val="00C0729E"/>
    <w:rsid w:val="00C07381"/>
    <w:rsid w:val="00C07410"/>
    <w:rsid w:val="00C0746A"/>
    <w:rsid w:val="00C0749A"/>
    <w:rsid w:val="00C075B0"/>
    <w:rsid w:val="00C0766E"/>
    <w:rsid w:val="00C076AD"/>
    <w:rsid w:val="00C0779B"/>
    <w:rsid w:val="00C078A5"/>
    <w:rsid w:val="00C0790F"/>
    <w:rsid w:val="00C079D9"/>
    <w:rsid w:val="00C07BCC"/>
    <w:rsid w:val="00C100D4"/>
    <w:rsid w:val="00C10365"/>
    <w:rsid w:val="00C103FB"/>
    <w:rsid w:val="00C10480"/>
    <w:rsid w:val="00C10481"/>
    <w:rsid w:val="00C104BC"/>
    <w:rsid w:val="00C10657"/>
    <w:rsid w:val="00C1078D"/>
    <w:rsid w:val="00C10ACA"/>
    <w:rsid w:val="00C10B30"/>
    <w:rsid w:val="00C10B9D"/>
    <w:rsid w:val="00C10C52"/>
    <w:rsid w:val="00C10D3E"/>
    <w:rsid w:val="00C10D63"/>
    <w:rsid w:val="00C10E05"/>
    <w:rsid w:val="00C11021"/>
    <w:rsid w:val="00C11037"/>
    <w:rsid w:val="00C11158"/>
    <w:rsid w:val="00C112B6"/>
    <w:rsid w:val="00C1132B"/>
    <w:rsid w:val="00C114C6"/>
    <w:rsid w:val="00C115FC"/>
    <w:rsid w:val="00C11661"/>
    <w:rsid w:val="00C116A9"/>
    <w:rsid w:val="00C11930"/>
    <w:rsid w:val="00C11A37"/>
    <w:rsid w:val="00C11AD2"/>
    <w:rsid w:val="00C11C08"/>
    <w:rsid w:val="00C11C7C"/>
    <w:rsid w:val="00C11FFF"/>
    <w:rsid w:val="00C12240"/>
    <w:rsid w:val="00C1233A"/>
    <w:rsid w:val="00C12380"/>
    <w:rsid w:val="00C12427"/>
    <w:rsid w:val="00C12482"/>
    <w:rsid w:val="00C1248C"/>
    <w:rsid w:val="00C124B1"/>
    <w:rsid w:val="00C124B3"/>
    <w:rsid w:val="00C12593"/>
    <w:rsid w:val="00C12669"/>
    <w:rsid w:val="00C1276F"/>
    <w:rsid w:val="00C12982"/>
    <w:rsid w:val="00C129D4"/>
    <w:rsid w:val="00C129DD"/>
    <w:rsid w:val="00C12B10"/>
    <w:rsid w:val="00C12B5B"/>
    <w:rsid w:val="00C12B93"/>
    <w:rsid w:val="00C12BD8"/>
    <w:rsid w:val="00C12BDA"/>
    <w:rsid w:val="00C12BFA"/>
    <w:rsid w:val="00C12E79"/>
    <w:rsid w:val="00C12EE0"/>
    <w:rsid w:val="00C13149"/>
    <w:rsid w:val="00C1323E"/>
    <w:rsid w:val="00C132D0"/>
    <w:rsid w:val="00C133A7"/>
    <w:rsid w:val="00C13427"/>
    <w:rsid w:val="00C13429"/>
    <w:rsid w:val="00C134D9"/>
    <w:rsid w:val="00C134FF"/>
    <w:rsid w:val="00C13942"/>
    <w:rsid w:val="00C13BC7"/>
    <w:rsid w:val="00C13CE0"/>
    <w:rsid w:val="00C13D52"/>
    <w:rsid w:val="00C13E08"/>
    <w:rsid w:val="00C13F61"/>
    <w:rsid w:val="00C14170"/>
    <w:rsid w:val="00C141D6"/>
    <w:rsid w:val="00C1430E"/>
    <w:rsid w:val="00C14476"/>
    <w:rsid w:val="00C1476C"/>
    <w:rsid w:val="00C14828"/>
    <w:rsid w:val="00C1484A"/>
    <w:rsid w:val="00C14987"/>
    <w:rsid w:val="00C14B5A"/>
    <w:rsid w:val="00C14CA8"/>
    <w:rsid w:val="00C14CAF"/>
    <w:rsid w:val="00C14DED"/>
    <w:rsid w:val="00C14EE0"/>
    <w:rsid w:val="00C14F6B"/>
    <w:rsid w:val="00C14FA9"/>
    <w:rsid w:val="00C15071"/>
    <w:rsid w:val="00C152C0"/>
    <w:rsid w:val="00C15401"/>
    <w:rsid w:val="00C15406"/>
    <w:rsid w:val="00C157A5"/>
    <w:rsid w:val="00C1583D"/>
    <w:rsid w:val="00C158A3"/>
    <w:rsid w:val="00C158FB"/>
    <w:rsid w:val="00C15911"/>
    <w:rsid w:val="00C15A14"/>
    <w:rsid w:val="00C15B35"/>
    <w:rsid w:val="00C15C18"/>
    <w:rsid w:val="00C15C20"/>
    <w:rsid w:val="00C15E47"/>
    <w:rsid w:val="00C15E92"/>
    <w:rsid w:val="00C1601F"/>
    <w:rsid w:val="00C160BA"/>
    <w:rsid w:val="00C1611E"/>
    <w:rsid w:val="00C162E1"/>
    <w:rsid w:val="00C1649F"/>
    <w:rsid w:val="00C1676E"/>
    <w:rsid w:val="00C16935"/>
    <w:rsid w:val="00C16B28"/>
    <w:rsid w:val="00C16CF6"/>
    <w:rsid w:val="00C16D25"/>
    <w:rsid w:val="00C16DB0"/>
    <w:rsid w:val="00C16DBE"/>
    <w:rsid w:val="00C16E8C"/>
    <w:rsid w:val="00C1707C"/>
    <w:rsid w:val="00C170F9"/>
    <w:rsid w:val="00C17126"/>
    <w:rsid w:val="00C17416"/>
    <w:rsid w:val="00C17659"/>
    <w:rsid w:val="00C17853"/>
    <w:rsid w:val="00C178CD"/>
    <w:rsid w:val="00C178E5"/>
    <w:rsid w:val="00C17946"/>
    <w:rsid w:val="00C179B8"/>
    <w:rsid w:val="00C17DC8"/>
    <w:rsid w:val="00C17DE3"/>
    <w:rsid w:val="00C17FA9"/>
    <w:rsid w:val="00C17FD6"/>
    <w:rsid w:val="00C20033"/>
    <w:rsid w:val="00C20104"/>
    <w:rsid w:val="00C2019B"/>
    <w:rsid w:val="00C20273"/>
    <w:rsid w:val="00C202B4"/>
    <w:rsid w:val="00C202DD"/>
    <w:rsid w:val="00C20336"/>
    <w:rsid w:val="00C20394"/>
    <w:rsid w:val="00C20631"/>
    <w:rsid w:val="00C2074B"/>
    <w:rsid w:val="00C20765"/>
    <w:rsid w:val="00C20947"/>
    <w:rsid w:val="00C2097B"/>
    <w:rsid w:val="00C20EE6"/>
    <w:rsid w:val="00C21093"/>
    <w:rsid w:val="00C21184"/>
    <w:rsid w:val="00C215C7"/>
    <w:rsid w:val="00C21735"/>
    <w:rsid w:val="00C2174E"/>
    <w:rsid w:val="00C21826"/>
    <w:rsid w:val="00C21838"/>
    <w:rsid w:val="00C21859"/>
    <w:rsid w:val="00C2197D"/>
    <w:rsid w:val="00C21A01"/>
    <w:rsid w:val="00C21AD9"/>
    <w:rsid w:val="00C21BCD"/>
    <w:rsid w:val="00C21C1C"/>
    <w:rsid w:val="00C21C80"/>
    <w:rsid w:val="00C220B8"/>
    <w:rsid w:val="00C220D1"/>
    <w:rsid w:val="00C220FD"/>
    <w:rsid w:val="00C2217B"/>
    <w:rsid w:val="00C2230D"/>
    <w:rsid w:val="00C2234C"/>
    <w:rsid w:val="00C224D1"/>
    <w:rsid w:val="00C2255D"/>
    <w:rsid w:val="00C22581"/>
    <w:rsid w:val="00C227B8"/>
    <w:rsid w:val="00C2282C"/>
    <w:rsid w:val="00C228BF"/>
    <w:rsid w:val="00C22D20"/>
    <w:rsid w:val="00C22D6B"/>
    <w:rsid w:val="00C230CC"/>
    <w:rsid w:val="00C230D2"/>
    <w:rsid w:val="00C23276"/>
    <w:rsid w:val="00C233E5"/>
    <w:rsid w:val="00C2341B"/>
    <w:rsid w:val="00C235AF"/>
    <w:rsid w:val="00C23650"/>
    <w:rsid w:val="00C236C5"/>
    <w:rsid w:val="00C238CB"/>
    <w:rsid w:val="00C23BF5"/>
    <w:rsid w:val="00C23DE3"/>
    <w:rsid w:val="00C23EB1"/>
    <w:rsid w:val="00C23F90"/>
    <w:rsid w:val="00C24041"/>
    <w:rsid w:val="00C240AA"/>
    <w:rsid w:val="00C24339"/>
    <w:rsid w:val="00C24400"/>
    <w:rsid w:val="00C24468"/>
    <w:rsid w:val="00C2459F"/>
    <w:rsid w:val="00C246A9"/>
    <w:rsid w:val="00C24855"/>
    <w:rsid w:val="00C24883"/>
    <w:rsid w:val="00C249BB"/>
    <w:rsid w:val="00C24D2E"/>
    <w:rsid w:val="00C24D33"/>
    <w:rsid w:val="00C24E90"/>
    <w:rsid w:val="00C25053"/>
    <w:rsid w:val="00C251B1"/>
    <w:rsid w:val="00C253D1"/>
    <w:rsid w:val="00C253D4"/>
    <w:rsid w:val="00C254F2"/>
    <w:rsid w:val="00C255D6"/>
    <w:rsid w:val="00C25675"/>
    <w:rsid w:val="00C256E5"/>
    <w:rsid w:val="00C2579F"/>
    <w:rsid w:val="00C257AB"/>
    <w:rsid w:val="00C2581E"/>
    <w:rsid w:val="00C2593D"/>
    <w:rsid w:val="00C25A6F"/>
    <w:rsid w:val="00C25BB5"/>
    <w:rsid w:val="00C261EC"/>
    <w:rsid w:val="00C26373"/>
    <w:rsid w:val="00C26376"/>
    <w:rsid w:val="00C26412"/>
    <w:rsid w:val="00C2646F"/>
    <w:rsid w:val="00C264F4"/>
    <w:rsid w:val="00C26548"/>
    <w:rsid w:val="00C26570"/>
    <w:rsid w:val="00C26585"/>
    <w:rsid w:val="00C268F6"/>
    <w:rsid w:val="00C26979"/>
    <w:rsid w:val="00C26995"/>
    <w:rsid w:val="00C26A7F"/>
    <w:rsid w:val="00C26C4E"/>
    <w:rsid w:val="00C26E00"/>
    <w:rsid w:val="00C26EE8"/>
    <w:rsid w:val="00C26FC0"/>
    <w:rsid w:val="00C27202"/>
    <w:rsid w:val="00C27350"/>
    <w:rsid w:val="00C2742C"/>
    <w:rsid w:val="00C2762C"/>
    <w:rsid w:val="00C2768C"/>
    <w:rsid w:val="00C27848"/>
    <w:rsid w:val="00C27A1E"/>
    <w:rsid w:val="00C27ADF"/>
    <w:rsid w:val="00C27D40"/>
    <w:rsid w:val="00C27DA1"/>
    <w:rsid w:val="00C27E71"/>
    <w:rsid w:val="00C27E8A"/>
    <w:rsid w:val="00C30133"/>
    <w:rsid w:val="00C3031A"/>
    <w:rsid w:val="00C3036E"/>
    <w:rsid w:val="00C3052F"/>
    <w:rsid w:val="00C305E5"/>
    <w:rsid w:val="00C3063F"/>
    <w:rsid w:val="00C30651"/>
    <w:rsid w:val="00C3068C"/>
    <w:rsid w:val="00C307DD"/>
    <w:rsid w:val="00C30CA0"/>
    <w:rsid w:val="00C30CD5"/>
    <w:rsid w:val="00C30D69"/>
    <w:rsid w:val="00C30E68"/>
    <w:rsid w:val="00C31099"/>
    <w:rsid w:val="00C31145"/>
    <w:rsid w:val="00C3116B"/>
    <w:rsid w:val="00C31224"/>
    <w:rsid w:val="00C31246"/>
    <w:rsid w:val="00C312BB"/>
    <w:rsid w:val="00C3156D"/>
    <w:rsid w:val="00C315FF"/>
    <w:rsid w:val="00C316D3"/>
    <w:rsid w:val="00C3173D"/>
    <w:rsid w:val="00C3179E"/>
    <w:rsid w:val="00C318E7"/>
    <w:rsid w:val="00C3190E"/>
    <w:rsid w:val="00C319CE"/>
    <w:rsid w:val="00C319D0"/>
    <w:rsid w:val="00C31A75"/>
    <w:rsid w:val="00C31AB4"/>
    <w:rsid w:val="00C31B13"/>
    <w:rsid w:val="00C31B80"/>
    <w:rsid w:val="00C31C26"/>
    <w:rsid w:val="00C31C73"/>
    <w:rsid w:val="00C31D80"/>
    <w:rsid w:val="00C32002"/>
    <w:rsid w:val="00C32048"/>
    <w:rsid w:val="00C320E7"/>
    <w:rsid w:val="00C3210A"/>
    <w:rsid w:val="00C3211C"/>
    <w:rsid w:val="00C3236B"/>
    <w:rsid w:val="00C32391"/>
    <w:rsid w:val="00C325D0"/>
    <w:rsid w:val="00C327F9"/>
    <w:rsid w:val="00C32994"/>
    <w:rsid w:val="00C32A34"/>
    <w:rsid w:val="00C32B11"/>
    <w:rsid w:val="00C32CCC"/>
    <w:rsid w:val="00C32D6F"/>
    <w:rsid w:val="00C32E04"/>
    <w:rsid w:val="00C32E2B"/>
    <w:rsid w:val="00C32F6A"/>
    <w:rsid w:val="00C330BD"/>
    <w:rsid w:val="00C3312D"/>
    <w:rsid w:val="00C332A3"/>
    <w:rsid w:val="00C33365"/>
    <w:rsid w:val="00C333FC"/>
    <w:rsid w:val="00C334A1"/>
    <w:rsid w:val="00C3350B"/>
    <w:rsid w:val="00C33534"/>
    <w:rsid w:val="00C3360F"/>
    <w:rsid w:val="00C33A6B"/>
    <w:rsid w:val="00C33C73"/>
    <w:rsid w:val="00C33C83"/>
    <w:rsid w:val="00C33D74"/>
    <w:rsid w:val="00C33E01"/>
    <w:rsid w:val="00C342A0"/>
    <w:rsid w:val="00C343BC"/>
    <w:rsid w:val="00C3448F"/>
    <w:rsid w:val="00C344CA"/>
    <w:rsid w:val="00C3459A"/>
    <w:rsid w:val="00C34616"/>
    <w:rsid w:val="00C346CC"/>
    <w:rsid w:val="00C34753"/>
    <w:rsid w:val="00C348F5"/>
    <w:rsid w:val="00C34A86"/>
    <w:rsid w:val="00C34A9A"/>
    <w:rsid w:val="00C34B14"/>
    <w:rsid w:val="00C34B50"/>
    <w:rsid w:val="00C34CC8"/>
    <w:rsid w:val="00C34CD3"/>
    <w:rsid w:val="00C34E0F"/>
    <w:rsid w:val="00C34F80"/>
    <w:rsid w:val="00C35051"/>
    <w:rsid w:val="00C35165"/>
    <w:rsid w:val="00C35244"/>
    <w:rsid w:val="00C35309"/>
    <w:rsid w:val="00C3533C"/>
    <w:rsid w:val="00C35345"/>
    <w:rsid w:val="00C35585"/>
    <w:rsid w:val="00C355D8"/>
    <w:rsid w:val="00C358CE"/>
    <w:rsid w:val="00C35A98"/>
    <w:rsid w:val="00C35B31"/>
    <w:rsid w:val="00C35C4E"/>
    <w:rsid w:val="00C35CFF"/>
    <w:rsid w:val="00C35DBE"/>
    <w:rsid w:val="00C35EF9"/>
    <w:rsid w:val="00C35F70"/>
    <w:rsid w:val="00C36118"/>
    <w:rsid w:val="00C3615D"/>
    <w:rsid w:val="00C36223"/>
    <w:rsid w:val="00C362E2"/>
    <w:rsid w:val="00C363CA"/>
    <w:rsid w:val="00C363E2"/>
    <w:rsid w:val="00C364AD"/>
    <w:rsid w:val="00C36554"/>
    <w:rsid w:val="00C36595"/>
    <w:rsid w:val="00C36796"/>
    <w:rsid w:val="00C36797"/>
    <w:rsid w:val="00C368FC"/>
    <w:rsid w:val="00C36CA6"/>
    <w:rsid w:val="00C36CBC"/>
    <w:rsid w:val="00C36DD0"/>
    <w:rsid w:val="00C36DDA"/>
    <w:rsid w:val="00C36E10"/>
    <w:rsid w:val="00C36E63"/>
    <w:rsid w:val="00C36EED"/>
    <w:rsid w:val="00C36F62"/>
    <w:rsid w:val="00C371C9"/>
    <w:rsid w:val="00C371E0"/>
    <w:rsid w:val="00C37256"/>
    <w:rsid w:val="00C3750A"/>
    <w:rsid w:val="00C376CD"/>
    <w:rsid w:val="00C377C0"/>
    <w:rsid w:val="00C3781E"/>
    <w:rsid w:val="00C37859"/>
    <w:rsid w:val="00C378BF"/>
    <w:rsid w:val="00C37A6E"/>
    <w:rsid w:val="00C37B6D"/>
    <w:rsid w:val="00C37BB3"/>
    <w:rsid w:val="00C37DEE"/>
    <w:rsid w:val="00C37E1C"/>
    <w:rsid w:val="00C37EAC"/>
    <w:rsid w:val="00C37EE0"/>
    <w:rsid w:val="00C3D1FD"/>
    <w:rsid w:val="00C3EDBD"/>
    <w:rsid w:val="00C400D9"/>
    <w:rsid w:val="00C40137"/>
    <w:rsid w:val="00C40186"/>
    <w:rsid w:val="00C40189"/>
    <w:rsid w:val="00C40415"/>
    <w:rsid w:val="00C4055A"/>
    <w:rsid w:val="00C4057E"/>
    <w:rsid w:val="00C4087E"/>
    <w:rsid w:val="00C40894"/>
    <w:rsid w:val="00C408D6"/>
    <w:rsid w:val="00C40968"/>
    <w:rsid w:val="00C40C93"/>
    <w:rsid w:val="00C40D02"/>
    <w:rsid w:val="00C40DF8"/>
    <w:rsid w:val="00C40F98"/>
    <w:rsid w:val="00C40FC4"/>
    <w:rsid w:val="00C410DE"/>
    <w:rsid w:val="00C412FA"/>
    <w:rsid w:val="00C4134F"/>
    <w:rsid w:val="00C41468"/>
    <w:rsid w:val="00C414D6"/>
    <w:rsid w:val="00C416D4"/>
    <w:rsid w:val="00C41944"/>
    <w:rsid w:val="00C41978"/>
    <w:rsid w:val="00C419DB"/>
    <w:rsid w:val="00C419E3"/>
    <w:rsid w:val="00C419ED"/>
    <w:rsid w:val="00C41A0A"/>
    <w:rsid w:val="00C41C60"/>
    <w:rsid w:val="00C41F37"/>
    <w:rsid w:val="00C41F3F"/>
    <w:rsid w:val="00C41FB2"/>
    <w:rsid w:val="00C420B0"/>
    <w:rsid w:val="00C420F2"/>
    <w:rsid w:val="00C42321"/>
    <w:rsid w:val="00C4238A"/>
    <w:rsid w:val="00C424C1"/>
    <w:rsid w:val="00C42534"/>
    <w:rsid w:val="00C4256C"/>
    <w:rsid w:val="00C4258A"/>
    <w:rsid w:val="00C4273B"/>
    <w:rsid w:val="00C427F7"/>
    <w:rsid w:val="00C42CAC"/>
    <w:rsid w:val="00C42D90"/>
    <w:rsid w:val="00C42DBF"/>
    <w:rsid w:val="00C42E05"/>
    <w:rsid w:val="00C430C5"/>
    <w:rsid w:val="00C432CC"/>
    <w:rsid w:val="00C43312"/>
    <w:rsid w:val="00C43339"/>
    <w:rsid w:val="00C43455"/>
    <w:rsid w:val="00C434DD"/>
    <w:rsid w:val="00C43556"/>
    <w:rsid w:val="00C43656"/>
    <w:rsid w:val="00C436C0"/>
    <w:rsid w:val="00C437C9"/>
    <w:rsid w:val="00C439F2"/>
    <w:rsid w:val="00C43B29"/>
    <w:rsid w:val="00C43C43"/>
    <w:rsid w:val="00C43C6C"/>
    <w:rsid w:val="00C43D11"/>
    <w:rsid w:val="00C43EA2"/>
    <w:rsid w:val="00C43EC8"/>
    <w:rsid w:val="00C44028"/>
    <w:rsid w:val="00C44212"/>
    <w:rsid w:val="00C44237"/>
    <w:rsid w:val="00C442E2"/>
    <w:rsid w:val="00C4459A"/>
    <w:rsid w:val="00C44639"/>
    <w:rsid w:val="00C4483E"/>
    <w:rsid w:val="00C44914"/>
    <w:rsid w:val="00C449AB"/>
    <w:rsid w:val="00C44A06"/>
    <w:rsid w:val="00C44D6E"/>
    <w:rsid w:val="00C44D7B"/>
    <w:rsid w:val="00C44E6F"/>
    <w:rsid w:val="00C44FF2"/>
    <w:rsid w:val="00C45077"/>
    <w:rsid w:val="00C45190"/>
    <w:rsid w:val="00C4527D"/>
    <w:rsid w:val="00C452DB"/>
    <w:rsid w:val="00C4545F"/>
    <w:rsid w:val="00C45798"/>
    <w:rsid w:val="00C45826"/>
    <w:rsid w:val="00C458C7"/>
    <w:rsid w:val="00C45937"/>
    <w:rsid w:val="00C45B0B"/>
    <w:rsid w:val="00C45DFB"/>
    <w:rsid w:val="00C45E7D"/>
    <w:rsid w:val="00C46137"/>
    <w:rsid w:val="00C46323"/>
    <w:rsid w:val="00C463E1"/>
    <w:rsid w:val="00C464D9"/>
    <w:rsid w:val="00C46B6E"/>
    <w:rsid w:val="00C46B76"/>
    <w:rsid w:val="00C46BCD"/>
    <w:rsid w:val="00C46C4C"/>
    <w:rsid w:val="00C47182"/>
    <w:rsid w:val="00C4739E"/>
    <w:rsid w:val="00C473D0"/>
    <w:rsid w:val="00C4764D"/>
    <w:rsid w:val="00C478FF"/>
    <w:rsid w:val="00C4796F"/>
    <w:rsid w:val="00C47A40"/>
    <w:rsid w:val="00C47A8B"/>
    <w:rsid w:val="00C47E2D"/>
    <w:rsid w:val="00C47E60"/>
    <w:rsid w:val="00C47EB7"/>
    <w:rsid w:val="00C47FBE"/>
    <w:rsid w:val="00C47FEE"/>
    <w:rsid w:val="00C501AB"/>
    <w:rsid w:val="00C50218"/>
    <w:rsid w:val="00C503AF"/>
    <w:rsid w:val="00C50408"/>
    <w:rsid w:val="00C5051A"/>
    <w:rsid w:val="00C50523"/>
    <w:rsid w:val="00C50532"/>
    <w:rsid w:val="00C5072F"/>
    <w:rsid w:val="00C507A4"/>
    <w:rsid w:val="00C5087B"/>
    <w:rsid w:val="00C5089C"/>
    <w:rsid w:val="00C50B73"/>
    <w:rsid w:val="00C50C21"/>
    <w:rsid w:val="00C50CBE"/>
    <w:rsid w:val="00C50D2F"/>
    <w:rsid w:val="00C50FA4"/>
    <w:rsid w:val="00C51077"/>
    <w:rsid w:val="00C51148"/>
    <w:rsid w:val="00C512B0"/>
    <w:rsid w:val="00C5133B"/>
    <w:rsid w:val="00C514B2"/>
    <w:rsid w:val="00C51961"/>
    <w:rsid w:val="00C51B74"/>
    <w:rsid w:val="00C51BD0"/>
    <w:rsid w:val="00C51CDF"/>
    <w:rsid w:val="00C51D7D"/>
    <w:rsid w:val="00C51DAC"/>
    <w:rsid w:val="00C51E2A"/>
    <w:rsid w:val="00C51E59"/>
    <w:rsid w:val="00C5232A"/>
    <w:rsid w:val="00C5241F"/>
    <w:rsid w:val="00C5243E"/>
    <w:rsid w:val="00C524AA"/>
    <w:rsid w:val="00C52503"/>
    <w:rsid w:val="00C52625"/>
    <w:rsid w:val="00C527CC"/>
    <w:rsid w:val="00C52982"/>
    <w:rsid w:val="00C529BF"/>
    <w:rsid w:val="00C529CD"/>
    <w:rsid w:val="00C529DA"/>
    <w:rsid w:val="00C52B34"/>
    <w:rsid w:val="00C52CAD"/>
    <w:rsid w:val="00C5318C"/>
    <w:rsid w:val="00C532B3"/>
    <w:rsid w:val="00C53391"/>
    <w:rsid w:val="00C533A5"/>
    <w:rsid w:val="00C53434"/>
    <w:rsid w:val="00C534C8"/>
    <w:rsid w:val="00C53544"/>
    <w:rsid w:val="00C5354D"/>
    <w:rsid w:val="00C535C6"/>
    <w:rsid w:val="00C5381C"/>
    <w:rsid w:val="00C53851"/>
    <w:rsid w:val="00C5389A"/>
    <w:rsid w:val="00C53C0E"/>
    <w:rsid w:val="00C53CFD"/>
    <w:rsid w:val="00C54263"/>
    <w:rsid w:val="00C544E3"/>
    <w:rsid w:val="00C54A67"/>
    <w:rsid w:val="00C54A8F"/>
    <w:rsid w:val="00C54B02"/>
    <w:rsid w:val="00C54B2E"/>
    <w:rsid w:val="00C54CA5"/>
    <w:rsid w:val="00C54DB7"/>
    <w:rsid w:val="00C54DC8"/>
    <w:rsid w:val="00C54EE2"/>
    <w:rsid w:val="00C54F60"/>
    <w:rsid w:val="00C54F66"/>
    <w:rsid w:val="00C5503D"/>
    <w:rsid w:val="00C5509D"/>
    <w:rsid w:val="00C55204"/>
    <w:rsid w:val="00C552CF"/>
    <w:rsid w:val="00C553BE"/>
    <w:rsid w:val="00C55626"/>
    <w:rsid w:val="00C55654"/>
    <w:rsid w:val="00C558E5"/>
    <w:rsid w:val="00C55A36"/>
    <w:rsid w:val="00C55A59"/>
    <w:rsid w:val="00C55AE3"/>
    <w:rsid w:val="00C55B49"/>
    <w:rsid w:val="00C55E44"/>
    <w:rsid w:val="00C55E53"/>
    <w:rsid w:val="00C5600E"/>
    <w:rsid w:val="00C560F2"/>
    <w:rsid w:val="00C56170"/>
    <w:rsid w:val="00C56364"/>
    <w:rsid w:val="00C5639C"/>
    <w:rsid w:val="00C563B9"/>
    <w:rsid w:val="00C56504"/>
    <w:rsid w:val="00C5663E"/>
    <w:rsid w:val="00C566EF"/>
    <w:rsid w:val="00C56853"/>
    <w:rsid w:val="00C569D7"/>
    <w:rsid w:val="00C56CB8"/>
    <w:rsid w:val="00C56DDF"/>
    <w:rsid w:val="00C56E8F"/>
    <w:rsid w:val="00C56FC4"/>
    <w:rsid w:val="00C570BD"/>
    <w:rsid w:val="00C570F4"/>
    <w:rsid w:val="00C5729C"/>
    <w:rsid w:val="00C5733B"/>
    <w:rsid w:val="00C57599"/>
    <w:rsid w:val="00C5765D"/>
    <w:rsid w:val="00C576A4"/>
    <w:rsid w:val="00C576AA"/>
    <w:rsid w:val="00C576B0"/>
    <w:rsid w:val="00C5779B"/>
    <w:rsid w:val="00C577AD"/>
    <w:rsid w:val="00C5782E"/>
    <w:rsid w:val="00C579C1"/>
    <w:rsid w:val="00C57A4C"/>
    <w:rsid w:val="00C57CCE"/>
    <w:rsid w:val="00C57E00"/>
    <w:rsid w:val="00C57F00"/>
    <w:rsid w:val="00C60004"/>
    <w:rsid w:val="00C60023"/>
    <w:rsid w:val="00C600CF"/>
    <w:rsid w:val="00C60147"/>
    <w:rsid w:val="00C602BC"/>
    <w:rsid w:val="00C60466"/>
    <w:rsid w:val="00C605F7"/>
    <w:rsid w:val="00C607C5"/>
    <w:rsid w:val="00C609AB"/>
    <w:rsid w:val="00C60BAA"/>
    <w:rsid w:val="00C60D9B"/>
    <w:rsid w:val="00C60F3F"/>
    <w:rsid w:val="00C611EF"/>
    <w:rsid w:val="00C614A3"/>
    <w:rsid w:val="00C614C9"/>
    <w:rsid w:val="00C614F7"/>
    <w:rsid w:val="00C6150F"/>
    <w:rsid w:val="00C61763"/>
    <w:rsid w:val="00C61803"/>
    <w:rsid w:val="00C61A87"/>
    <w:rsid w:val="00C61B1C"/>
    <w:rsid w:val="00C61BB4"/>
    <w:rsid w:val="00C62034"/>
    <w:rsid w:val="00C6204F"/>
    <w:rsid w:val="00C620C1"/>
    <w:rsid w:val="00C62205"/>
    <w:rsid w:val="00C62308"/>
    <w:rsid w:val="00C6233E"/>
    <w:rsid w:val="00C6240C"/>
    <w:rsid w:val="00C62541"/>
    <w:rsid w:val="00C628EA"/>
    <w:rsid w:val="00C62A69"/>
    <w:rsid w:val="00C62C00"/>
    <w:rsid w:val="00C62E9E"/>
    <w:rsid w:val="00C62F13"/>
    <w:rsid w:val="00C62F18"/>
    <w:rsid w:val="00C634C9"/>
    <w:rsid w:val="00C635AF"/>
    <w:rsid w:val="00C63775"/>
    <w:rsid w:val="00C638FB"/>
    <w:rsid w:val="00C63C51"/>
    <w:rsid w:val="00C63D59"/>
    <w:rsid w:val="00C63D6C"/>
    <w:rsid w:val="00C63ED8"/>
    <w:rsid w:val="00C63F99"/>
    <w:rsid w:val="00C643A4"/>
    <w:rsid w:val="00C643A8"/>
    <w:rsid w:val="00C64575"/>
    <w:rsid w:val="00C645B8"/>
    <w:rsid w:val="00C6478A"/>
    <w:rsid w:val="00C648A9"/>
    <w:rsid w:val="00C648C8"/>
    <w:rsid w:val="00C64939"/>
    <w:rsid w:val="00C64944"/>
    <w:rsid w:val="00C6494A"/>
    <w:rsid w:val="00C64D54"/>
    <w:rsid w:val="00C64D90"/>
    <w:rsid w:val="00C64EAE"/>
    <w:rsid w:val="00C64ECD"/>
    <w:rsid w:val="00C64FFC"/>
    <w:rsid w:val="00C650C9"/>
    <w:rsid w:val="00C65190"/>
    <w:rsid w:val="00C651F2"/>
    <w:rsid w:val="00C652F9"/>
    <w:rsid w:val="00C6534E"/>
    <w:rsid w:val="00C655A1"/>
    <w:rsid w:val="00C65612"/>
    <w:rsid w:val="00C658A2"/>
    <w:rsid w:val="00C659E3"/>
    <w:rsid w:val="00C65AF0"/>
    <w:rsid w:val="00C65B20"/>
    <w:rsid w:val="00C65C35"/>
    <w:rsid w:val="00C65CC8"/>
    <w:rsid w:val="00C65CFC"/>
    <w:rsid w:val="00C65D04"/>
    <w:rsid w:val="00C65D44"/>
    <w:rsid w:val="00C65DC3"/>
    <w:rsid w:val="00C65EF0"/>
    <w:rsid w:val="00C65FCE"/>
    <w:rsid w:val="00C6601F"/>
    <w:rsid w:val="00C66296"/>
    <w:rsid w:val="00C662CD"/>
    <w:rsid w:val="00C662D9"/>
    <w:rsid w:val="00C662EA"/>
    <w:rsid w:val="00C66481"/>
    <w:rsid w:val="00C664F2"/>
    <w:rsid w:val="00C66578"/>
    <w:rsid w:val="00C666EF"/>
    <w:rsid w:val="00C668BB"/>
    <w:rsid w:val="00C668BF"/>
    <w:rsid w:val="00C668FB"/>
    <w:rsid w:val="00C66C04"/>
    <w:rsid w:val="00C66C6A"/>
    <w:rsid w:val="00C66CE8"/>
    <w:rsid w:val="00C66F7F"/>
    <w:rsid w:val="00C67082"/>
    <w:rsid w:val="00C670A8"/>
    <w:rsid w:val="00C670F1"/>
    <w:rsid w:val="00C672A4"/>
    <w:rsid w:val="00C673C4"/>
    <w:rsid w:val="00C673EB"/>
    <w:rsid w:val="00C67425"/>
    <w:rsid w:val="00C67458"/>
    <w:rsid w:val="00C675DF"/>
    <w:rsid w:val="00C67670"/>
    <w:rsid w:val="00C67743"/>
    <w:rsid w:val="00C677CB"/>
    <w:rsid w:val="00C67884"/>
    <w:rsid w:val="00C679C4"/>
    <w:rsid w:val="00C679E9"/>
    <w:rsid w:val="00C67A5D"/>
    <w:rsid w:val="00C67B88"/>
    <w:rsid w:val="00C67BF9"/>
    <w:rsid w:val="00C67FB0"/>
    <w:rsid w:val="00C67FF7"/>
    <w:rsid w:val="00C700BC"/>
    <w:rsid w:val="00C7021F"/>
    <w:rsid w:val="00C703B5"/>
    <w:rsid w:val="00C7055D"/>
    <w:rsid w:val="00C705A3"/>
    <w:rsid w:val="00C7070E"/>
    <w:rsid w:val="00C7079B"/>
    <w:rsid w:val="00C707B0"/>
    <w:rsid w:val="00C707FB"/>
    <w:rsid w:val="00C70835"/>
    <w:rsid w:val="00C7093C"/>
    <w:rsid w:val="00C70968"/>
    <w:rsid w:val="00C70A92"/>
    <w:rsid w:val="00C70BA0"/>
    <w:rsid w:val="00C70C33"/>
    <w:rsid w:val="00C70D05"/>
    <w:rsid w:val="00C70D12"/>
    <w:rsid w:val="00C70F9F"/>
    <w:rsid w:val="00C70FC7"/>
    <w:rsid w:val="00C71011"/>
    <w:rsid w:val="00C7103F"/>
    <w:rsid w:val="00C711AA"/>
    <w:rsid w:val="00C711BA"/>
    <w:rsid w:val="00C71262"/>
    <w:rsid w:val="00C712D0"/>
    <w:rsid w:val="00C713A1"/>
    <w:rsid w:val="00C7140A"/>
    <w:rsid w:val="00C71437"/>
    <w:rsid w:val="00C7159A"/>
    <w:rsid w:val="00C71678"/>
    <w:rsid w:val="00C717E5"/>
    <w:rsid w:val="00C717F0"/>
    <w:rsid w:val="00C718E1"/>
    <w:rsid w:val="00C71B2D"/>
    <w:rsid w:val="00C71DC6"/>
    <w:rsid w:val="00C71E98"/>
    <w:rsid w:val="00C721FE"/>
    <w:rsid w:val="00C7227E"/>
    <w:rsid w:val="00C7239D"/>
    <w:rsid w:val="00C723FA"/>
    <w:rsid w:val="00C725BB"/>
    <w:rsid w:val="00C72721"/>
    <w:rsid w:val="00C72764"/>
    <w:rsid w:val="00C72809"/>
    <w:rsid w:val="00C728C4"/>
    <w:rsid w:val="00C72A0B"/>
    <w:rsid w:val="00C7307B"/>
    <w:rsid w:val="00C731B2"/>
    <w:rsid w:val="00C7322D"/>
    <w:rsid w:val="00C735EE"/>
    <w:rsid w:val="00C73656"/>
    <w:rsid w:val="00C738C9"/>
    <w:rsid w:val="00C7399D"/>
    <w:rsid w:val="00C73AC6"/>
    <w:rsid w:val="00C73BD3"/>
    <w:rsid w:val="00C73CD4"/>
    <w:rsid w:val="00C73E26"/>
    <w:rsid w:val="00C73EB6"/>
    <w:rsid w:val="00C73FC6"/>
    <w:rsid w:val="00C73FF5"/>
    <w:rsid w:val="00C740A3"/>
    <w:rsid w:val="00C740D8"/>
    <w:rsid w:val="00C74298"/>
    <w:rsid w:val="00C743E9"/>
    <w:rsid w:val="00C7457C"/>
    <w:rsid w:val="00C745AC"/>
    <w:rsid w:val="00C7460E"/>
    <w:rsid w:val="00C7465A"/>
    <w:rsid w:val="00C7467F"/>
    <w:rsid w:val="00C746E8"/>
    <w:rsid w:val="00C746FE"/>
    <w:rsid w:val="00C74719"/>
    <w:rsid w:val="00C747C2"/>
    <w:rsid w:val="00C7482E"/>
    <w:rsid w:val="00C748B2"/>
    <w:rsid w:val="00C74B39"/>
    <w:rsid w:val="00C74BFB"/>
    <w:rsid w:val="00C7500A"/>
    <w:rsid w:val="00C751FC"/>
    <w:rsid w:val="00C7541F"/>
    <w:rsid w:val="00C756AF"/>
    <w:rsid w:val="00C756D6"/>
    <w:rsid w:val="00C75B64"/>
    <w:rsid w:val="00C75BAE"/>
    <w:rsid w:val="00C75BF6"/>
    <w:rsid w:val="00C75DB0"/>
    <w:rsid w:val="00C75F6D"/>
    <w:rsid w:val="00C76284"/>
    <w:rsid w:val="00C762F1"/>
    <w:rsid w:val="00C7639B"/>
    <w:rsid w:val="00C76515"/>
    <w:rsid w:val="00C766EF"/>
    <w:rsid w:val="00C769AF"/>
    <w:rsid w:val="00C769B2"/>
    <w:rsid w:val="00C76A71"/>
    <w:rsid w:val="00C76A8E"/>
    <w:rsid w:val="00C76B76"/>
    <w:rsid w:val="00C76C11"/>
    <w:rsid w:val="00C76FFC"/>
    <w:rsid w:val="00C770E7"/>
    <w:rsid w:val="00C773A9"/>
    <w:rsid w:val="00C773C5"/>
    <w:rsid w:val="00C77428"/>
    <w:rsid w:val="00C7745E"/>
    <w:rsid w:val="00C774F2"/>
    <w:rsid w:val="00C77700"/>
    <w:rsid w:val="00C7774B"/>
    <w:rsid w:val="00C77852"/>
    <w:rsid w:val="00C77AB6"/>
    <w:rsid w:val="00C77AD6"/>
    <w:rsid w:val="00C77C96"/>
    <w:rsid w:val="00C77E9A"/>
    <w:rsid w:val="00C77F4B"/>
    <w:rsid w:val="00C77F50"/>
    <w:rsid w:val="00C77F7E"/>
    <w:rsid w:val="00C797AA"/>
    <w:rsid w:val="00C801C1"/>
    <w:rsid w:val="00C80220"/>
    <w:rsid w:val="00C802AA"/>
    <w:rsid w:val="00C8035E"/>
    <w:rsid w:val="00C8045C"/>
    <w:rsid w:val="00C804ED"/>
    <w:rsid w:val="00C80614"/>
    <w:rsid w:val="00C80755"/>
    <w:rsid w:val="00C80866"/>
    <w:rsid w:val="00C80888"/>
    <w:rsid w:val="00C808D0"/>
    <w:rsid w:val="00C808EA"/>
    <w:rsid w:val="00C809EA"/>
    <w:rsid w:val="00C80BD8"/>
    <w:rsid w:val="00C80C4D"/>
    <w:rsid w:val="00C80CCB"/>
    <w:rsid w:val="00C80EEC"/>
    <w:rsid w:val="00C80F52"/>
    <w:rsid w:val="00C814FF"/>
    <w:rsid w:val="00C8156C"/>
    <w:rsid w:val="00C8158A"/>
    <w:rsid w:val="00C8158F"/>
    <w:rsid w:val="00C815E9"/>
    <w:rsid w:val="00C81639"/>
    <w:rsid w:val="00C8175B"/>
    <w:rsid w:val="00C81985"/>
    <w:rsid w:val="00C819A6"/>
    <w:rsid w:val="00C81AAE"/>
    <w:rsid w:val="00C81B0A"/>
    <w:rsid w:val="00C82029"/>
    <w:rsid w:val="00C82038"/>
    <w:rsid w:val="00C820A2"/>
    <w:rsid w:val="00C820F7"/>
    <w:rsid w:val="00C82184"/>
    <w:rsid w:val="00C82194"/>
    <w:rsid w:val="00C82288"/>
    <w:rsid w:val="00C823F2"/>
    <w:rsid w:val="00C825D9"/>
    <w:rsid w:val="00C82697"/>
    <w:rsid w:val="00C827A1"/>
    <w:rsid w:val="00C828A7"/>
    <w:rsid w:val="00C82943"/>
    <w:rsid w:val="00C82979"/>
    <w:rsid w:val="00C829F2"/>
    <w:rsid w:val="00C82A5D"/>
    <w:rsid w:val="00C82C15"/>
    <w:rsid w:val="00C82D15"/>
    <w:rsid w:val="00C82F03"/>
    <w:rsid w:val="00C82FC4"/>
    <w:rsid w:val="00C8312F"/>
    <w:rsid w:val="00C8314C"/>
    <w:rsid w:val="00C833D3"/>
    <w:rsid w:val="00C83403"/>
    <w:rsid w:val="00C8349A"/>
    <w:rsid w:val="00C83674"/>
    <w:rsid w:val="00C837D3"/>
    <w:rsid w:val="00C8384D"/>
    <w:rsid w:val="00C8387B"/>
    <w:rsid w:val="00C83A6E"/>
    <w:rsid w:val="00C83B48"/>
    <w:rsid w:val="00C83C30"/>
    <w:rsid w:val="00C83D0E"/>
    <w:rsid w:val="00C83D53"/>
    <w:rsid w:val="00C84076"/>
    <w:rsid w:val="00C8425B"/>
    <w:rsid w:val="00C84360"/>
    <w:rsid w:val="00C84407"/>
    <w:rsid w:val="00C84568"/>
    <w:rsid w:val="00C8497C"/>
    <w:rsid w:val="00C849ED"/>
    <w:rsid w:val="00C84A61"/>
    <w:rsid w:val="00C84C3D"/>
    <w:rsid w:val="00C84EAC"/>
    <w:rsid w:val="00C8502F"/>
    <w:rsid w:val="00C85193"/>
    <w:rsid w:val="00C851E7"/>
    <w:rsid w:val="00C85313"/>
    <w:rsid w:val="00C85363"/>
    <w:rsid w:val="00C853E8"/>
    <w:rsid w:val="00C855B1"/>
    <w:rsid w:val="00C859B4"/>
    <w:rsid w:val="00C85B85"/>
    <w:rsid w:val="00C85C59"/>
    <w:rsid w:val="00C85C86"/>
    <w:rsid w:val="00C85E9C"/>
    <w:rsid w:val="00C85EA7"/>
    <w:rsid w:val="00C85FC9"/>
    <w:rsid w:val="00C86030"/>
    <w:rsid w:val="00C862BA"/>
    <w:rsid w:val="00C862F4"/>
    <w:rsid w:val="00C864CB"/>
    <w:rsid w:val="00C86509"/>
    <w:rsid w:val="00C865C7"/>
    <w:rsid w:val="00C86690"/>
    <w:rsid w:val="00C86775"/>
    <w:rsid w:val="00C867D2"/>
    <w:rsid w:val="00C86866"/>
    <w:rsid w:val="00C86DA0"/>
    <w:rsid w:val="00C86FF1"/>
    <w:rsid w:val="00C870C7"/>
    <w:rsid w:val="00C871C4"/>
    <w:rsid w:val="00C87327"/>
    <w:rsid w:val="00C87614"/>
    <w:rsid w:val="00C876C4"/>
    <w:rsid w:val="00C879DB"/>
    <w:rsid w:val="00C87A1F"/>
    <w:rsid w:val="00C87A91"/>
    <w:rsid w:val="00C87C08"/>
    <w:rsid w:val="00C87C77"/>
    <w:rsid w:val="00C87D14"/>
    <w:rsid w:val="00C87D98"/>
    <w:rsid w:val="00C87EF3"/>
    <w:rsid w:val="00C90176"/>
    <w:rsid w:val="00C90309"/>
    <w:rsid w:val="00C90414"/>
    <w:rsid w:val="00C90561"/>
    <w:rsid w:val="00C909BC"/>
    <w:rsid w:val="00C90A2A"/>
    <w:rsid w:val="00C90BCC"/>
    <w:rsid w:val="00C90C6D"/>
    <w:rsid w:val="00C90C9E"/>
    <w:rsid w:val="00C90CD4"/>
    <w:rsid w:val="00C90DB1"/>
    <w:rsid w:val="00C90EC5"/>
    <w:rsid w:val="00C910D9"/>
    <w:rsid w:val="00C911F3"/>
    <w:rsid w:val="00C91278"/>
    <w:rsid w:val="00C912E2"/>
    <w:rsid w:val="00C913EF"/>
    <w:rsid w:val="00C914BB"/>
    <w:rsid w:val="00C91523"/>
    <w:rsid w:val="00C91568"/>
    <w:rsid w:val="00C915AD"/>
    <w:rsid w:val="00C91643"/>
    <w:rsid w:val="00C91680"/>
    <w:rsid w:val="00C9172F"/>
    <w:rsid w:val="00C919B4"/>
    <w:rsid w:val="00C91A2E"/>
    <w:rsid w:val="00C91AB9"/>
    <w:rsid w:val="00C91D4A"/>
    <w:rsid w:val="00C91E80"/>
    <w:rsid w:val="00C91E92"/>
    <w:rsid w:val="00C91F79"/>
    <w:rsid w:val="00C91F88"/>
    <w:rsid w:val="00C92048"/>
    <w:rsid w:val="00C92068"/>
    <w:rsid w:val="00C92186"/>
    <w:rsid w:val="00C921F5"/>
    <w:rsid w:val="00C925FE"/>
    <w:rsid w:val="00C9267E"/>
    <w:rsid w:val="00C9269B"/>
    <w:rsid w:val="00C926DA"/>
    <w:rsid w:val="00C92977"/>
    <w:rsid w:val="00C92DAD"/>
    <w:rsid w:val="00C92E7C"/>
    <w:rsid w:val="00C930E7"/>
    <w:rsid w:val="00C9327F"/>
    <w:rsid w:val="00C9337F"/>
    <w:rsid w:val="00C9342F"/>
    <w:rsid w:val="00C935D2"/>
    <w:rsid w:val="00C9362E"/>
    <w:rsid w:val="00C93689"/>
    <w:rsid w:val="00C9373B"/>
    <w:rsid w:val="00C93BD5"/>
    <w:rsid w:val="00C93C01"/>
    <w:rsid w:val="00C93CE2"/>
    <w:rsid w:val="00C93DD3"/>
    <w:rsid w:val="00C93E2C"/>
    <w:rsid w:val="00C93E48"/>
    <w:rsid w:val="00C941AE"/>
    <w:rsid w:val="00C941BD"/>
    <w:rsid w:val="00C9427B"/>
    <w:rsid w:val="00C94319"/>
    <w:rsid w:val="00C94523"/>
    <w:rsid w:val="00C945BA"/>
    <w:rsid w:val="00C9470D"/>
    <w:rsid w:val="00C9494F"/>
    <w:rsid w:val="00C94C82"/>
    <w:rsid w:val="00C94FE7"/>
    <w:rsid w:val="00C95429"/>
    <w:rsid w:val="00C9545B"/>
    <w:rsid w:val="00C958ED"/>
    <w:rsid w:val="00C959BC"/>
    <w:rsid w:val="00C959F6"/>
    <w:rsid w:val="00C95A9E"/>
    <w:rsid w:val="00C95D21"/>
    <w:rsid w:val="00C95E4F"/>
    <w:rsid w:val="00C95F0E"/>
    <w:rsid w:val="00C95FFA"/>
    <w:rsid w:val="00C96023"/>
    <w:rsid w:val="00C9604D"/>
    <w:rsid w:val="00C9616D"/>
    <w:rsid w:val="00C9616F"/>
    <w:rsid w:val="00C963BC"/>
    <w:rsid w:val="00C96506"/>
    <w:rsid w:val="00C96BD5"/>
    <w:rsid w:val="00C96C69"/>
    <w:rsid w:val="00C96CF7"/>
    <w:rsid w:val="00C96DC5"/>
    <w:rsid w:val="00C96F45"/>
    <w:rsid w:val="00C96FDC"/>
    <w:rsid w:val="00C96FDF"/>
    <w:rsid w:val="00C9710D"/>
    <w:rsid w:val="00C971C2"/>
    <w:rsid w:val="00C97257"/>
    <w:rsid w:val="00C97383"/>
    <w:rsid w:val="00C973BC"/>
    <w:rsid w:val="00C9750F"/>
    <w:rsid w:val="00C97543"/>
    <w:rsid w:val="00C975CF"/>
    <w:rsid w:val="00C97605"/>
    <w:rsid w:val="00C97621"/>
    <w:rsid w:val="00C977A5"/>
    <w:rsid w:val="00C97866"/>
    <w:rsid w:val="00C978D8"/>
    <w:rsid w:val="00C9794C"/>
    <w:rsid w:val="00C97A61"/>
    <w:rsid w:val="00C97AB5"/>
    <w:rsid w:val="00C97ABC"/>
    <w:rsid w:val="00C97B4C"/>
    <w:rsid w:val="00C97C8B"/>
    <w:rsid w:val="00C97D5D"/>
    <w:rsid w:val="00C97EDF"/>
    <w:rsid w:val="00C97F6D"/>
    <w:rsid w:val="00CA0372"/>
    <w:rsid w:val="00CA0440"/>
    <w:rsid w:val="00CA0511"/>
    <w:rsid w:val="00CA0513"/>
    <w:rsid w:val="00CA0525"/>
    <w:rsid w:val="00CA0552"/>
    <w:rsid w:val="00CA0606"/>
    <w:rsid w:val="00CA07E7"/>
    <w:rsid w:val="00CA0802"/>
    <w:rsid w:val="00CA093A"/>
    <w:rsid w:val="00CA0B3C"/>
    <w:rsid w:val="00CA0B5A"/>
    <w:rsid w:val="00CA0CF8"/>
    <w:rsid w:val="00CA0D58"/>
    <w:rsid w:val="00CA0DCF"/>
    <w:rsid w:val="00CA0EB4"/>
    <w:rsid w:val="00CA0F6C"/>
    <w:rsid w:val="00CA11BF"/>
    <w:rsid w:val="00CA1324"/>
    <w:rsid w:val="00CA14A0"/>
    <w:rsid w:val="00CA1753"/>
    <w:rsid w:val="00CA1760"/>
    <w:rsid w:val="00CA1AB7"/>
    <w:rsid w:val="00CA1B4C"/>
    <w:rsid w:val="00CA1BEA"/>
    <w:rsid w:val="00CA1D6A"/>
    <w:rsid w:val="00CA1E14"/>
    <w:rsid w:val="00CA1E6E"/>
    <w:rsid w:val="00CA1EA8"/>
    <w:rsid w:val="00CA1EFE"/>
    <w:rsid w:val="00CA209A"/>
    <w:rsid w:val="00CA230F"/>
    <w:rsid w:val="00CA23D3"/>
    <w:rsid w:val="00CA2413"/>
    <w:rsid w:val="00CA250E"/>
    <w:rsid w:val="00CA257F"/>
    <w:rsid w:val="00CA259B"/>
    <w:rsid w:val="00CA25BD"/>
    <w:rsid w:val="00CA2826"/>
    <w:rsid w:val="00CA2862"/>
    <w:rsid w:val="00CA28DF"/>
    <w:rsid w:val="00CA2AC8"/>
    <w:rsid w:val="00CA2AEE"/>
    <w:rsid w:val="00CA2BC4"/>
    <w:rsid w:val="00CA2ECE"/>
    <w:rsid w:val="00CA311D"/>
    <w:rsid w:val="00CA31FF"/>
    <w:rsid w:val="00CA32EC"/>
    <w:rsid w:val="00CA3479"/>
    <w:rsid w:val="00CA349D"/>
    <w:rsid w:val="00CA351E"/>
    <w:rsid w:val="00CA3612"/>
    <w:rsid w:val="00CA3683"/>
    <w:rsid w:val="00CA3855"/>
    <w:rsid w:val="00CA3BB4"/>
    <w:rsid w:val="00CA3D1C"/>
    <w:rsid w:val="00CA3E93"/>
    <w:rsid w:val="00CA3ED7"/>
    <w:rsid w:val="00CA416B"/>
    <w:rsid w:val="00CA4412"/>
    <w:rsid w:val="00CA4458"/>
    <w:rsid w:val="00CA4596"/>
    <w:rsid w:val="00CA4618"/>
    <w:rsid w:val="00CA470F"/>
    <w:rsid w:val="00CA4A8B"/>
    <w:rsid w:val="00CA4B4C"/>
    <w:rsid w:val="00CA4B8A"/>
    <w:rsid w:val="00CA4BBA"/>
    <w:rsid w:val="00CA4C52"/>
    <w:rsid w:val="00CA4E61"/>
    <w:rsid w:val="00CA5066"/>
    <w:rsid w:val="00CA52EB"/>
    <w:rsid w:val="00CA5489"/>
    <w:rsid w:val="00CA57C4"/>
    <w:rsid w:val="00CA58A1"/>
    <w:rsid w:val="00CA593A"/>
    <w:rsid w:val="00CA5C38"/>
    <w:rsid w:val="00CA5CAB"/>
    <w:rsid w:val="00CA5CE1"/>
    <w:rsid w:val="00CA5CE7"/>
    <w:rsid w:val="00CA5DE7"/>
    <w:rsid w:val="00CA5E84"/>
    <w:rsid w:val="00CA5FFC"/>
    <w:rsid w:val="00CA6083"/>
    <w:rsid w:val="00CA6254"/>
    <w:rsid w:val="00CA63BB"/>
    <w:rsid w:val="00CA64F3"/>
    <w:rsid w:val="00CA652D"/>
    <w:rsid w:val="00CA6728"/>
    <w:rsid w:val="00CA67A1"/>
    <w:rsid w:val="00CA67B9"/>
    <w:rsid w:val="00CA68D2"/>
    <w:rsid w:val="00CA69AF"/>
    <w:rsid w:val="00CA6AFD"/>
    <w:rsid w:val="00CA6B06"/>
    <w:rsid w:val="00CA6C93"/>
    <w:rsid w:val="00CA6D23"/>
    <w:rsid w:val="00CA6ED2"/>
    <w:rsid w:val="00CA6EEA"/>
    <w:rsid w:val="00CA6F07"/>
    <w:rsid w:val="00CA6F92"/>
    <w:rsid w:val="00CA7096"/>
    <w:rsid w:val="00CA71A4"/>
    <w:rsid w:val="00CA7595"/>
    <w:rsid w:val="00CA766B"/>
    <w:rsid w:val="00CA7730"/>
    <w:rsid w:val="00CA7739"/>
    <w:rsid w:val="00CA780B"/>
    <w:rsid w:val="00CA79B3"/>
    <w:rsid w:val="00CA7CC1"/>
    <w:rsid w:val="00CA7E31"/>
    <w:rsid w:val="00CA7F17"/>
    <w:rsid w:val="00CA7F6D"/>
    <w:rsid w:val="00CB00C9"/>
    <w:rsid w:val="00CB024B"/>
    <w:rsid w:val="00CB03E7"/>
    <w:rsid w:val="00CB04EF"/>
    <w:rsid w:val="00CB0579"/>
    <w:rsid w:val="00CB05EA"/>
    <w:rsid w:val="00CB06C1"/>
    <w:rsid w:val="00CB0904"/>
    <w:rsid w:val="00CB099C"/>
    <w:rsid w:val="00CB0A6B"/>
    <w:rsid w:val="00CB10FB"/>
    <w:rsid w:val="00CB1155"/>
    <w:rsid w:val="00CB11C4"/>
    <w:rsid w:val="00CB11C5"/>
    <w:rsid w:val="00CB11CB"/>
    <w:rsid w:val="00CB11E2"/>
    <w:rsid w:val="00CB125D"/>
    <w:rsid w:val="00CB1548"/>
    <w:rsid w:val="00CB16C6"/>
    <w:rsid w:val="00CB1836"/>
    <w:rsid w:val="00CB18F1"/>
    <w:rsid w:val="00CB1B0C"/>
    <w:rsid w:val="00CB1E17"/>
    <w:rsid w:val="00CB1E59"/>
    <w:rsid w:val="00CB1EEB"/>
    <w:rsid w:val="00CB1F1E"/>
    <w:rsid w:val="00CB2029"/>
    <w:rsid w:val="00CB202C"/>
    <w:rsid w:val="00CB212A"/>
    <w:rsid w:val="00CB22C2"/>
    <w:rsid w:val="00CB241B"/>
    <w:rsid w:val="00CB25CF"/>
    <w:rsid w:val="00CB274A"/>
    <w:rsid w:val="00CB29C4"/>
    <w:rsid w:val="00CB29E9"/>
    <w:rsid w:val="00CB2C0C"/>
    <w:rsid w:val="00CB2C2B"/>
    <w:rsid w:val="00CB2C5B"/>
    <w:rsid w:val="00CB2C5F"/>
    <w:rsid w:val="00CB2CB0"/>
    <w:rsid w:val="00CB2D52"/>
    <w:rsid w:val="00CB3124"/>
    <w:rsid w:val="00CB31E3"/>
    <w:rsid w:val="00CB33BE"/>
    <w:rsid w:val="00CB33D3"/>
    <w:rsid w:val="00CB3562"/>
    <w:rsid w:val="00CB36EA"/>
    <w:rsid w:val="00CB3748"/>
    <w:rsid w:val="00CB379B"/>
    <w:rsid w:val="00CB38F9"/>
    <w:rsid w:val="00CB392F"/>
    <w:rsid w:val="00CB3A0F"/>
    <w:rsid w:val="00CB3BB5"/>
    <w:rsid w:val="00CB3E57"/>
    <w:rsid w:val="00CB3F87"/>
    <w:rsid w:val="00CB3FDC"/>
    <w:rsid w:val="00CB4097"/>
    <w:rsid w:val="00CB41AF"/>
    <w:rsid w:val="00CB423F"/>
    <w:rsid w:val="00CB42E6"/>
    <w:rsid w:val="00CB42F0"/>
    <w:rsid w:val="00CB437A"/>
    <w:rsid w:val="00CB43BC"/>
    <w:rsid w:val="00CB4464"/>
    <w:rsid w:val="00CB44DA"/>
    <w:rsid w:val="00CB44DF"/>
    <w:rsid w:val="00CB4558"/>
    <w:rsid w:val="00CB45A4"/>
    <w:rsid w:val="00CB45AD"/>
    <w:rsid w:val="00CB4604"/>
    <w:rsid w:val="00CB477A"/>
    <w:rsid w:val="00CB483D"/>
    <w:rsid w:val="00CB48A8"/>
    <w:rsid w:val="00CB49F2"/>
    <w:rsid w:val="00CB4B18"/>
    <w:rsid w:val="00CB4C03"/>
    <w:rsid w:val="00CB4D75"/>
    <w:rsid w:val="00CB4E43"/>
    <w:rsid w:val="00CB4E55"/>
    <w:rsid w:val="00CB4E5B"/>
    <w:rsid w:val="00CB4E76"/>
    <w:rsid w:val="00CB4EF5"/>
    <w:rsid w:val="00CB4F20"/>
    <w:rsid w:val="00CB4FF1"/>
    <w:rsid w:val="00CB502D"/>
    <w:rsid w:val="00CB5045"/>
    <w:rsid w:val="00CB527F"/>
    <w:rsid w:val="00CB5378"/>
    <w:rsid w:val="00CB541F"/>
    <w:rsid w:val="00CB5494"/>
    <w:rsid w:val="00CB549C"/>
    <w:rsid w:val="00CB5527"/>
    <w:rsid w:val="00CB56D3"/>
    <w:rsid w:val="00CB56FD"/>
    <w:rsid w:val="00CB5925"/>
    <w:rsid w:val="00CB593D"/>
    <w:rsid w:val="00CB5950"/>
    <w:rsid w:val="00CB59B0"/>
    <w:rsid w:val="00CB5C8D"/>
    <w:rsid w:val="00CB5CA5"/>
    <w:rsid w:val="00CB5D63"/>
    <w:rsid w:val="00CB5E8C"/>
    <w:rsid w:val="00CB5EFE"/>
    <w:rsid w:val="00CB5F41"/>
    <w:rsid w:val="00CB5FC3"/>
    <w:rsid w:val="00CB60FA"/>
    <w:rsid w:val="00CB6157"/>
    <w:rsid w:val="00CB6321"/>
    <w:rsid w:val="00CB639E"/>
    <w:rsid w:val="00CB654F"/>
    <w:rsid w:val="00CB65A7"/>
    <w:rsid w:val="00CB6621"/>
    <w:rsid w:val="00CB664A"/>
    <w:rsid w:val="00CB6743"/>
    <w:rsid w:val="00CB67ED"/>
    <w:rsid w:val="00CB6912"/>
    <w:rsid w:val="00CB6A28"/>
    <w:rsid w:val="00CB6A30"/>
    <w:rsid w:val="00CB6A55"/>
    <w:rsid w:val="00CB6AFF"/>
    <w:rsid w:val="00CB6BDD"/>
    <w:rsid w:val="00CB6C2B"/>
    <w:rsid w:val="00CB6D85"/>
    <w:rsid w:val="00CB6EF0"/>
    <w:rsid w:val="00CB708A"/>
    <w:rsid w:val="00CB7263"/>
    <w:rsid w:val="00CB72C1"/>
    <w:rsid w:val="00CB72DB"/>
    <w:rsid w:val="00CB737F"/>
    <w:rsid w:val="00CB7403"/>
    <w:rsid w:val="00CB743F"/>
    <w:rsid w:val="00CB744B"/>
    <w:rsid w:val="00CB747A"/>
    <w:rsid w:val="00CB7511"/>
    <w:rsid w:val="00CB75AF"/>
    <w:rsid w:val="00CB760E"/>
    <w:rsid w:val="00CB7620"/>
    <w:rsid w:val="00CB7744"/>
    <w:rsid w:val="00CB7787"/>
    <w:rsid w:val="00CB78E4"/>
    <w:rsid w:val="00CB7CC2"/>
    <w:rsid w:val="00CB7D8B"/>
    <w:rsid w:val="00CB7FAA"/>
    <w:rsid w:val="00CC008C"/>
    <w:rsid w:val="00CC028E"/>
    <w:rsid w:val="00CC03C1"/>
    <w:rsid w:val="00CC04A9"/>
    <w:rsid w:val="00CC04BA"/>
    <w:rsid w:val="00CC0568"/>
    <w:rsid w:val="00CC0617"/>
    <w:rsid w:val="00CC08D2"/>
    <w:rsid w:val="00CC0936"/>
    <w:rsid w:val="00CC0AF6"/>
    <w:rsid w:val="00CC0B4A"/>
    <w:rsid w:val="00CC0C42"/>
    <w:rsid w:val="00CC0D65"/>
    <w:rsid w:val="00CC0DB1"/>
    <w:rsid w:val="00CC0F74"/>
    <w:rsid w:val="00CC0FBE"/>
    <w:rsid w:val="00CC10A1"/>
    <w:rsid w:val="00CC10CD"/>
    <w:rsid w:val="00CC1396"/>
    <w:rsid w:val="00CC13A0"/>
    <w:rsid w:val="00CC13A6"/>
    <w:rsid w:val="00CC14EC"/>
    <w:rsid w:val="00CC1741"/>
    <w:rsid w:val="00CC18DD"/>
    <w:rsid w:val="00CC1967"/>
    <w:rsid w:val="00CC19B1"/>
    <w:rsid w:val="00CC1A95"/>
    <w:rsid w:val="00CC1BBA"/>
    <w:rsid w:val="00CC1CC0"/>
    <w:rsid w:val="00CC1FBB"/>
    <w:rsid w:val="00CC2394"/>
    <w:rsid w:val="00CC241F"/>
    <w:rsid w:val="00CC24B2"/>
    <w:rsid w:val="00CC255C"/>
    <w:rsid w:val="00CC2693"/>
    <w:rsid w:val="00CC26A3"/>
    <w:rsid w:val="00CC2789"/>
    <w:rsid w:val="00CC2806"/>
    <w:rsid w:val="00CC28B8"/>
    <w:rsid w:val="00CC290D"/>
    <w:rsid w:val="00CC29A3"/>
    <w:rsid w:val="00CC2A10"/>
    <w:rsid w:val="00CC2A4F"/>
    <w:rsid w:val="00CC2B14"/>
    <w:rsid w:val="00CC2B5A"/>
    <w:rsid w:val="00CC2C17"/>
    <w:rsid w:val="00CC2C3E"/>
    <w:rsid w:val="00CC2DF3"/>
    <w:rsid w:val="00CC2EDA"/>
    <w:rsid w:val="00CC3003"/>
    <w:rsid w:val="00CC3197"/>
    <w:rsid w:val="00CC3301"/>
    <w:rsid w:val="00CC348B"/>
    <w:rsid w:val="00CC3755"/>
    <w:rsid w:val="00CC382D"/>
    <w:rsid w:val="00CC38AD"/>
    <w:rsid w:val="00CC3993"/>
    <w:rsid w:val="00CC39D5"/>
    <w:rsid w:val="00CC3AC1"/>
    <w:rsid w:val="00CC3B45"/>
    <w:rsid w:val="00CC3C31"/>
    <w:rsid w:val="00CC3CBC"/>
    <w:rsid w:val="00CC3FB4"/>
    <w:rsid w:val="00CC41B8"/>
    <w:rsid w:val="00CC43A4"/>
    <w:rsid w:val="00CC4494"/>
    <w:rsid w:val="00CC4905"/>
    <w:rsid w:val="00CC49F3"/>
    <w:rsid w:val="00CC4A05"/>
    <w:rsid w:val="00CC4C24"/>
    <w:rsid w:val="00CC4C9C"/>
    <w:rsid w:val="00CC4CC3"/>
    <w:rsid w:val="00CC4CCE"/>
    <w:rsid w:val="00CC4E72"/>
    <w:rsid w:val="00CC5091"/>
    <w:rsid w:val="00CC50E9"/>
    <w:rsid w:val="00CC517E"/>
    <w:rsid w:val="00CC531A"/>
    <w:rsid w:val="00CC5473"/>
    <w:rsid w:val="00CC561C"/>
    <w:rsid w:val="00CC56C3"/>
    <w:rsid w:val="00CC5911"/>
    <w:rsid w:val="00CC5B80"/>
    <w:rsid w:val="00CC5C58"/>
    <w:rsid w:val="00CC5C9D"/>
    <w:rsid w:val="00CC5C9F"/>
    <w:rsid w:val="00CC5D6B"/>
    <w:rsid w:val="00CC5D88"/>
    <w:rsid w:val="00CC5FBB"/>
    <w:rsid w:val="00CC605C"/>
    <w:rsid w:val="00CC60E6"/>
    <w:rsid w:val="00CC6241"/>
    <w:rsid w:val="00CC624E"/>
    <w:rsid w:val="00CC6311"/>
    <w:rsid w:val="00CC6325"/>
    <w:rsid w:val="00CC659E"/>
    <w:rsid w:val="00CC65CA"/>
    <w:rsid w:val="00CC6841"/>
    <w:rsid w:val="00CC6927"/>
    <w:rsid w:val="00CC692B"/>
    <w:rsid w:val="00CC692D"/>
    <w:rsid w:val="00CC69B3"/>
    <w:rsid w:val="00CC6B02"/>
    <w:rsid w:val="00CC6CD1"/>
    <w:rsid w:val="00CC6DAE"/>
    <w:rsid w:val="00CC6FDE"/>
    <w:rsid w:val="00CC7035"/>
    <w:rsid w:val="00CC7097"/>
    <w:rsid w:val="00CC70DC"/>
    <w:rsid w:val="00CC71B9"/>
    <w:rsid w:val="00CC73B9"/>
    <w:rsid w:val="00CC7407"/>
    <w:rsid w:val="00CC7482"/>
    <w:rsid w:val="00CC77CA"/>
    <w:rsid w:val="00CC78F9"/>
    <w:rsid w:val="00CC79B0"/>
    <w:rsid w:val="00CC79F3"/>
    <w:rsid w:val="00CC7A70"/>
    <w:rsid w:val="00CC7A76"/>
    <w:rsid w:val="00CC7ABD"/>
    <w:rsid w:val="00CC7B88"/>
    <w:rsid w:val="00CC7DDD"/>
    <w:rsid w:val="00CC7DF5"/>
    <w:rsid w:val="00CD007E"/>
    <w:rsid w:val="00CD0132"/>
    <w:rsid w:val="00CD0292"/>
    <w:rsid w:val="00CD02E0"/>
    <w:rsid w:val="00CD0325"/>
    <w:rsid w:val="00CD0329"/>
    <w:rsid w:val="00CD041B"/>
    <w:rsid w:val="00CD0559"/>
    <w:rsid w:val="00CD05F3"/>
    <w:rsid w:val="00CD0623"/>
    <w:rsid w:val="00CD0636"/>
    <w:rsid w:val="00CD069A"/>
    <w:rsid w:val="00CD06A8"/>
    <w:rsid w:val="00CD07F2"/>
    <w:rsid w:val="00CD0890"/>
    <w:rsid w:val="00CD0974"/>
    <w:rsid w:val="00CD0A04"/>
    <w:rsid w:val="00CD0AC9"/>
    <w:rsid w:val="00CD0B24"/>
    <w:rsid w:val="00CD0CBA"/>
    <w:rsid w:val="00CD0D3A"/>
    <w:rsid w:val="00CD0E73"/>
    <w:rsid w:val="00CD0E86"/>
    <w:rsid w:val="00CD0F48"/>
    <w:rsid w:val="00CD108D"/>
    <w:rsid w:val="00CD10D0"/>
    <w:rsid w:val="00CD10D3"/>
    <w:rsid w:val="00CD136D"/>
    <w:rsid w:val="00CD1641"/>
    <w:rsid w:val="00CD175A"/>
    <w:rsid w:val="00CD17D9"/>
    <w:rsid w:val="00CD1BD3"/>
    <w:rsid w:val="00CD1C62"/>
    <w:rsid w:val="00CD1E90"/>
    <w:rsid w:val="00CD1EF0"/>
    <w:rsid w:val="00CD1FD5"/>
    <w:rsid w:val="00CD1FDE"/>
    <w:rsid w:val="00CD2047"/>
    <w:rsid w:val="00CD21B2"/>
    <w:rsid w:val="00CD23E4"/>
    <w:rsid w:val="00CD2459"/>
    <w:rsid w:val="00CD248B"/>
    <w:rsid w:val="00CD2613"/>
    <w:rsid w:val="00CD27F8"/>
    <w:rsid w:val="00CD28EB"/>
    <w:rsid w:val="00CD2D34"/>
    <w:rsid w:val="00CD2E70"/>
    <w:rsid w:val="00CD2EEA"/>
    <w:rsid w:val="00CD2F78"/>
    <w:rsid w:val="00CD305F"/>
    <w:rsid w:val="00CD312B"/>
    <w:rsid w:val="00CD335D"/>
    <w:rsid w:val="00CD342F"/>
    <w:rsid w:val="00CD344A"/>
    <w:rsid w:val="00CD34AA"/>
    <w:rsid w:val="00CD3506"/>
    <w:rsid w:val="00CD36E2"/>
    <w:rsid w:val="00CD3871"/>
    <w:rsid w:val="00CD3972"/>
    <w:rsid w:val="00CD3AE8"/>
    <w:rsid w:val="00CD3B3A"/>
    <w:rsid w:val="00CD3B71"/>
    <w:rsid w:val="00CD3B94"/>
    <w:rsid w:val="00CD3BAD"/>
    <w:rsid w:val="00CD3BB4"/>
    <w:rsid w:val="00CD3CC9"/>
    <w:rsid w:val="00CD3EF6"/>
    <w:rsid w:val="00CD4061"/>
    <w:rsid w:val="00CD40A2"/>
    <w:rsid w:val="00CD40F5"/>
    <w:rsid w:val="00CD414D"/>
    <w:rsid w:val="00CD428B"/>
    <w:rsid w:val="00CD43FD"/>
    <w:rsid w:val="00CD44D5"/>
    <w:rsid w:val="00CD450F"/>
    <w:rsid w:val="00CD4618"/>
    <w:rsid w:val="00CD4781"/>
    <w:rsid w:val="00CD4A74"/>
    <w:rsid w:val="00CD4CD1"/>
    <w:rsid w:val="00CD4CDC"/>
    <w:rsid w:val="00CD4F82"/>
    <w:rsid w:val="00CD5016"/>
    <w:rsid w:val="00CD5021"/>
    <w:rsid w:val="00CD5044"/>
    <w:rsid w:val="00CD5204"/>
    <w:rsid w:val="00CD5302"/>
    <w:rsid w:val="00CD546E"/>
    <w:rsid w:val="00CD548C"/>
    <w:rsid w:val="00CD54C4"/>
    <w:rsid w:val="00CD54F7"/>
    <w:rsid w:val="00CD54FA"/>
    <w:rsid w:val="00CD55CE"/>
    <w:rsid w:val="00CD5835"/>
    <w:rsid w:val="00CD5890"/>
    <w:rsid w:val="00CD59D5"/>
    <w:rsid w:val="00CD5A7C"/>
    <w:rsid w:val="00CD5A92"/>
    <w:rsid w:val="00CD5AFA"/>
    <w:rsid w:val="00CD5D2F"/>
    <w:rsid w:val="00CD5D8D"/>
    <w:rsid w:val="00CD60F5"/>
    <w:rsid w:val="00CD6124"/>
    <w:rsid w:val="00CD6221"/>
    <w:rsid w:val="00CD6523"/>
    <w:rsid w:val="00CD66A7"/>
    <w:rsid w:val="00CD6755"/>
    <w:rsid w:val="00CD68F4"/>
    <w:rsid w:val="00CD6989"/>
    <w:rsid w:val="00CD6A50"/>
    <w:rsid w:val="00CD6B61"/>
    <w:rsid w:val="00CD6BBA"/>
    <w:rsid w:val="00CD6BDE"/>
    <w:rsid w:val="00CD6C18"/>
    <w:rsid w:val="00CD6D0C"/>
    <w:rsid w:val="00CD7391"/>
    <w:rsid w:val="00CD75D9"/>
    <w:rsid w:val="00CD75E4"/>
    <w:rsid w:val="00CD761E"/>
    <w:rsid w:val="00CD7A3D"/>
    <w:rsid w:val="00CD7DC3"/>
    <w:rsid w:val="00CD7F0E"/>
    <w:rsid w:val="00CD7F47"/>
    <w:rsid w:val="00CE0274"/>
    <w:rsid w:val="00CE032C"/>
    <w:rsid w:val="00CE0410"/>
    <w:rsid w:val="00CE046A"/>
    <w:rsid w:val="00CE0572"/>
    <w:rsid w:val="00CE0579"/>
    <w:rsid w:val="00CE066B"/>
    <w:rsid w:val="00CE076E"/>
    <w:rsid w:val="00CE08E8"/>
    <w:rsid w:val="00CE0925"/>
    <w:rsid w:val="00CE0A94"/>
    <w:rsid w:val="00CE0B9C"/>
    <w:rsid w:val="00CE0BC4"/>
    <w:rsid w:val="00CE0CF1"/>
    <w:rsid w:val="00CE0FAC"/>
    <w:rsid w:val="00CE0FF2"/>
    <w:rsid w:val="00CE101B"/>
    <w:rsid w:val="00CE10ED"/>
    <w:rsid w:val="00CE1194"/>
    <w:rsid w:val="00CE1257"/>
    <w:rsid w:val="00CE1283"/>
    <w:rsid w:val="00CE1408"/>
    <w:rsid w:val="00CE15F6"/>
    <w:rsid w:val="00CE1617"/>
    <w:rsid w:val="00CE1767"/>
    <w:rsid w:val="00CE17FB"/>
    <w:rsid w:val="00CE1831"/>
    <w:rsid w:val="00CE183B"/>
    <w:rsid w:val="00CE18AF"/>
    <w:rsid w:val="00CE19E9"/>
    <w:rsid w:val="00CE1AAF"/>
    <w:rsid w:val="00CE1BEB"/>
    <w:rsid w:val="00CE1E33"/>
    <w:rsid w:val="00CE1F3A"/>
    <w:rsid w:val="00CE1FD6"/>
    <w:rsid w:val="00CE20C0"/>
    <w:rsid w:val="00CE222E"/>
    <w:rsid w:val="00CE22C3"/>
    <w:rsid w:val="00CE22FC"/>
    <w:rsid w:val="00CE27EE"/>
    <w:rsid w:val="00CE2A1C"/>
    <w:rsid w:val="00CE2ABA"/>
    <w:rsid w:val="00CE2BD8"/>
    <w:rsid w:val="00CE2CFE"/>
    <w:rsid w:val="00CE2D02"/>
    <w:rsid w:val="00CE2DA0"/>
    <w:rsid w:val="00CE2DFB"/>
    <w:rsid w:val="00CE2E95"/>
    <w:rsid w:val="00CE2F24"/>
    <w:rsid w:val="00CE3167"/>
    <w:rsid w:val="00CE32BB"/>
    <w:rsid w:val="00CE32FC"/>
    <w:rsid w:val="00CE34CE"/>
    <w:rsid w:val="00CE351C"/>
    <w:rsid w:val="00CE360F"/>
    <w:rsid w:val="00CE372E"/>
    <w:rsid w:val="00CE3749"/>
    <w:rsid w:val="00CE376E"/>
    <w:rsid w:val="00CE384B"/>
    <w:rsid w:val="00CE389A"/>
    <w:rsid w:val="00CE39EE"/>
    <w:rsid w:val="00CE3AE8"/>
    <w:rsid w:val="00CE3C1A"/>
    <w:rsid w:val="00CE3CD5"/>
    <w:rsid w:val="00CE3E40"/>
    <w:rsid w:val="00CE4061"/>
    <w:rsid w:val="00CE4112"/>
    <w:rsid w:val="00CE426B"/>
    <w:rsid w:val="00CE42AD"/>
    <w:rsid w:val="00CE441E"/>
    <w:rsid w:val="00CE44C1"/>
    <w:rsid w:val="00CE4519"/>
    <w:rsid w:val="00CE4655"/>
    <w:rsid w:val="00CE47B9"/>
    <w:rsid w:val="00CE4920"/>
    <w:rsid w:val="00CE493B"/>
    <w:rsid w:val="00CE4946"/>
    <w:rsid w:val="00CE4A34"/>
    <w:rsid w:val="00CE4A4A"/>
    <w:rsid w:val="00CE4BC0"/>
    <w:rsid w:val="00CE4D24"/>
    <w:rsid w:val="00CE4DE8"/>
    <w:rsid w:val="00CE4E92"/>
    <w:rsid w:val="00CE4ED8"/>
    <w:rsid w:val="00CE50E0"/>
    <w:rsid w:val="00CE50E3"/>
    <w:rsid w:val="00CE5133"/>
    <w:rsid w:val="00CE5659"/>
    <w:rsid w:val="00CE5773"/>
    <w:rsid w:val="00CE5BFA"/>
    <w:rsid w:val="00CE5F3E"/>
    <w:rsid w:val="00CE6121"/>
    <w:rsid w:val="00CE6152"/>
    <w:rsid w:val="00CE6252"/>
    <w:rsid w:val="00CE6271"/>
    <w:rsid w:val="00CE6349"/>
    <w:rsid w:val="00CE6395"/>
    <w:rsid w:val="00CE63EC"/>
    <w:rsid w:val="00CE63F1"/>
    <w:rsid w:val="00CE6403"/>
    <w:rsid w:val="00CE6501"/>
    <w:rsid w:val="00CE66B2"/>
    <w:rsid w:val="00CE66E8"/>
    <w:rsid w:val="00CE6715"/>
    <w:rsid w:val="00CE67B2"/>
    <w:rsid w:val="00CE67BE"/>
    <w:rsid w:val="00CE681B"/>
    <w:rsid w:val="00CE69C6"/>
    <w:rsid w:val="00CE6BB9"/>
    <w:rsid w:val="00CE6E25"/>
    <w:rsid w:val="00CE6EA5"/>
    <w:rsid w:val="00CE6EE8"/>
    <w:rsid w:val="00CE6EF3"/>
    <w:rsid w:val="00CE7046"/>
    <w:rsid w:val="00CE71EA"/>
    <w:rsid w:val="00CE7345"/>
    <w:rsid w:val="00CE74A9"/>
    <w:rsid w:val="00CE7526"/>
    <w:rsid w:val="00CE761F"/>
    <w:rsid w:val="00CE762E"/>
    <w:rsid w:val="00CE77AC"/>
    <w:rsid w:val="00CE7993"/>
    <w:rsid w:val="00CE7A4D"/>
    <w:rsid w:val="00CE7A8C"/>
    <w:rsid w:val="00CE7C66"/>
    <w:rsid w:val="00CE7E58"/>
    <w:rsid w:val="00CE7FF2"/>
    <w:rsid w:val="00CF0010"/>
    <w:rsid w:val="00CF0208"/>
    <w:rsid w:val="00CF028C"/>
    <w:rsid w:val="00CF0488"/>
    <w:rsid w:val="00CF0602"/>
    <w:rsid w:val="00CF0B23"/>
    <w:rsid w:val="00CF0B34"/>
    <w:rsid w:val="00CF0BDF"/>
    <w:rsid w:val="00CF0C88"/>
    <w:rsid w:val="00CF0E12"/>
    <w:rsid w:val="00CF0E48"/>
    <w:rsid w:val="00CF0EB1"/>
    <w:rsid w:val="00CF0F2B"/>
    <w:rsid w:val="00CF106C"/>
    <w:rsid w:val="00CF114B"/>
    <w:rsid w:val="00CF118D"/>
    <w:rsid w:val="00CF1490"/>
    <w:rsid w:val="00CF1628"/>
    <w:rsid w:val="00CF16DA"/>
    <w:rsid w:val="00CF1823"/>
    <w:rsid w:val="00CF1832"/>
    <w:rsid w:val="00CF1881"/>
    <w:rsid w:val="00CF199F"/>
    <w:rsid w:val="00CF1A18"/>
    <w:rsid w:val="00CF1AA2"/>
    <w:rsid w:val="00CF1B50"/>
    <w:rsid w:val="00CF1DC5"/>
    <w:rsid w:val="00CF1EC4"/>
    <w:rsid w:val="00CF1F1A"/>
    <w:rsid w:val="00CF1F5F"/>
    <w:rsid w:val="00CF2056"/>
    <w:rsid w:val="00CF20B3"/>
    <w:rsid w:val="00CF229E"/>
    <w:rsid w:val="00CF2303"/>
    <w:rsid w:val="00CF23E2"/>
    <w:rsid w:val="00CF243B"/>
    <w:rsid w:val="00CF2479"/>
    <w:rsid w:val="00CF2578"/>
    <w:rsid w:val="00CF2592"/>
    <w:rsid w:val="00CF2686"/>
    <w:rsid w:val="00CF26EB"/>
    <w:rsid w:val="00CF26FC"/>
    <w:rsid w:val="00CF277C"/>
    <w:rsid w:val="00CF28D2"/>
    <w:rsid w:val="00CF29DE"/>
    <w:rsid w:val="00CF2B50"/>
    <w:rsid w:val="00CF2F29"/>
    <w:rsid w:val="00CF2F72"/>
    <w:rsid w:val="00CF2FFE"/>
    <w:rsid w:val="00CF31D6"/>
    <w:rsid w:val="00CF3288"/>
    <w:rsid w:val="00CF34BD"/>
    <w:rsid w:val="00CF352A"/>
    <w:rsid w:val="00CF353D"/>
    <w:rsid w:val="00CF3545"/>
    <w:rsid w:val="00CF3555"/>
    <w:rsid w:val="00CF375D"/>
    <w:rsid w:val="00CF38ED"/>
    <w:rsid w:val="00CF3B15"/>
    <w:rsid w:val="00CF3C3E"/>
    <w:rsid w:val="00CF3D1A"/>
    <w:rsid w:val="00CF3D80"/>
    <w:rsid w:val="00CF3DB4"/>
    <w:rsid w:val="00CF3F80"/>
    <w:rsid w:val="00CF407A"/>
    <w:rsid w:val="00CF433E"/>
    <w:rsid w:val="00CF452A"/>
    <w:rsid w:val="00CF4617"/>
    <w:rsid w:val="00CF4695"/>
    <w:rsid w:val="00CF4878"/>
    <w:rsid w:val="00CF4FF6"/>
    <w:rsid w:val="00CF51F7"/>
    <w:rsid w:val="00CF52EB"/>
    <w:rsid w:val="00CF5355"/>
    <w:rsid w:val="00CF559D"/>
    <w:rsid w:val="00CF55C4"/>
    <w:rsid w:val="00CF55FE"/>
    <w:rsid w:val="00CF564A"/>
    <w:rsid w:val="00CF5687"/>
    <w:rsid w:val="00CF56D7"/>
    <w:rsid w:val="00CF5706"/>
    <w:rsid w:val="00CF57A9"/>
    <w:rsid w:val="00CF57B1"/>
    <w:rsid w:val="00CF5809"/>
    <w:rsid w:val="00CF5B6F"/>
    <w:rsid w:val="00CF5BAC"/>
    <w:rsid w:val="00CF5C45"/>
    <w:rsid w:val="00CF5C54"/>
    <w:rsid w:val="00CF630F"/>
    <w:rsid w:val="00CF64C3"/>
    <w:rsid w:val="00CF6718"/>
    <w:rsid w:val="00CF67A1"/>
    <w:rsid w:val="00CF682E"/>
    <w:rsid w:val="00CF6852"/>
    <w:rsid w:val="00CF6914"/>
    <w:rsid w:val="00CF6C42"/>
    <w:rsid w:val="00CF6D80"/>
    <w:rsid w:val="00CF6EBB"/>
    <w:rsid w:val="00CF7234"/>
    <w:rsid w:val="00CF7342"/>
    <w:rsid w:val="00CF7368"/>
    <w:rsid w:val="00CF73B0"/>
    <w:rsid w:val="00CF7666"/>
    <w:rsid w:val="00CF775D"/>
    <w:rsid w:val="00CF77D3"/>
    <w:rsid w:val="00CF7830"/>
    <w:rsid w:val="00CF79AB"/>
    <w:rsid w:val="00CF79C0"/>
    <w:rsid w:val="00CF7B1B"/>
    <w:rsid w:val="00CF7B9E"/>
    <w:rsid w:val="00CF7DE2"/>
    <w:rsid w:val="00CF7E1F"/>
    <w:rsid w:val="00CF7FCF"/>
    <w:rsid w:val="00D00081"/>
    <w:rsid w:val="00D00120"/>
    <w:rsid w:val="00D00168"/>
    <w:rsid w:val="00D00274"/>
    <w:rsid w:val="00D002BC"/>
    <w:rsid w:val="00D002EB"/>
    <w:rsid w:val="00D00372"/>
    <w:rsid w:val="00D003F3"/>
    <w:rsid w:val="00D00474"/>
    <w:rsid w:val="00D0051F"/>
    <w:rsid w:val="00D0052F"/>
    <w:rsid w:val="00D00580"/>
    <w:rsid w:val="00D005B8"/>
    <w:rsid w:val="00D00736"/>
    <w:rsid w:val="00D007D7"/>
    <w:rsid w:val="00D00802"/>
    <w:rsid w:val="00D00A0D"/>
    <w:rsid w:val="00D00A7C"/>
    <w:rsid w:val="00D00B08"/>
    <w:rsid w:val="00D00C5D"/>
    <w:rsid w:val="00D00C91"/>
    <w:rsid w:val="00D00D31"/>
    <w:rsid w:val="00D012AC"/>
    <w:rsid w:val="00D013A1"/>
    <w:rsid w:val="00D0148A"/>
    <w:rsid w:val="00D014F7"/>
    <w:rsid w:val="00D01655"/>
    <w:rsid w:val="00D0168E"/>
    <w:rsid w:val="00D0170A"/>
    <w:rsid w:val="00D01759"/>
    <w:rsid w:val="00D01783"/>
    <w:rsid w:val="00D01827"/>
    <w:rsid w:val="00D0187D"/>
    <w:rsid w:val="00D018D6"/>
    <w:rsid w:val="00D01A56"/>
    <w:rsid w:val="00D01A79"/>
    <w:rsid w:val="00D02455"/>
    <w:rsid w:val="00D02549"/>
    <w:rsid w:val="00D026CB"/>
    <w:rsid w:val="00D0279C"/>
    <w:rsid w:val="00D027CC"/>
    <w:rsid w:val="00D02884"/>
    <w:rsid w:val="00D02D8B"/>
    <w:rsid w:val="00D02EEA"/>
    <w:rsid w:val="00D02EF2"/>
    <w:rsid w:val="00D02FD7"/>
    <w:rsid w:val="00D030D0"/>
    <w:rsid w:val="00D03349"/>
    <w:rsid w:val="00D0336F"/>
    <w:rsid w:val="00D03381"/>
    <w:rsid w:val="00D03388"/>
    <w:rsid w:val="00D03397"/>
    <w:rsid w:val="00D033E8"/>
    <w:rsid w:val="00D0363F"/>
    <w:rsid w:val="00D03694"/>
    <w:rsid w:val="00D03695"/>
    <w:rsid w:val="00D038BF"/>
    <w:rsid w:val="00D039B1"/>
    <w:rsid w:val="00D03A07"/>
    <w:rsid w:val="00D03B45"/>
    <w:rsid w:val="00D03CB3"/>
    <w:rsid w:val="00D03E3E"/>
    <w:rsid w:val="00D03FF1"/>
    <w:rsid w:val="00D04385"/>
    <w:rsid w:val="00D043CA"/>
    <w:rsid w:val="00D04452"/>
    <w:rsid w:val="00D046CB"/>
    <w:rsid w:val="00D0471A"/>
    <w:rsid w:val="00D048DA"/>
    <w:rsid w:val="00D049D8"/>
    <w:rsid w:val="00D04A8F"/>
    <w:rsid w:val="00D04B0B"/>
    <w:rsid w:val="00D04CD4"/>
    <w:rsid w:val="00D04E03"/>
    <w:rsid w:val="00D05037"/>
    <w:rsid w:val="00D05090"/>
    <w:rsid w:val="00D050A8"/>
    <w:rsid w:val="00D051A0"/>
    <w:rsid w:val="00D05291"/>
    <w:rsid w:val="00D052F4"/>
    <w:rsid w:val="00D0543B"/>
    <w:rsid w:val="00D055BD"/>
    <w:rsid w:val="00D0569A"/>
    <w:rsid w:val="00D05739"/>
    <w:rsid w:val="00D0575A"/>
    <w:rsid w:val="00D057D2"/>
    <w:rsid w:val="00D057EF"/>
    <w:rsid w:val="00D05836"/>
    <w:rsid w:val="00D05AAB"/>
    <w:rsid w:val="00D05B5A"/>
    <w:rsid w:val="00D05EDE"/>
    <w:rsid w:val="00D05FD5"/>
    <w:rsid w:val="00D0603B"/>
    <w:rsid w:val="00D060BF"/>
    <w:rsid w:val="00D063EA"/>
    <w:rsid w:val="00D06502"/>
    <w:rsid w:val="00D0656B"/>
    <w:rsid w:val="00D0678D"/>
    <w:rsid w:val="00D06926"/>
    <w:rsid w:val="00D06962"/>
    <w:rsid w:val="00D06B7F"/>
    <w:rsid w:val="00D06BEA"/>
    <w:rsid w:val="00D06DD1"/>
    <w:rsid w:val="00D06E71"/>
    <w:rsid w:val="00D07052"/>
    <w:rsid w:val="00D07084"/>
    <w:rsid w:val="00D071E6"/>
    <w:rsid w:val="00D07287"/>
    <w:rsid w:val="00D072BE"/>
    <w:rsid w:val="00D07367"/>
    <w:rsid w:val="00D0741A"/>
    <w:rsid w:val="00D074A6"/>
    <w:rsid w:val="00D074F7"/>
    <w:rsid w:val="00D07703"/>
    <w:rsid w:val="00D07817"/>
    <w:rsid w:val="00D0797D"/>
    <w:rsid w:val="00D07BB4"/>
    <w:rsid w:val="00D07BEE"/>
    <w:rsid w:val="00D07D6C"/>
    <w:rsid w:val="00D07DF6"/>
    <w:rsid w:val="00D07EB4"/>
    <w:rsid w:val="00D10055"/>
    <w:rsid w:val="00D1019B"/>
    <w:rsid w:val="00D1023D"/>
    <w:rsid w:val="00D105B1"/>
    <w:rsid w:val="00D106EE"/>
    <w:rsid w:val="00D106F2"/>
    <w:rsid w:val="00D10761"/>
    <w:rsid w:val="00D10AC2"/>
    <w:rsid w:val="00D10B49"/>
    <w:rsid w:val="00D10B6F"/>
    <w:rsid w:val="00D10C63"/>
    <w:rsid w:val="00D10D87"/>
    <w:rsid w:val="00D10EE9"/>
    <w:rsid w:val="00D10FC3"/>
    <w:rsid w:val="00D11088"/>
    <w:rsid w:val="00D114B1"/>
    <w:rsid w:val="00D1193C"/>
    <w:rsid w:val="00D11A31"/>
    <w:rsid w:val="00D11BCE"/>
    <w:rsid w:val="00D11C67"/>
    <w:rsid w:val="00D11EE7"/>
    <w:rsid w:val="00D1229F"/>
    <w:rsid w:val="00D1236A"/>
    <w:rsid w:val="00D124FC"/>
    <w:rsid w:val="00D12858"/>
    <w:rsid w:val="00D128EE"/>
    <w:rsid w:val="00D12E0E"/>
    <w:rsid w:val="00D12E16"/>
    <w:rsid w:val="00D12E47"/>
    <w:rsid w:val="00D12F61"/>
    <w:rsid w:val="00D12FC4"/>
    <w:rsid w:val="00D13032"/>
    <w:rsid w:val="00D13069"/>
    <w:rsid w:val="00D132F9"/>
    <w:rsid w:val="00D133B5"/>
    <w:rsid w:val="00D1341F"/>
    <w:rsid w:val="00D138E8"/>
    <w:rsid w:val="00D13949"/>
    <w:rsid w:val="00D139CB"/>
    <w:rsid w:val="00D13B2F"/>
    <w:rsid w:val="00D13BA4"/>
    <w:rsid w:val="00D13DEE"/>
    <w:rsid w:val="00D13F03"/>
    <w:rsid w:val="00D140A2"/>
    <w:rsid w:val="00D141C1"/>
    <w:rsid w:val="00D141F8"/>
    <w:rsid w:val="00D142CD"/>
    <w:rsid w:val="00D1441F"/>
    <w:rsid w:val="00D1453B"/>
    <w:rsid w:val="00D145A2"/>
    <w:rsid w:val="00D147D7"/>
    <w:rsid w:val="00D148EC"/>
    <w:rsid w:val="00D14923"/>
    <w:rsid w:val="00D149EA"/>
    <w:rsid w:val="00D14A85"/>
    <w:rsid w:val="00D14A86"/>
    <w:rsid w:val="00D14AF3"/>
    <w:rsid w:val="00D14B06"/>
    <w:rsid w:val="00D14C7A"/>
    <w:rsid w:val="00D14D56"/>
    <w:rsid w:val="00D14F83"/>
    <w:rsid w:val="00D15072"/>
    <w:rsid w:val="00D1526F"/>
    <w:rsid w:val="00D15433"/>
    <w:rsid w:val="00D1558D"/>
    <w:rsid w:val="00D156E2"/>
    <w:rsid w:val="00D15715"/>
    <w:rsid w:val="00D15763"/>
    <w:rsid w:val="00D158A0"/>
    <w:rsid w:val="00D158CE"/>
    <w:rsid w:val="00D15AB2"/>
    <w:rsid w:val="00D15AB3"/>
    <w:rsid w:val="00D15B0A"/>
    <w:rsid w:val="00D15C04"/>
    <w:rsid w:val="00D15D62"/>
    <w:rsid w:val="00D15DD6"/>
    <w:rsid w:val="00D15E9F"/>
    <w:rsid w:val="00D15F22"/>
    <w:rsid w:val="00D16028"/>
    <w:rsid w:val="00D162BC"/>
    <w:rsid w:val="00D16315"/>
    <w:rsid w:val="00D16354"/>
    <w:rsid w:val="00D163BC"/>
    <w:rsid w:val="00D1653C"/>
    <w:rsid w:val="00D165C1"/>
    <w:rsid w:val="00D16610"/>
    <w:rsid w:val="00D166CE"/>
    <w:rsid w:val="00D166F0"/>
    <w:rsid w:val="00D1673A"/>
    <w:rsid w:val="00D16A09"/>
    <w:rsid w:val="00D16A68"/>
    <w:rsid w:val="00D16AF0"/>
    <w:rsid w:val="00D16B0F"/>
    <w:rsid w:val="00D16BF5"/>
    <w:rsid w:val="00D16CF1"/>
    <w:rsid w:val="00D16E98"/>
    <w:rsid w:val="00D1715F"/>
    <w:rsid w:val="00D17198"/>
    <w:rsid w:val="00D171C7"/>
    <w:rsid w:val="00D17523"/>
    <w:rsid w:val="00D17545"/>
    <w:rsid w:val="00D17835"/>
    <w:rsid w:val="00D1783E"/>
    <w:rsid w:val="00D17894"/>
    <w:rsid w:val="00D1789E"/>
    <w:rsid w:val="00D17C06"/>
    <w:rsid w:val="00D17C77"/>
    <w:rsid w:val="00D17CA9"/>
    <w:rsid w:val="00D17E61"/>
    <w:rsid w:val="00D20007"/>
    <w:rsid w:val="00D20145"/>
    <w:rsid w:val="00D20230"/>
    <w:rsid w:val="00D205B0"/>
    <w:rsid w:val="00D208ED"/>
    <w:rsid w:val="00D20916"/>
    <w:rsid w:val="00D20924"/>
    <w:rsid w:val="00D20AEE"/>
    <w:rsid w:val="00D20B40"/>
    <w:rsid w:val="00D20B66"/>
    <w:rsid w:val="00D20C1E"/>
    <w:rsid w:val="00D20C85"/>
    <w:rsid w:val="00D20DA7"/>
    <w:rsid w:val="00D20DC2"/>
    <w:rsid w:val="00D20FF1"/>
    <w:rsid w:val="00D2112D"/>
    <w:rsid w:val="00D2117A"/>
    <w:rsid w:val="00D213E4"/>
    <w:rsid w:val="00D21437"/>
    <w:rsid w:val="00D214F0"/>
    <w:rsid w:val="00D216BA"/>
    <w:rsid w:val="00D217B6"/>
    <w:rsid w:val="00D21881"/>
    <w:rsid w:val="00D218D9"/>
    <w:rsid w:val="00D21970"/>
    <w:rsid w:val="00D21B0C"/>
    <w:rsid w:val="00D21B4E"/>
    <w:rsid w:val="00D21B7F"/>
    <w:rsid w:val="00D21B8E"/>
    <w:rsid w:val="00D21BC5"/>
    <w:rsid w:val="00D21BE8"/>
    <w:rsid w:val="00D21DA3"/>
    <w:rsid w:val="00D21F93"/>
    <w:rsid w:val="00D21FC7"/>
    <w:rsid w:val="00D2204F"/>
    <w:rsid w:val="00D220B6"/>
    <w:rsid w:val="00D22136"/>
    <w:rsid w:val="00D221E1"/>
    <w:rsid w:val="00D22254"/>
    <w:rsid w:val="00D222B8"/>
    <w:rsid w:val="00D223D3"/>
    <w:rsid w:val="00D2243B"/>
    <w:rsid w:val="00D22509"/>
    <w:rsid w:val="00D225BC"/>
    <w:rsid w:val="00D22676"/>
    <w:rsid w:val="00D226EA"/>
    <w:rsid w:val="00D22860"/>
    <w:rsid w:val="00D228E3"/>
    <w:rsid w:val="00D228E5"/>
    <w:rsid w:val="00D22AAE"/>
    <w:rsid w:val="00D22CD3"/>
    <w:rsid w:val="00D2300C"/>
    <w:rsid w:val="00D2307A"/>
    <w:rsid w:val="00D23126"/>
    <w:rsid w:val="00D23128"/>
    <w:rsid w:val="00D231D1"/>
    <w:rsid w:val="00D23275"/>
    <w:rsid w:val="00D232B8"/>
    <w:rsid w:val="00D232BF"/>
    <w:rsid w:val="00D2341E"/>
    <w:rsid w:val="00D23506"/>
    <w:rsid w:val="00D2371D"/>
    <w:rsid w:val="00D237E6"/>
    <w:rsid w:val="00D239F6"/>
    <w:rsid w:val="00D23B2A"/>
    <w:rsid w:val="00D23C42"/>
    <w:rsid w:val="00D23D95"/>
    <w:rsid w:val="00D23EB3"/>
    <w:rsid w:val="00D23F00"/>
    <w:rsid w:val="00D240ED"/>
    <w:rsid w:val="00D24107"/>
    <w:rsid w:val="00D2412A"/>
    <w:rsid w:val="00D24131"/>
    <w:rsid w:val="00D24187"/>
    <w:rsid w:val="00D241BE"/>
    <w:rsid w:val="00D242A2"/>
    <w:rsid w:val="00D243E5"/>
    <w:rsid w:val="00D24441"/>
    <w:rsid w:val="00D24630"/>
    <w:rsid w:val="00D24631"/>
    <w:rsid w:val="00D24808"/>
    <w:rsid w:val="00D24BEE"/>
    <w:rsid w:val="00D24F3C"/>
    <w:rsid w:val="00D24F40"/>
    <w:rsid w:val="00D2504B"/>
    <w:rsid w:val="00D25068"/>
    <w:rsid w:val="00D250E0"/>
    <w:rsid w:val="00D25339"/>
    <w:rsid w:val="00D2549C"/>
    <w:rsid w:val="00D254E4"/>
    <w:rsid w:val="00D25540"/>
    <w:rsid w:val="00D255AA"/>
    <w:rsid w:val="00D256B9"/>
    <w:rsid w:val="00D25963"/>
    <w:rsid w:val="00D25ADD"/>
    <w:rsid w:val="00D25C23"/>
    <w:rsid w:val="00D25C33"/>
    <w:rsid w:val="00D25C90"/>
    <w:rsid w:val="00D25D3D"/>
    <w:rsid w:val="00D25D96"/>
    <w:rsid w:val="00D25EC5"/>
    <w:rsid w:val="00D2600E"/>
    <w:rsid w:val="00D26063"/>
    <w:rsid w:val="00D260E4"/>
    <w:rsid w:val="00D2622F"/>
    <w:rsid w:val="00D26269"/>
    <w:rsid w:val="00D265D2"/>
    <w:rsid w:val="00D26610"/>
    <w:rsid w:val="00D26739"/>
    <w:rsid w:val="00D268F3"/>
    <w:rsid w:val="00D26961"/>
    <w:rsid w:val="00D269A0"/>
    <w:rsid w:val="00D269B8"/>
    <w:rsid w:val="00D26A50"/>
    <w:rsid w:val="00D26C2A"/>
    <w:rsid w:val="00D26E9C"/>
    <w:rsid w:val="00D26ED1"/>
    <w:rsid w:val="00D26F89"/>
    <w:rsid w:val="00D270A0"/>
    <w:rsid w:val="00D270EA"/>
    <w:rsid w:val="00D27171"/>
    <w:rsid w:val="00D271A5"/>
    <w:rsid w:val="00D27437"/>
    <w:rsid w:val="00D27463"/>
    <w:rsid w:val="00D2759B"/>
    <w:rsid w:val="00D278F7"/>
    <w:rsid w:val="00D27959"/>
    <w:rsid w:val="00D27C36"/>
    <w:rsid w:val="00D27C66"/>
    <w:rsid w:val="00D27D04"/>
    <w:rsid w:val="00D27D16"/>
    <w:rsid w:val="00D27E16"/>
    <w:rsid w:val="00D27E20"/>
    <w:rsid w:val="00D301CD"/>
    <w:rsid w:val="00D30358"/>
    <w:rsid w:val="00D303B4"/>
    <w:rsid w:val="00D303D4"/>
    <w:rsid w:val="00D304B5"/>
    <w:rsid w:val="00D304C2"/>
    <w:rsid w:val="00D306BD"/>
    <w:rsid w:val="00D308AC"/>
    <w:rsid w:val="00D308BC"/>
    <w:rsid w:val="00D30BE9"/>
    <w:rsid w:val="00D30C30"/>
    <w:rsid w:val="00D3109D"/>
    <w:rsid w:val="00D310DA"/>
    <w:rsid w:val="00D311A3"/>
    <w:rsid w:val="00D311BA"/>
    <w:rsid w:val="00D313B7"/>
    <w:rsid w:val="00D313FA"/>
    <w:rsid w:val="00D31498"/>
    <w:rsid w:val="00D314D9"/>
    <w:rsid w:val="00D3155A"/>
    <w:rsid w:val="00D3156E"/>
    <w:rsid w:val="00D315FE"/>
    <w:rsid w:val="00D316E3"/>
    <w:rsid w:val="00D3198F"/>
    <w:rsid w:val="00D31B92"/>
    <w:rsid w:val="00D31C12"/>
    <w:rsid w:val="00D31D77"/>
    <w:rsid w:val="00D31D8C"/>
    <w:rsid w:val="00D31DDF"/>
    <w:rsid w:val="00D31F59"/>
    <w:rsid w:val="00D31FAA"/>
    <w:rsid w:val="00D3213A"/>
    <w:rsid w:val="00D32231"/>
    <w:rsid w:val="00D3258A"/>
    <w:rsid w:val="00D325A5"/>
    <w:rsid w:val="00D32651"/>
    <w:rsid w:val="00D3285B"/>
    <w:rsid w:val="00D32DC3"/>
    <w:rsid w:val="00D32E48"/>
    <w:rsid w:val="00D330F2"/>
    <w:rsid w:val="00D33238"/>
    <w:rsid w:val="00D33291"/>
    <w:rsid w:val="00D33339"/>
    <w:rsid w:val="00D3341A"/>
    <w:rsid w:val="00D334C0"/>
    <w:rsid w:val="00D3353B"/>
    <w:rsid w:val="00D335A1"/>
    <w:rsid w:val="00D33602"/>
    <w:rsid w:val="00D33708"/>
    <w:rsid w:val="00D338E4"/>
    <w:rsid w:val="00D338FB"/>
    <w:rsid w:val="00D33AFC"/>
    <w:rsid w:val="00D33E70"/>
    <w:rsid w:val="00D33EED"/>
    <w:rsid w:val="00D33F8F"/>
    <w:rsid w:val="00D3407F"/>
    <w:rsid w:val="00D341AF"/>
    <w:rsid w:val="00D34464"/>
    <w:rsid w:val="00D344C1"/>
    <w:rsid w:val="00D345C8"/>
    <w:rsid w:val="00D34651"/>
    <w:rsid w:val="00D34674"/>
    <w:rsid w:val="00D34688"/>
    <w:rsid w:val="00D347A1"/>
    <w:rsid w:val="00D34809"/>
    <w:rsid w:val="00D34840"/>
    <w:rsid w:val="00D34935"/>
    <w:rsid w:val="00D349CE"/>
    <w:rsid w:val="00D34A38"/>
    <w:rsid w:val="00D34BFF"/>
    <w:rsid w:val="00D34EA5"/>
    <w:rsid w:val="00D34FB7"/>
    <w:rsid w:val="00D3501D"/>
    <w:rsid w:val="00D352C8"/>
    <w:rsid w:val="00D3531E"/>
    <w:rsid w:val="00D353C1"/>
    <w:rsid w:val="00D35435"/>
    <w:rsid w:val="00D354CE"/>
    <w:rsid w:val="00D35669"/>
    <w:rsid w:val="00D3575B"/>
    <w:rsid w:val="00D35910"/>
    <w:rsid w:val="00D35983"/>
    <w:rsid w:val="00D359C8"/>
    <w:rsid w:val="00D35A76"/>
    <w:rsid w:val="00D35AC3"/>
    <w:rsid w:val="00D35C63"/>
    <w:rsid w:val="00D35DC7"/>
    <w:rsid w:val="00D35F36"/>
    <w:rsid w:val="00D3621D"/>
    <w:rsid w:val="00D36244"/>
    <w:rsid w:val="00D3635D"/>
    <w:rsid w:val="00D364F9"/>
    <w:rsid w:val="00D3651A"/>
    <w:rsid w:val="00D36527"/>
    <w:rsid w:val="00D36728"/>
    <w:rsid w:val="00D367A8"/>
    <w:rsid w:val="00D36C03"/>
    <w:rsid w:val="00D36C93"/>
    <w:rsid w:val="00D36D00"/>
    <w:rsid w:val="00D37054"/>
    <w:rsid w:val="00D370A8"/>
    <w:rsid w:val="00D37272"/>
    <w:rsid w:val="00D37291"/>
    <w:rsid w:val="00D373C9"/>
    <w:rsid w:val="00D374C2"/>
    <w:rsid w:val="00D3753D"/>
    <w:rsid w:val="00D376DB"/>
    <w:rsid w:val="00D37700"/>
    <w:rsid w:val="00D37A50"/>
    <w:rsid w:val="00D37C14"/>
    <w:rsid w:val="00D37E04"/>
    <w:rsid w:val="00D37F12"/>
    <w:rsid w:val="00D37F1C"/>
    <w:rsid w:val="00D4000E"/>
    <w:rsid w:val="00D40037"/>
    <w:rsid w:val="00D40120"/>
    <w:rsid w:val="00D40293"/>
    <w:rsid w:val="00D40722"/>
    <w:rsid w:val="00D40771"/>
    <w:rsid w:val="00D40825"/>
    <w:rsid w:val="00D40939"/>
    <w:rsid w:val="00D40979"/>
    <w:rsid w:val="00D40AA3"/>
    <w:rsid w:val="00D40C06"/>
    <w:rsid w:val="00D40CAA"/>
    <w:rsid w:val="00D40CB8"/>
    <w:rsid w:val="00D40D46"/>
    <w:rsid w:val="00D40DD1"/>
    <w:rsid w:val="00D40E29"/>
    <w:rsid w:val="00D40E3E"/>
    <w:rsid w:val="00D40F05"/>
    <w:rsid w:val="00D40F35"/>
    <w:rsid w:val="00D410FF"/>
    <w:rsid w:val="00D411DA"/>
    <w:rsid w:val="00D4124E"/>
    <w:rsid w:val="00D413DD"/>
    <w:rsid w:val="00D41665"/>
    <w:rsid w:val="00D4167A"/>
    <w:rsid w:val="00D417A3"/>
    <w:rsid w:val="00D417C8"/>
    <w:rsid w:val="00D41CB2"/>
    <w:rsid w:val="00D41D1E"/>
    <w:rsid w:val="00D41DD4"/>
    <w:rsid w:val="00D41F07"/>
    <w:rsid w:val="00D42153"/>
    <w:rsid w:val="00D42226"/>
    <w:rsid w:val="00D42849"/>
    <w:rsid w:val="00D42B9C"/>
    <w:rsid w:val="00D42D65"/>
    <w:rsid w:val="00D43247"/>
    <w:rsid w:val="00D4327D"/>
    <w:rsid w:val="00D4328A"/>
    <w:rsid w:val="00D432CE"/>
    <w:rsid w:val="00D4341E"/>
    <w:rsid w:val="00D4345E"/>
    <w:rsid w:val="00D435F3"/>
    <w:rsid w:val="00D436A5"/>
    <w:rsid w:val="00D436CC"/>
    <w:rsid w:val="00D4380C"/>
    <w:rsid w:val="00D4393B"/>
    <w:rsid w:val="00D439A6"/>
    <w:rsid w:val="00D439CF"/>
    <w:rsid w:val="00D43A0A"/>
    <w:rsid w:val="00D43B13"/>
    <w:rsid w:val="00D43BE4"/>
    <w:rsid w:val="00D43E2F"/>
    <w:rsid w:val="00D44103"/>
    <w:rsid w:val="00D44111"/>
    <w:rsid w:val="00D44181"/>
    <w:rsid w:val="00D44256"/>
    <w:rsid w:val="00D44837"/>
    <w:rsid w:val="00D44A29"/>
    <w:rsid w:val="00D44A3A"/>
    <w:rsid w:val="00D44C69"/>
    <w:rsid w:val="00D44F10"/>
    <w:rsid w:val="00D4517A"/>
    <w:rsid w:val="00D4521C"/>
    <w:rsid w:val="00D45357"/>
    <w:rsid w:val="00D453F0"/>
    <w:rsid w:val="00D45436"/>
    <w:rsid w:val="00D4543E"/>
    <w:rsid w:val="00D456A1"/>
    <w:rsid w:val="00D457D2"/>
    <w:rsid w:val="00D45889"/>
    <w:rsid w:val="00D45A7A"/>
    <w:rsid w:val="00D45AD8"/>
    <w:rsid w:val="00D45B13"/>
    <w:rsid w:val="00D45BD1"/>
    <w:rsid w:val="00D45CE5"/>
    <w:rsid w:val="00D45E64"/>
    <w:rsid w:val="00D45FFF"/>
    <w:rsid w:val="00D46018"/>
    <w:rsid w:val="00D460D8"/>
    <w:rsid w:val="00D462D0"/>
    <w:rsid w:val="00D46387"/>
    <w:rsid w:val="00D463E1"/>
    <w:rsid w:val="00D46547"/>
    <w:rsid w:val="00D46701"/>
    <w:rsid w:val="00D46744"/>
    <w:rsid w:val="00D467C0"/>
    <w:rsid w:val="00D467DD"/>
    <w:rsid w:val="00D46842"/>
    <w:rsid w:val="00D469EA"/>
    <w:rsid w:val="00D46A09"/>
    <w:rsid w:val="00D46C4B"/>
    <w:rsid w:val="00D46C4D"/>
    <w:rsid w:val="00D46EB3"/>
    <w:rsid w:val="00D4714B"/>
    <w:rsid w:val="00D47164"/>
    <w:rsid w:val="00D472D8"/>
    <w:rsid w:val="00D473E3"/>
    <w:rsid w:val="00D47502"/>
    <w:rsid w:val="00D4752F"/>
    <w:rsid w:val="00D47576"/>
    <w:rsid w:val="00D477DB"/>
    <w:rsid w:val="00D47B4D"/>
    <w:rsid w:val="00D47B99"/>
    <w:rsid w:val="00D47D04"/>
    <w:rsid w:val="00D47DF6"/>
    <w:rsid w:val="00D47E8A"/>
    <w:rsid w:val="00D47F69"/>
    <w:rsid w:val="00D50122"/>
    <w:rsid w:val="00D5015A"/>
    <w:rsid w:val="00D5019A"/>
    <w:rsid w:val="00D50232"/>
    <w:rsid w:val="00D502AA"/>
    <w:rsid w:val="00D50543"/>
    <w:rsid w:val="00D5063C"/>
    <w:rsid w:val="00D50990"/>
    <w:rsid w:val="00D50BF3"/>
    <w:rsid w:val="00D50C6E"/>
    <w:rsid w:val="00D50D40"/>
    <w:rsid w:val="00D50FBE"/>
    <w:rsid w:val="00D5103B"/>
    <w:rsid w:val="00D51057"/>
    <w:rsid w:val="00D510E5"/>
    <w:rsid w:val="00D510E8"/>
    <w:rsid w:val="00D51190"/>
    <w:rsid w:val="00D511C9"/>
    <w:rsid w:val="00D51455"/>
    <w:rsid w:val="00D514E1"/>
    <w:rsid w:val="00D51651"/>
    <w:rsid w:val="00D51742"/>
    <w:rsid w:val="00D5178D"/>
    <w:rsid w:val="00D517E6"/>
    <w:rsid w:val="00D519F9"/>
    <w:rsid w:val="00D52006"/>
    <w:rsid w:val="00D52028"/>
    <w:rsid w:val="00D5211F"/>
    <w:rsid w:val="00D522C9"/>
    <w:rsid w:val="00D52361"/>
    <w:rsid w:val="00D52518"/>
    <w:rsid w:val="00D5256E"/>
    <w:rsid w:val="00D5257D"/>
    <w:rsid w:val="00D52787"/>
    <w:rsid w:val="00D52853"/>
    <w:rsid w:val="00D5294B"/>
    <w:rsid w:val="00D52965"/>
    <w:rsid w:val="00D52ABE"/>
    <w:rsid w:val="00D52AFB"/>
    <w:rsid w:val="00D52BD4"/>
    <w:rsid w:val="00D52BEB"/>
    <w:rsid w:val="00D52DE4"/>
    <w:rsid w:val="00D52E1B"/>
    <w:rsid w:val="00D530A0"/>
    <w:rsid w:val="00D530FA"/>
    <w:rsid w:val="00D5327D"/>
    <w:rsid w:val="00D53588"/>
    <w:rsid w:val="00D535BF"/>
    <w:rsid w:val="00D535CB"/>
    <w:rsid w:val="00D53687"/>
    <w:rsid w:val="00D536F9"/>
    <w:rsid w:val="00D53759"/>
    <w:rsid w:val="00D53C3B"/>
    <w:rsid w:val="00D53DC3"/>
    <w:rsid w:val="00D53E86"/>
    <w:rsid w:val="00D53F95"/>
    <w:rsid w:val="00D54125"/>
    <w:rsid w:val="00D54211"/>
    <w:rsid w:val="00D54295"/>
    <w:rsid w:val="00D542E0"/>
    <w:rsid w:val="00D54495"/>
    <w:rsid w:val="00D54507"/>
    <w:rsid w:val="00D546FE"/>
    <w:rsid w:val="00D54713"/>
    <w:rsid w:val="00D54749"/>
    <w:rsid w:val="00D5492D"/>
    <w:rsid w:val="00D54A3C"/>
    <w:rsid w:val="00D54A4A"/>
    <w:rsid w:val="00D54B2B"/>
    <w:rsid w:val="00D54BC4"/>
    <w:rsid w:val="00D54D32"/>
    <w:rsid w:val="00D54D92"/>
    <w:rsid w:val="00D54E2F"/>
    <w:rsid w:val="00D54E8F"/>
    <w:rsid w:val="00D54EB7"/>
    <w:rsid w:val="00D552D6"/>
    <w:rsid w:val="00D553A1"/>
    <w:rsid w:val="00D553DE"/>
    <w:rsid w:val="00D55494"/>
    <w:rsid w:val="00D5555A"/>
    <w:rsid w:val="00D555CB"/>
    <w:rsid w:val="00D55847"/>
    <w:rsid w:val="00D55957"/>
    <w:rsid w:val="00D55971"/>
    <w:rsid w:val="00D55BB9"/>
    <w:rsid w:val="00D55D32"/>
    <w:rsid w:val="00D55D6D"/>
    <w:rsid w:val="00D55F3A"/>
    <w:rsid w:val="00D56329"/>
    <w:rsid w:val="00D56737"/>
    <w:rsid w:val="00D56781"/>
    <w:rsid w:val="00D56915"/>
    <w:rsid w:val="00D5699C"/>
    <w:rsid w:val="00D56ABC"/>
    <w:rsid w:val="00D56B89"/>
    <w:rsid w:val="00D56BAC"/>
    <w:rsid w:val="00D56D62"/>
    <w:rsid w:val="00D570FC"/>
    <w:rsid w:val="00D572D2"/>
    <w:rsid w:val="00D5746C"/>
    <w:rsid w:val="00D57566"/>
    <w:rsid w:val="00D57598"/>
    <w:rsid w:val="00D575D1"/>
    <w:rsid w:val="00D575FA"/>
    <w:rsid w:val="00D57690"/>
    <w:rsid w:val="00D57712"/>
    <w:rsid w:val="00D577B8"/>
    <w:rsid w:val="00D57898"/>
    <w:rsid w:val="00D579C0"/>
    <w:rsid w:val="00D57BE6"/>
    <w:rsid w:val="00D57C03"/>
    <w:rsid w:val="00D57FB7"/>
    <w:rsid w:val="00D6001A"/>
    <w:rsid w:val="00D60036"/>
    <w:rsid w:val="00D600C0"/>
    <w:rsid w:val="00D60202"/>
    <w:rsid w:val="00D6055A"/>
    <w:rsid w:val="00D605A2"/>
    <w:rsid w:val="00D60628"/>
    <w:rsid w:val="00D6067B"/>
    <w:rsid w:val="00D60692"/>
    <w:rsid w:val="00D60944"/>
    <w:rsid w:val="00D60C23"/>
    <w:rsid w:val="00D60CCE"/>
    <w:rsid w:val="00D60CE0"/>
    <w:rsid w:val="00D60DAB"/>
    <w:rsid w:val="00D60E49"/>
    <w:rsid w:val="00D60ED5"/>
    <w:rsid w:val="00D60FAF"/>
    <w:rsid w:val="00D60FB9"/>
    <w:rsid w:val="00D60FC1"/>
    <w:rsid w:val="00D610F2"/>
    <w:rsid w:val="00D612AA"/>
    <w:rsid w:val="00D613A2"/>
    <w:rsid w:val="00D61488"/>
    <w:rsid w:val="00D61497"/>
    <w:rsid w:val="00D61575"/>
    <w:rsid w:val="00D6165C"/>
    <w:rsid w:val="00D616D9"/>
    <w:rsid w:val="00D616E4"/>
    <w:rsid w:val="00D61995"/>
    <w:rsid w:val="00D61B9B"/>
    <w:rsid w:val="00D61CD8"/>
    <w:rsid w:val="00D61D86"/>
    <w:rsid w:val="00D61EE3"/>
    <w:rsid w:val="00D61F0E"/>
    <w:rsid w:val="00D61F35"/>
    <w:rsid w:val="00D61F60"/>
    <w:rsid w:val="00D61F73"/>
    <w:rsid w:val="00D62061"/>
    <w:rsid w:val="00D620D0"/>
    <w:rsid w:val="00D6219B"/>
    <w:rsid w:val="00D62320"/>
    <w:rsid w:val="00D62389"/>
    <w:rsid w:val="00D623CE"/>
    <w:rsid w:val="00D623E2"/>
    <w:rsid w:val="00D62476"/>
    <w:rsid w:val="00D62487"/>
    <w:rsid w:val="00D626C5"/>
    <w:rsid w:val="00D627FA"/>
    <w:rsid w:val="00D6295F"/>
    <w:rsid w:val="00D629BD"/>
    <w:rsid w:val="00D62A9E"/>
    <w:rsid w:val="00D62BA4"/>
    <w:rsid w:val="00D62E06"/>
    <w:rsid w:val="00D62ED5"/>
    <w:rsid w:val="00D62EF7"/>
    <w:rsid w:val="00D62F2F"/>
    <w:rsid w:val="00D62F3C"/>
    <w:rsid w:val="00D62F6D"/>
    <w:rsid w:val="00D63038"/>
    <w:rsid w:val="00D63343"/>
    <w:rsid w:val="00D6339B"/>
    <w:rsid w:val="00D633D4"/>
    <w:rsid w:val="00D636EA"/>
    <w:rsid w:val="00D63718"/>
    <w:rsid w:val="00D63734"/>
    <w:rsid w:val="00D637B6"/>
    <w:rsid w:val="00D637E6"/>
    <w:rsid w:val="00D6397E"/>
    <w:rsid w:val="00D63A55"/>
    <w:rsid w:val="00D63ACE"/>
    <w:rsid w:val="00D63BF3"/>
    <w:rsid w:val="00D63C8A"/>
    <w:rsid w:val="00D63CFD"/>
    <w:rsid w:val="00D63D45"/>
    <w:rsid w:val="00D63EC5"/>
    <w:rsid w:val="00D63EF9"/>
    <w:rsid w:val="00D64108"/>
    <w:rsid w:val="00D6441A"/>
    <w:rsid w:val="00D644F0"/>
    <w:rsid w:val="00D64598"/>
    <w:rsid w:val="00D645BB"/>
    <w:rsid w:val="00D64678"/>
    <w:rsid w:val="00D64683"/>
    <w:rsid w:val="00D64751"/>
    <w:rsid w:val="00D6489E"/>
    <w:rsid w:val="00D6494C"/>
    <w:rsid w:val="00D64978"/>
    <w:rsid w:val="00D64A40"/>
    <w:rsid w:val="00D64AA6"/>
    <w:rsid w:val="00D64C9A"/>
    <w:rsid w:val="00D64F03"/>
    <w:rsid w:val="00D6506D"/>
    <w:rsid w:val="00D6511C"/>
    <w:rsid w:val="00D6514B"/>
    <w:rsid w:val="00D654AF"/>
    <w:rsid w:val="00D65771"/>
    <w:rsid w:val="00D6581D"/>
    <w:rsid w:val="00D65A69"/>
    <w:rsid w:val="00D65BA7"/>
    <w:rsid w:val="00D65FF7"/>
    <w:rsid w:val="00D6616D"/>
    <w:rsid w:val="00D66453"/>
    <w:rsid w:val="00D666D1"/>
    <w:rsid w:val="00D666F4"/>
    <w:rsid w:val="00D668C6"/>
    <w:rsid w:val="00D66953"/>
    <w:rsid w:val="00D6699C"/>
    <w:rsid w:val="00D66B1B"/>
    <w:rsid w:val="00D66BBD"/>
    <w:rsid w:val="00D66BEB"/>
    <w:rsid w:val="00D66C9E"/>
    <w:rsid w:val="00D66D0C"/>
    <w:rsid w:val="00D66D61"/>
    <w:rsid w:val="00D671CC"/>
    <w:rsid w:val="00D672A5"/>
    <w:rsid w:val="00D67310"/>
    <w:rsid w:val="00D673CD"/>
    <w:rsid w:val="00D673D4"/>
    <w:rsid w:val="00D673F4"/>
    <w:rsid w:val="00D674A3"/>
    <w:rsid w:val="00D674B2"/>
    <w:rsid w:val="00D67576"/>
    <w:rsid w:val="00D67580"/>
    <w:rsid w:val="00D6792C"/>
    <w:rsid w:val="00D679D2"/>
    <w:rsid w:val="00D67B81"/>
    <w:rsid w:val="00D67B8B"/>
    <w:rsid w:val="00D67BA2"/>
    <w:rsid w:val="00D67C1F"/>
    <w:rsid w:val="00D67D5A"/>
    <w:rsid w:val="00D67EB2"/>
    <w:rsid w:val="00D67F08"/>
    <w:rsid w:val="00D67F79"/>
    <w:rsid w:val="00D67F95"/>
    <w:rsid w:val="00D67FCF"/>
    <w:rsid w:val="00D67FE3"/>
    <w:rsid w:val="00D70230"/>
    <w:rsid w:val="00D70271"/>
    <w:rsid w:val="00D706D3"/>
    <w:rsid w:val="00D7084D"/>
    <w:rsid w:val="00D7092F"/>
    <w:rsid w:val="00D70C38"/>
    <w:rsid w:val="00D70CAF"/>
    <w:rsid w:val="00D70D51"/>
    <w:rsid w:val="00D70DD8"/>
    <w:rsid w:val="00D710F7"/>
    <w:rsid w:val="00D711CC"/>
    <w:rsid w:val="00D7122E"/>
    <w:rsid w:val="00D712C4"/>
    <w:rsid w:val="00D71354"/>
    <w:rsid w:val="00D71367"/>
    <w:rsid w:val="00D713D1"/>
    <w:rsid w:val="00D71439"/>
    <w:rsid w:val="00D7152B"/>
    <w:rsid w:val="00D71592"/>
    <w:rsid w:val="00D71751"/>
    <w:rsid w:val="00D717F8"/>
    <w:rsid w:val="00D71820"/>
    <w:rsid w:val="00D718EA"/>
    <w:rsid w:val="00D71A21"/>
    <w:rsid w:val="00D71AE3"/>
    <w:rsid w:val="00D71AEF"/>
    <w:rsid w:val="00D71C0F"/>
    <w:rsid w:val="00D71D15"/>
    <w:rsid w:val="00D71D49"/>
    <w:rsid w:val="00D71FDB"/>
    <w:rsid w:val="00D72066"/>
    <w:rsid w:val="00D721EF"/>
    <w:rsid w:val="00D7224A"/>
    <w:rsid w:val="00D72402"/>
    <w:rsid w:val="00D72578"/>
    <w:rsid w:val="00D7272F"/>
    <w:rsid w:val="00D7273D"/>
    <w:rsid w:val="00D72770"/>
    <w:rsid w:val="00D72935"/>
    <w:rsid w:val="00D72AC6"/>
    <w:rsid w:val="00D72B7B"/>
    <w:rsid w:val="00D72B9E"/>
    <w:rsid w:val="00D72C9E"/>
    <w:rsid w:val="00D72F4C"/>
    <w:rsid w:val="00D73227"/>
    <w:rsid w:val="00D73380"/>
    <w:rsid w:val="00D73463"/>
    <w:rsid w:val="00D734BB"/>
    <w:rsid w:val="00D734EC"/>
    <w:rsid w:val="00D73A4C"/>
    <w:rsid w:val="00D73AD6"/>
    <w:rsid w:val="00D73B03"/>
    <w:rsid w:val="00D73B43"/>
    <w:rsid w:val="00D73C60"/>
    <w:rsid w:val="00D740EA"/>
    <w:rsid w:val="00D7411E"/>
    <w:rsid w:val="00D74181"/>
    <w:rsid w:val="00D741B4"/>
    <w:rsid w:val="00D741EB"/>
    <w:rsid w:val="00D74217"/>
    <w:rsid w:val="00D74301"/>
    <w:rsid w:val="00D74510"/>
    <w:rsid w:val="00D74663"/>
    <w:rsid w:val="00D74664"/>
    <w:rsid w:val="00D746B3"/>
    <w:rsid w:val="00D7476B"/>
    <w:rsid w:val="00D7480A"/>
    <w:rsid w:val="00D74856"/>
    <w:rsid w:val="00D74A7B"/>
    <w:rsid w:val="00D74BEB"/>
    <w:rsid w:val="00D751B5"/>
    <w:rsid w:val="00D751FF"/>
    <w:rsid w:val="00D7522D"/>
    <w:rsid w:val="00D7538F"/>
    <w:rsid w:val="00D753CB"/>
    <w:rsid w:val="00D7544E"/>
    <w:rsid w:val="00D7552D"/>
    <w:rsid w:val="00D756B2"/>
    <w:rsid w:val="00D75874"/>
    <w:rsid w:val="00D758D7"/>
    <w:rsid w:val="00D75962"/>
    <w:rsid w:val="00D75972"/>
    <w:rsid w:val="00D7597A"/>
    <w:rsid w:val="00D7598E"/>
    <w:rsid w:val="00D75A0F"/>
    <w:rsid w:val="00D75A1B"/>
    <w:rsid w:val="00D75A6E"/>
    <w:rsid w:val="00D75A89"/>
    <w:rsid w:val="00D75B42"/>
    <w:rsid w:val="00D75B60"/>
    <w:rsid w:val="00D75C9D"/>
    <w:rsid w:val="00D75CB8"/>
    <w:rsid w:val="00D75D4A"/>
    <w:rsid w:val="00D75D81"/>
    <w:rsid w:val="00D75DCE"/>
    <w:rsid w:val="00D76135"/>
    <w:rsid w:val="00D7668A"/>
    <w:rsid w:val="00D768B7"/>
    <w:rsid w:val="00D769DF"/>
    <w:rsid w:val="00D76B48"/>
    <w:rsid w:val="00D76CBC"/>
    <w:rsid w:val="00D76CE7"/>
    <w:rsid w:val="00D76F3C"/>
    <w:rsid w:val="00D76FBE"/>
    <w:rsid w:val="00D7718D"/>
    <w:rsid w:val="00D77217"/>
    <w:rsid w:val="00D772BF"/>
    <w:rsid w:val="00D7752B"/>
    <w:rsid w:val="00D7752D"/>
    <w:rsid w:val="00D776F6"/>
    <w:rsid w:val="00D77924"/>
    <w:rsid w:val="00D779E8"/>
    <w:rsid w:val="00D77AA0"/>
    <w:rsid w:val="00D77C2A"/>
    <w:rsid w:val="00D77CBA"/>
    <w:rsid w:val="00D77D42"/>
    <w:rsid w:val="00D77EE5"/>
    <w:rsid w:val="00D77FA4"/>
    <w:rsid w:val="00D800D1"/>
    <w:rsid w:val="00D80199"/>
    <w:rsid w:val="00D80226"/>
    <w:rsid w:val="00D80288"/>
    <w:rsid w:val="00D806BD"/>
    <w:rsid w:val="00D80A8C"/>
    <w:rsid w:val="00D80A91"/>
    <w:rsid w:val="00D80C22"/>
    <w:rsid w:val="00D80D94"/>
    <w:rsid w:val="00D810AC"/>
    <w:rsid w:val="00D810B1"/>
    <w:rsid w:val="00D811A1"/>
    <w:rsid w:val="00D81321"/>
    <w:rsid w:val="00D81611"/>
    <w:rsid w:val="00D819F8"/>
    <w:rsid w:val="00D81A3B"/>
    <w:rsid w:val="00D81AC5"/>
    <w:rsid w:val="00D81CE0"/>
    <w:rsid w:val="00D81D29"/>
    <w:rsid w:val="00D81E44"/>
    <w:rsid w:val="00D82369"/>
    <w:rsid w:val="00D82464"/>
    <w:rsid w:val="00D82465"/>
    <w:rsid w:val="00D82578"/>
    <w:rsid w:val="00D825AF"/>
    <w:rsid w:val="00D82612"/>
    <w:rsid w:val="00D82676"/>
    <w:rsid w:val="00D82BEB"/>
    <w:rsid w:val="00D82C29"/>
    <w:rsid w:val="00D82CC8"/>
    <w:rsid w:val="00D82E3B"/>
    <w:rsid w:val="00D82FD7"/>
    <w:rsid w:val="00D83259"/>
    <w:rsid w:val="00D835CD"/>
    <w:rsid w:val="00D837C4"/>
    <w:rsid w:val="00D83B66"/>
    <w:rsid w:val="00D83BA2"/>
    <w:rsid w:val="00D83C12"/>
    <w:rsid w:val="00D83C13"/>
    <w:rsid w:val="00D83CC7"/>
    <w:rsid w:val="00D83CFE"/>
    <w:rsid w:val="00D83D40"/>
    <w:rsid w:val="00D83F47"/>
    <w:rsid w:val="00D83F5F"/>
    <w:rsid w:val="00D84030"/>
    <w:rsid w:val="00D84139"/>
    <w:rsid w:val="00D8426E"/>
    <w:rsid w:val="00D84270"/>
    <w:rsid w:val="00D84334"/>
    <w:rsid w:val="00D8435C"/>
    <w:rsid w:val="00D845DB"/>
    <w:rsid w:val="00D84602"/>
    <w:rsid w:val="00D8468A"/>
    <w:rsid w:val="00D8482C"/>
    <w:rsid w:val="00D8486E"/>
    <w:rsid w:val="00D84CA8"/>
    <w:rsid w:val="00D84E21"/>
    <w:rsid w:val="00D84F25"/>
    <w:rsid w:val="00D84FF5"/>
    <w:rsid w:val="00D8501B"/>
    <w:rsid w:val="00D8504B"/>
    <w:rsid w:val="00D853E5"/>
    <w:rsid w:val="00D853FD"/>
    <w:rsid w:val="00D854CA"/>
    <w:rsid w:val="00D855B0"/>
    <w:rsid w:val="00D855C9"/>
    <w:rsid w:val="00D8571A"/>
    <w:rsid w:val="00D8586D"/>
    <w:rsid w:val="00D85882"/>
    <w:rsid w:val="00D858F1"/>
    <w:rsid w:val="00D85C1E"/>
    <w:rsid w:val="00D85E5E"/>
    <w:rsid w:val="00D860AF"/>
    <w:rsid w:val="00D863A8"/>
    <w:rsid w:val="00D86426"/>
    <w:rsid w:val="00D86478"/>
    <w:rsid w:val="00D86575"/>
    <w:rsid w:val="00D867B7"/>
    <w:rsid w:val="00D86A4D"/>
    <w:rsid w:val="00D86A67"/>
    <w:rsid w:val="00D86B13"/>
    <w:rsid w:val="00D86B92"/>
    <w:rsid w:val="00D86BEA"/>
    <w:rsid w:val="00D86BF6"/>
    <w:rsid w:val="00D86C69"/>
    <w:rsid w:val="00D86D81"/>
    <w:rsid w:val="00D86F23"/>
    <w:rsid w:val="00D86FBE"/>
    <w:rsid w:val="00D87004"/>
    <w:rsid w:val="00D87058"/>
    <w:rsid w:val="00D872D9"/>
    <w:rsid w:val="00D87314"/>
    <w:rsid w:val="00D87413"/>
    <w:rsid w:val="00D877ED"/>
    <w:rsid w:val="00D8793F"/>
    <w:rsid w:val="00D87981"/>
    <w:rsid w:val="00D87D7E"/>
    <w:rsid w:val="00D87EAC"/>
    <w:rsid w:val="00D900C6"/>
    <w:rsid w:val="00D90198"/>
    <w:rsid w:val="00D902B7"/>
    <w:rsid w:val="00D90319"/>
    <w:rsid w:val="00D9034E"/>
    <w:rsid w:val="00D903C3"/>
    <w:rsid w:val="00D903C5"/>
    <w:rsid w:val="00D904AB"/>
    <w:rsid w:val="00D904CC"/>
    <w:rsid w:val="00D90741"/>
    <w:rsid w:val="00D90917"/>
    <w:rsid w:val="00D90A4A"/>
    <w:rsid w:val="00D90C78"/>
    <w:rsid w:val="00D90E65"/>
    <w:rsid w:val="00D9100A"/>
    <w:rsid w:val="00D9139F"/>
    <w:rsid w:val="00D913EB"/>
    <w:rsid w:val="00D914C1"/>
    <w:rsid w:val="00D9159A"/>
    <w:rsid w:val="00D91761"/>
    <w:rsid w:val="00D91915"/>
    <w:rsid w:val="00D919AC"/>
    <w:rsid w:val="00D91A8B"/>
    <w:rsid w:val="00D91AAD"/>
    <w:rsid w:val="00D91ABD"/>
    <w:rsid w:val="00D91CCA"/>
    <w:rsid w:val="00D91D12"/>
    <w:rsid w:val="00D91DB7"/>
    <w:rsid w:val="00D91F1D"/>
    <w:rsid w:val="00D91F83"/>
    <w:rsid w:val="00D92026"/>
    <w:rsid w:val="00D9214E"/>
    <w:rsid w:val="00D92167"/>
    <w:rsid w:val="00D9217C"/>
    <w:rsid w:val="00D92458"/>
    <w:rsid w:val="00D9248C"/>
    <w:rsid w:val="00D924E9"/>
    <w:rsid w:val="00D9267C"/>
    <w:rsid w:val="00D926AB"/>
    <w:rsid w:val="00D9271E"/>
    <w:rsid w:val="00D927EB"/>
    <w:rsid w:val="00D92811"/>
    <w:rsid w:val="00D92B20"/>
    <w:rsid w:val="00D92BC8"/>
    <w:rsid w:val="00D92C09"/>
    <w:rsid w:val="00D92CE1"/>
    <w:rsid w:val="00D92CF0"/>
    <w:rsid w:val="00D92D10"/>
    <w:rsid w:val="00D92FE2"/>
    <w:rsid w:val="00D933AA"/>
    <w:rsid w:val="00D935F0"/>
    <w:rsid w:val="00D93714"/>
    <w:rsid w:val="00D9389B"/>
    <w:rsid w:val="00D938CA"/>
    <w:rsid w:val="00D939A3"/>
    <w:rsid w:val="00D93AAD"/>
    <w:rsid w:val="00D93CE4"/>
    <w:rsid w:val="00D93D1E"/>
    <w:rsid w:val="00D93D2F"/>
    <w:rsid w:val="00D93DE0"/>
    <w:rsid w:val="00D93ECA"/>
    <w:rsid w:val="00D93F0A"/>
    <w:rsid w:val="00D93FB3"/>
    <w:rsid w:val="00D94021"/>
    <w:rsid w:val="00D94080"/>
    <w:rsid w:val="00D940A9"/>
    <w:rsid w:val="00D94247"/>
    <w:rsid w:val="00D945B9"/>
    <w:rsid w:val="00D945DB"/>
    <w:rsid w:val="00D94621"/>
    <w:rsid w:val="00D94931"/>
    <w:rsid w:val="00D94986"/>
    <w:rsid w:val="00D94A6B"/>
    <w:rsid w:val="00D94D08"/>
    <w:rsid w:val="00D94DB3"/>
    <w:rsid w:val="00D94E75"/>
    <w:rsid w:val="00D94F41"/>
    <w:rsid w:val="00D94F9A"/>
    <w:rsid w:val="00D950B0"/>
    <w:rsid w:val="00D951BA"/>
    <w:rsid w:val="00D9529B"/>
    <w:rsid w:val="00D9534D"/>
    <w:rsid w:val="00D953DF"/>
    <w:rsid w:val="00D95412"/>
    <w:rsid w:val="00D95521"/>
    <w:rsid w:val="00D95625"/>
    <w:rsid w:val="00D95641"/>
    <w:rsid w:val="00D95827"/>
    <w:rsid w:val="00D958B1"/>
    <w:rsid w:val="00D9590A"/>
    <w:rsid w:val="00D959BA"/>
    <w:rsid w:val="00D95AEA"/>
    <w:rsid w:val="00D95BD8"/>
    <w:rsid w:val="00D95D67"/>
    <w:rsid w:val="00D95DF9"/>
    <w:rsid w:val="00D95E9D"/>
    <w:rsid w:val="00D95EAE"/>
    <w:rsid w:val="00D95ED7"/>
    <w:rsid w:val="00D95F0B"/>
    <w:rsid w:val="00D960D4"/>
    <w:rsid w:val="00D960E7"/>
    <w:rsid w:val="00D96219"/>
    <w:rsid w:val="00D96273"/>
    <w:rsid w:val="00D96326"/>
    <w:rsid w:val="00D96410"/>
    <w:rsid w:val="00D964B3"/>
    <w:rsid w:val="00D9666F"/>
    <w:rsid w:val="00D96759"/>
    <w:rsid w:val="00D9675B"/>
    <w:rsid w:val="00D967D3"/>
    <w:rsid w:val="00D967DF"/>
    <w:rsid w:val="00D968D6"/>
    <w:rsid w:val="00D96977"/>
    <w:rsid w:val="00D969BA"/>
    <w:rsid w:val="00D96BC2"/>
    <w:rsid w:val="00D96C73"/>
    <w:rsid w:val="00D96C8F"/>
    <w:rsid w:val="00D96CA1"/>
    <w:rsid w:val="00D96D90"/>
    <w:rsid w:val="00D96FEF"/>
    <w:rsid w:val="00D9700E"/>
    <w:rsid w:val="00D9720E"/>
    <w:rsid w:val="00D9721F"/>
    <w:rsid w:val="00D9738C"/>
    <w:rsid w:val="00D976B7"/>
    <w:rsid w:val="00D977C2"/>
    <w:rsid w:val="00D97850"/>
    <w:rsid w:val="00D979E2"/>
    <w:rsid w:val="00D97AA7"/>
    <w:rsid w:val="00D97D27"/>
    <w:rsid w:val="00D97D64"/>
    <w:rsid w:val="00D97E60"/>
    <w:rsid w:val="00D97F1D"/>
    <w:rsid w:val="00D97F23"/>
    <w:rsid w:val="00D97F7B"/>
    <w:rsid w:val="00DA006B"/>
    <w:rsid w:val="00DA0386"/>
    <w:rsid w:val="00DA053E"/>
    <w:rsid w:val="00DA05FE"/>
    <w:rsid w:val="00DA061B"/>
    <w:rsid w:val="00DA083A"/>
    <w:rsid w:val="00DA08B8"/>
    <w:rsid w:val="00DA0915"/>
    <w:rsid w:val="00DA0B32"/>
    <w:rsid w:val="00DA0B69"/>
    <w:rsid w:val="00DA0C22"/>
    <w:rsid w:val="00DA0D4B"/>
    <w:rsid w:val="00DA0FD7"/>
    <w:rsid w:val="00DA104D"/>
    <w:rsid w:val="00DA10E7"/>
    <w:rsid w:val="00DA1183"/>
    <w:rsid w:val="00DA11B1"/>
    <w:rsid w:val="00DA11E4"/>
    <w:rsid w:val="00DA14EC"/>
    <w:rsid w:val="00DA1516"/>
    <w:rsid w:val="00DA1530"/>
    <w:rsid w:val="00DA1593"/>
    <w:rsid w:val="00DA15BE"/>
    <w:rsid w:val="00DA17CD"/>
    <w:rsid w:val="00DA180A"/>
    <w:rsid w:val="00DA18EA"/>
    <w:rsid w:val="00DA1908"/>
    <w:rsid w:val="00DA1A52"/>
    <w:rsid w:val="00DA1BF5"/>
    <w:rsid w:val="00DA1C88"/>
    <w:rsid w:val="00DA1CCE"/>
    <w:rsid w:val="00DA1F90"/>
    <w:rsid w:val="00DA1F98"/>
    <w:rsid w:val="00DA214B"/>
    <w:rsid w:val="00DA2265"/>
    <w:rsid w:val="00DA228A"/>
    <w:rsid w:val="00DA2323"/>
    <w:rsid w:val="00DA2448"/>
    <w:rsid w:val="00DA247C"/>
    <w:rsid w:val="00DA24A9"/>
    <w:rsid w:val="00DA2528"/>
    <w:rsid w:val="00DA2560"/>
    <w:rsid w:val="00DA25B7"/>
    <w:rsid w:val="00DA2719"/>
    <w:rsid w:val="00DA2790"/>
    <w:rsid w:val="00DA27FF"/>
    <w:rsid w:val="00DA295F"/>
    <w:rsid w:val="00DA2997"/>
    <w:rsid w:val="00DA29DE"/>
    <w:rsid w:val="00DA2D00"/>
    <w:rsid w:val="00DA2FF3"/>
    <w:rsid w:val="00DA308C"/>
    <w:rsid w:val="00DA3117"/>
    <w:rsid w:val="00DA3125"/>
    <w:rsid w:val="00DA3213"/>
    <w:rsid w:val="00DA3602"/>
    <w:rsid w:val="00DA375A"/>
    <w:rsid w:val="00DA3816"/>
    <w:rsid w:val="00DA38F1"/>
    <w:rsid w:val="00DA399A"/>
    <w:rsid w:val="00DA3A8C"/>
    <w:rsid w:val="00DA3B73"/>
    <w:rsid w:val="00DA3C46"/>
    <w:rsid w:val="00DA3E1E"/>
    <w:rsid w:val="00DA3ED6"/>
    <w:rsid w:val="00DA3F12"/>
    <w:rsid w:val="00DA3F3F"/>
    <w:rsid w:val="00DA4081"/>
    <w:rsid w:val="00DA40C9"/>
    <w:rsid w:val="00DA4226"/>
    <w:rsid w:val="00DA42D1"/>
    <w:rsid w:val="00DA44FF"/>
    <w:rsid w:val="00DA4602"/>
    <w:rsid w:val="00DA465A"/>
    <w:rsid w:val="00DA4726"/>
    <w:rsid w:val="00DA4781"/>
    <w:rsid w:val="00DA4958"/>
    <w:rsid w:val="00DA498F"/>
    <w:rsid w:val="00DA4CAA"/>
    <w:rsid w:val="00DA4CE8"/>
    <w:rsid w:val="00DA4E3B"/>
    <w:rsid w:val="00DA4E7F"/>
    <w:rsid w:val="00DA4F0C"/>
    <w:rsid w:val="00DA50DC"/>
    <w:rsid w:val="00DA50F2"/>
    <w:rsid w:val="00DA5303"/>
    <w:rsid w:val="00DA55B4"/>
    <w:rsid w:val="00DA5601"/>
    <w:rsid w:val="00DA57CB"/>
    <w:rsid w:val="00DA5831"/>
    <w:rsid w:val="00DA5A0F"/>
    <w:rsid w:val="00DA5AF8"/>
    <w:rsid w:val="00DA5D90"/>
    <w:rsid w:val="00DA5DDE"/>
    <w:rsid w:val="00DA5E67"/>
    <w:rsid w:val="00DA5E84"/>
    <w:rsid w:val="00DA5F0D"/>
    <w:rsid w:val="00DA5F95"/>
    <w:rsid w:val="00DA601F"/>
    <w:rsid w:val="00DA6065"/>
    <w:rsid w:val="00DA6068"/>
    <w:rsid w:val="00DA64F8"/>
    <w:rsid w:val="00DA651B"/>
    <w:rsid w:val="00DA6588"/>
    <w:rsid w:val="00DA6617"/>
    <w:rsid w:val="00DA679E"/>
    <w:rsid w:val="00DA67C8"/>
    <w:rsid w:val="00DA684C"/>
    <w:rsid w:val="00DA6937"/>
    <w:rsid w:val="00DA6A76"/>
    <w:rsid w:val="00DA6CBD"/>
    <w:rsid w:val="00DA6D91"/>
    <w:rsid w:val="00DA6FCC"/>
    <w:rsid w:val="00DA708E"/>
    <w:rsid w:val="00DA70E1"/>
    <w:rsid w:val="00DA7168"/>
    <w:rsid w:val="00DA7291"/>
    <w:rsid w:val="00DA7397"/>
    <w:rsid w:val="00DA7499"/>
    <w:rsid w:val="00DA76C7"/>
    <w:rsid w:val="00DA773E"/>
    <w:rsid w:val="00DA7828"/>
    <w:rsid w:val="00DA7AE2"/>
    <w:rsid w:val="00DA7B6D"/>
    <w:rsid w:val="00DA7CD6"/>
    <w:rsid w:val="00DA7CF8"/>
    <w:rsid w:val="00DA7ED7"/>
    <w:rsid w:val="00DB00A7"/>
    <w:rsid w:val="00DB0287"/>
    <w:rsid w:val="00DB0306"/>
    <w:rsid w:val="00DB039F"/>
    <w:rsid w:val="00DB0466"/>
    <w:rsid w:val="00DB06DC"/>
    <w:rsid w:val="00DB08D2"/>
    <w:rsid w:val="00DB0BB6"/>
    <w:rsid w:val="00DB0DD2"/>
    <w:rsid w:val="00DB0E66"/>
    <w:rsid w:val="00DB1061"/>
    <w:rsid w:val="00DB1123"/>
    <w:rsid w:val="00DB11B9"/>
    <w:rsid w:val="00DB1272"/>
    <w:rsid w:val="00DB1654"/>
    <w:rsid w:val="00DB1746"/>
    <w:rsid w:val="00DB17B5"/>
    <w:rsid w:val="00DB19C8"/>
    <w:rsid w:val="00DB1A7E"/>
    <w:rsid w:val="00DB1AD5"/>
    <w:rsid w:val="00DB1B1F"/>
    <w:rsid w:val="00DB1C5D"/>
    <w:rsid w:val="00DB1CA3"/>
    <w:rsid w:val="00DB1D0D"/>
    <w:rsid w:val="00DB1E6F"/>
    <w:rsid w:val="00DB1EBF"/>
    <w:rsid w:val="00DB1F3B"/>
    <w:rsid w:val="00DB1FAA"/>
    <w:rsid w:val="00DB1FB2"/>
    <w:rsid w:val="00DB2012"/>
    <w:rsid w:val="00DB2031"/>
    <w:rsid w:val="00DB20ED"/>
    <w:rsid w:val="00DB217B"/>
    <w:rsid w:val="00DB2208"/>
    <w:rsid w:val="00DB22A4"/>
    <w:rsid w:val="00DB2436"/>
    <w:rsid w:val="00DB28B5"/>
    <w:rsid w:val="00DB293A"/>
    <w:rsid w:val="00DB29A7"/>
    <w:rsid w:val="00DB2A0B"/>
    <w:rsid w:val="00DB2A85"/>
    <w:rsid w:val="00DB2A8F"/>
    <w:rsid w:val="00DB2B7D"/>
    <w:rsid w:val="00DB2BB4"/>
    <w:rsid w:val="00DB2CED"/>
    <w:rsid w:val="00DB2DC6"/>
    <w:rsid w:val="00DB2DF6"/>
    <w:rsid w:val="00DB2F6C"/>
    <w:rsid w:val="00DB32A3"/>
    <w:rsid w:val="00DB339B"/>
    <w:rsid w:val="00DB347E"/>
    <w:rsid w:val="00DB34CB"/>
    <w:rsid w:val="00DB3586"/>
    <w:rsid w:val="00DB3919"/>
    <w:rsid w:val="00DB394B"/>
    <w:rsid w:val="00DB3A64"/>
    <w:rsid w:val="00DB3BD0"/>
    <w:rsid w:val="00DB3E94"/>
    <w:rsid w:val="00DB3EA1"/>
    <w:rsid w:val="00DB403D"/>
    <w:rsid w:val="00DB407D"/>
    <w:rsid w:val="00DB41B9"/>
    <w:rsid w:val="00DB4207"/>
    <w:rsid w:val="00DB451D"/>
    <w:rsid w:val="00DB470A"/>
    <w:rsid w:val="00DB475A"/>
    <w:rsid w:val="00DB47AC"/>
    <w:rsid w:val="00DB47C9"/>
    <w:rsid w:val="00DB4878"/>
    <w:rsid w:val="00DB4C4D"/>
    <w:rsid w:val="00DB4DB0"/>
    <w:rsid w:val="00DB4DC0"/>
    <w:rsid w:val="00DB5146"/>
    <w:rsid w:val="00DB5154"/>
    <w:rsid w:val="00DB51CC"/>
    <w:rsid w:val="00DB5379"/>
    <w:rsid w:val="00DB53EE"/>
    <w:rsid w:val="00DB5544"/>
    <w:rsid w:val="00DB5589"/>
    <w:rsid w:val="00DB5734"/>
    <w:rsid w:val="00DB5749"/>
    <w:rsid w:val="00DB5AC7"/>
    <w:rsid w:val="00DB5C2A"/>
    <w:rsid w:val="00DB5C61"/>
    <w:rsid w:val="00DB5CFA"/>
    <w:rsid w:val="00DB5D7E"/>
    <w:rsid w:val="00DB5DEA"/>
    <w:rsid w:val="00DB5F55"/>
    <w:rsid w:val="00DB5F9C"/>
    <w:rsid w:val="00DB60A6"/>
    <w:rsid w:val="00DB669B"/>
    <w:rsid w:val="00DB6724"/>
    <w:rsid w:val="00DB6736"/>
    <w:rsid w:val="00DB675E"/>
    <w:rsid w:val="00DB699F"/>
    <w:rsid w:val="00DB69A9"/>
    <w:rsid w:val="00DB6AB6"/>
    <w:rsid w:val="00DB6C02"/>
    <w:rsid w:val="00DB6DCD"/>
    <w:rsid w:val="00DB6E7D"/>
    <w:rsid w:val="00DB6EA9"/>
    <w:rsid w:val="00DB6F63"/>
    <w:rsid w:val="00DB6FAE"/>
    <w:rsid w:val="00DB70BB"/>
    <w:rsid w:val="00DB718C"/>
    <w:rsid w:val="00DB71D3"/>
    <w:rsid w:val="00DB755B"/>
    <w:rsid w:val="00DB76F9"/>
    <w:rsid w:val="00DB782B"/>
    <w:rsid w:val="00DB78D7"/>
    <w:rsid w:val="00DB7985"/>
    <w:rsid w:val="00DB7A27"/>
    <w:rsid w:val="00DB7A95"/>
    <w:rsid w:val="00DB7AF2"/>
    <w:rsid w:val="00DB7B15"/>
    <w:rsid w:val="00DB7C13"/>
    <w:rsid w:val="00DB7C76"/>
    <w:rsid w:val="00DC0032"/>
    <w:rsid w:val="00DC0058"/>
    <w:rsid w:val="00DC021F"/>
    <w:rsid w:val="00DC02D3"/>
    <w:rsid w:val="00DC0372"/>
    <w:rsid w:val="00DC0607"/>
    <w:rsid w:val="00DC06DB"/>
    <w:rsid w:val="00DC0791"/>
    <w:rsid w:val="00DC0984"/>
    <w:rsid w:val="00DC0A76"/>
    <w:rsid w:val="00DC0A9A"/>
    <w:rsid w:val="00DC0ABE"/>
    <w:rsid w:val="00DC0B8F"/>
    <w:rsid w:val="00DC0BD4"/>
    <w:rsid w:val="00DC0BE1"/>
    <w:rsid w:val="00DC0D42"/>
    <w:rsid w:val="00DC0D63"/>
    <w:rsid w:val="00DC0F1D"/>
    <w:rsid w:val="00DC0F6D"/>
    <w:rsid w:val="00DC1011"/>
    <w:rsid w:val="00DC101D"/>
    <w:rsid w:val="00DC103E"/>
    <w:rsid w:val="00DC1087"/>
    <w:rsid w:val="00DC12EF"/>
    <w:rsid w:val="00DC1333"/>
    <w:rsid w:val="00DC13E4"/>
    <w:rsid w:val="00DC1613"/>
    <w:rsid w:val="00DC164F"/>
    <w:rsid w:val="00DC171C"/>
    <w:rsid w:val="00DC17EE"/>
    <w:rsid w:val="00DC1878"/>
    <w:rsid w:val="00DC1906"/>
    <w:rsid w:val="00DC1CB7"/>
    <w:rsid w:val="00DC1D4D"/>
    <w:rsid w:val="00DC1D6A"/>
    <w:rsid w:val="00DC1D8D"/>
    <w:rsid w:val="00DC2052"/>
    <w:rsid w:val="00DC2188"/>
    <w:rsid w:val="00DC218A"/>
    <w:rsid w:val="00DC219D"/>
    <w:rsid w:val="00DC2304"/>
    <w:rsid w:val="00DC235D"/>
    <w:rsid w:val="00DC237A"/>
    <w:rsid w:val="00DC25C3"/>
    <w:rsid w:val="00DC260D"/>
    <w:rsid w:val="00DC27AE"/>
    <w:rsid w:val="00DC2857"/>
    <w:rsid w:val="00DC2886"/>
    <w:rsid w:val="00DC2A37"/>
    <w:rsid w:val="00DC2A80"/>
    <w:rsid w:val="00DC2AB1"/>
    <w:rsid w:val="00DC2B7B"/>
    <w:rsid w:val="00DC2D4D"/>
    <w:rsid w:val="00DC2DBC"/>
    <w:rsid w:val="00DC2E91"/>
    <w:rsid w:val="00DC2F90"/>
    <w:rsid w:val="00DC3125"/>
    <w:rsid w:val="00DC31AF"/>
    <w:rsid w:val="00DC350B"/>
    <w:rsid w:val="00DC36BB"/>
    <w:rsid w:val="00DC370E"/>
    <w:rsid w:val="00DC37D6"/>
    <w:rsid w:val="00DC37E1"/>
    <w:rsid w:val="00DC381F"/>
    <w:rsid w:val="00DC3828"/>
    <w:rsid w:val="00DC390A"/>
    <w:rsid w:val="00DC3A24"/>
    <w:rsid w:val="00DC3A9F"/>
    <w:rsid w:val="00DC3F4F"/>
    <w:rsid w:val="00DC3F9F"/>
    <w:rsid w:val="00DC404B"/>
    <w:rsid w:val="00DC43BB"/>
    <w:rsid w:val="00DC4509"/>
    <w:rsid w:val="00DC4718"/>
    <w:rsid w:val="00DC4755"/>
    <w:rsid w:val="00DC4762"/>
    <w:rsid w:val="00DC47D7"/>
    <w:rsid w:val="00DC4A18"/>
    <w:rsid w:val="00DC4A29"/>
    <w:rsid w:val="00DC4A64"/>
    <w:rsid w:val="00DC4BC5"/>
    <w:rsid w:val="00DC4BE0"/>
    <w:rsid w:val="00DC4D9F"/>
    <w:rsid w:val="00DC4F5D"/>
    <w:rsid w:val="00DC50A5"/>
    <w:rsid w:val="00DC512D"/>
    <w:rsid w:val="00DC5169"/>
    <w:rsid w:val="00DC5232"/>
    <w:rsid w:val="00DC5430"/>
    <w:rsid w:val="00DC5476"/>
    <w:rsid w:val="00DC55E4"/>
    <w:rsid w:val="00DC574C"/>
    <w:rsid w:val="00DC58E0"/>
    <w:rsid w:val="00DC5B99"/>
    <w:rsid w:val="00DC5E90"/>
    <w:rsid w:val="00DC5EC0"/>
    <w:rsid w:val="00DC5F63"/>
    <w:rsid w:val="00DC5F7B"/>
    <w:rsid w:val="00DC5FA7"/>
    <w:rsid w:val="00DC60F6"/>
    <w:rsid w:val="00DC6113"/>
    <w:rsid w:val="00DC6156"/>
    <w:rsid w:val="00DC626C"/>
    <w:rsid w:val="00DC650B"/>
    <w:rsid w:val="00DC6550"/>
    <w:rsid w:val="00DC68E1"/>
    <w:rsid w:val="00DC68E2"/>
    <w:rsid w:val="00DC6B0C"/>
    <w:rsid w:val="00DC6B29"/>
    <w:rsid w:val="00DC6D96"/>
    <w:rsid w:val="00DC6E3D"/>
    <w:rsid w:val="00DC700A"/>
    <w:rsid w:val="00DC7097"/>
    <w:rsid w:val="00DC70B1"/>
    <w:rsid w:val="00DC7234"/>
    <w:rsid w:val="00DC7276"/>
    <w:rsid w:val="00DC7432"/>
    <w:rsid w:val="00DC749E"/>
    <w:rsid w:val="00DC74C5"/>
    <w:rsid w:val="00DC750D"/>
    <w:rsid w:val="00DC76E9"/>
    <w:rsid w:val="00DC7793"/>
    <w:rsid w:val="00DC78A3"/>
    <w:rsid w:val="00DC7AE0"/>
    <w:rsid w:val="00DC7B81"/>
    <w:rsid w:val="00DC7BE3"/>
    <w:rsid w:val="00DC7CE3"/>
    <w:rsid w:val="00DC7D9A"/>
    <w:rsid w:val="00DC7D9F"/>
    <w:rsid w:val="00DC7F28"/>
    <w:rsid w:val="00DC8864"/>
    <w:rsid w:val="00DD0075"/>
    <w:rsid w:val="00DD00FE"/>
    <w:rsid w:val="00DD0183"/>
    <w:rsid w:val="00DD0187"/>
    <w:rsid w:val="00DD037B"/>
    <w:rsid w:val="00DD0534"/>
    <w:rsid w:val="00DD0563"/>
    <w:rsid w:val="00DD056D"/>
    <w:rsid w:val="00DD0710"/>
    <w:rsid w:val="00DD083E"/>
    <w:rsid w:val="00DD0A0B"/>
    <w:rsid w:val="00DD0A5C"/>
    <w:rsid w:val="00DD0ABB"/>
    <w:rsid w:val="00DD0FB7"/>
    <w:rsid w:val="00DD102F"/>
    <w:rsid w:val="00DD10B7"/>
    <w:rsid w:val="00DD111B"/>
    <w:rsid w:val="00DD1409"/>
    <w:rsid w:val="00DD155E"/>
    <w:rsid w:val="00DD16CB"/>
    <w:rsid w:val="00DD17D9"/>
    <w:rsid w:val="00DD1918"/>
    <w:rsid w:val="00DD1BED"/>
    <w:rsid w:val="00DD1C95"/>
    <w:rsid w:val="00DD1E9F"/>
    <w:rsid w:val="00DD1EDD"/>
    <w:rsid w:val="00DD205C"/>
    <w:rsid w:val="00DD2249"/>
    <w:rsid w:val="00DD22D7"/>
    <w:rsid w:val="00DD2391"/>
    <w:rsid w:val="00DD24BD"/>
    <w:rsid w:val="00DD2590"/>
    <w:rsid w:val="00DD277B"/>
    <w:rsid w:val="00DD2840"/>
    <w:rsid w:val="00DD2A70"/>
    <w:rsid w:val="00DD2A90"/>
    <w:rsid w:val="00DD2D20"/>
    <w:rsid w:val="00DD2E18"/>
    <w:rsid w:val="00DD2EC6"/>
    <w:rsid w:val="00DD2F72"/>
    <w:rsid w:val="00DD3037"/>
    <w:rsid w:val="00DD31FB"/>
    <w:rsid w:val="00DD332B"/>
    <w:rsid w:val="00DD334F"/>
    <w:rsid w:val="00DD3398"/>
    <w:rsid w:val="00DD3507"/>
    <w:rsid w:val="00DD37A0"/>
    <w:rsid w:val="00DD38D1"/>
    <w:rsid w:val="00DD39B4"/>
    <w:rsid w:val="00DD3A28"/>
    <w:rsid w:val="00DD3A93"/>
    <w:rsid w:val="00DD3AD1"/>
    <w:rsid w:val="00DD3B75"/>
    <w:rsid w:val="00DD3BA8"/>
    <w:rsid w:val="00DD3D4F"/>
    <w:rsid w:val="00DD3EB0"/>
    <w:rsid w:val="00DD40EC"/>
    <w:rsid w:val="00DD475A"/>
    <w:rsid w:val="00DD47FC"/>
    <w:rsid w:val="00DD4984"/>
    <w:rsid w:val="00DD4A44"/>
    <w:rsid w:val="00DD4C8A"/>
    <w:rsid w:val="00DD4D0D"/>
    <w:rsid w:val="00DD4D72"/>
    <w:rsid w:val="00DD4DBB"/>
    <w:rsid w:val="00DD4E05"/>
    <w:rsid w:val="00DD4E52"/>
    <w:rsid w:val="00DD4E61"/>
    <w:rsid w:val="00DD50F8"/>
    <w:rsid w:val="00DD511D"/>
    <w:rsid w:val="00DD5345"/>
    <w:rsid w:val="00DD552A"/>
    <w:rsid w:val="00DD5624"/>
    <w:rsid w:val="00DD56B0"/>
    <w:rsid w:val="00DD573E"/>
    <w:rsid w:val="00DD5CBA"/>
    <w:rsid w:val="00DD5E5F"/>
    <w:rsid w:val="00DD5EAD"/>
    <w:rsid w:val="00DD61CC"/>
    <w:rsid w:val="00DD628C"/>
    <w:rsid w:val="00DD6669"/>
    <w:rsid w:val="00DD68EC"/>
    <w:rsid w:val="00DD69D6"/>
    <w:rsid w:val="00DD69EE"/>
    <w:rsid w:val="00DD6AD1"/>
    <w:rsid w:val="00DD6FE5"/>
    <w:rsid w:val="00DD702C"/>
    <w:rsid w:val="00DD70E1"/>
    <w:rsid w:val="00DD7219"/>
    <w:rsid w:val="00DD737D"/>
    <w:rsid w:val="00DD739E"/>
    <w:rsid w:val="00DD742E"/>
    <w:rsid w:val="00DD751E"/>
    <w:rsid w:val="00DD778F"/>
    <w:rsid w:val="00DD78D5"/>
    <w:rsid w:val="00DD79AE"/>
    <w:rsid w:val="00DD79F3"/>
    <w:rsid w:val="00DD7A11"/>
    <w:rsid w:val="00DD7AEE"/>
    <w:rsid w:val="00DD7C8E"/>
    <w:rsid w:val="00DD7D96"/>
    <w:rsid w:val="00DD7FFE"/>
    <w:rsid w:val="00DE036C"/>
    <w:rsid w:val="00DE040B"/>
    <w:rsid w:val="00DE05A0"/>
    <w:rsid w:val="00DE0882"/>
    <w:rsid w:val="00DE098F"/>
    <w:rsid w:val="00DE0990"/>
    <w:rsid w:val="00DE0ACF"/>
    <w:rsid w:val="00DE0B1D"/>
    <w:rsid w:val="00DE0BB1"/>
    <w:rsid w:val="00DE0C8F"/>
    <w:rsid w:val="00DE0CA0"/>
    <w:rsid w:val="00DE0EAF"/>
    <w:rsid w:val="00DE0FC2"/>
    <w:rsid w:val="00DE124D"/>
    <w:rsid w:val="00DE1432"/>
    <w:rsid w:val="00DE15FE"/>
    <w:rsid w:val="00DE179C"/>
    <w:rsid w:val="00DE1937"/>
    <w:rsid w:val="00DE19B8"/>
    <w:rsid w:val="00DE1C4B"/>
    <w:rsid w:val="00DE1D67"/>
    <w:rsid w:val="00DE1E9F"/>
    <w:rsid w:val="00DE206E"/>
    <w:rsid w:val="00DE20A0"/>
    <w:rsid w:val="00DE20B0"/>
    <w:rsid w:val="00DE2109"/>
    <w:rsid w:val="00DE2171"/>
    <w:rsid w:val="00DE23E3"/>
    <w:rsid w:val="00DE2489"/>
    <w:rsid w:val="00DE25C2"/>
    <w:rsid w:val="00DE2619"/>
    <w:rsid w:val="00DE274B"/>
    <w:rsid w:val="00DE2833"/>
    <w:rsid w:val="00DE2878"/>
    <w:rsid w:val="00DE2A61"/>
    <w:rsid w:val="00DE2ABB"/>
    <w:rsid w:val="00DE2BA8"/>
    <w:rsid w:val="00DE2CA2"/>
    <w:rsid w:val="00DE2D5A"/>
    <w:rsid w:val="00DE2DF0"/>
    <w:rsid w:val="00DE2E89"/>
    <w:rsid w:val="00DE2F0E"/>
    <w:rsid w:val="00DE2F4C"/>
    <w:rsid w:val="00DE3011"/>
    <w:rsid w:val="00DE312D"/>
    <w:rsid w:val="00DE318A"/>
    <w:rsid w:val="00DE38D2"/>
    <w:rsid w:val="00DE39B2"/>
    <w:rsid w:val="00DE39D4"/>
    <w:rsid w:val="00DE3A07"/>
    <w:rsid w:val="00DE3B2A"/>
    <w:rsid w:val="00DE3D25"/>
    <w:rsid w:val="00DE3D37"/>
    <w:rsid w:val="00DE3E17"/>
    <w:rsid w:val="00DE3E34"/>
    <w:rsid w:val="00DE3EEA"/>
    <w:rsid w:val="00DE3F40"/>
    <w:rsid w:val="00DE402D"/>
    <w:rsid w:val="00DE40F9"/>
    <w:rsid w:val="00DE425F"/>
    <w:rsid w:val="00DE42DB"/>
    <w:rsid w:val="00DE430B"/>
    <w:rsid w:val="00DE43C6"/>
    <w:rsid w:val="00DE451B"/>
    <w:rsid w:val="00DE4742"/>
    <w:rsid w:val="00DE47B5"/>
    <w:rsid w:val="00DE4A39"/>
    <w:rsid w:val="00DE4B3D"/>
    <w:rsid w:val="00DE4D05"/>
    <w:rsid w:val="00DE4D39"/>
    <w:rsid w:val="00DE4D48"/>
    <w:rsid w:val="00DE4DF1"/>
    <w:rsid w:val="00DE4E13"/>
    <w:rsid w:val="00DE5083"/>
    <w:rsid w:val="00DE50F8"/>
    <w:rsid w:val="00DE548B"/>
    <w:rsid w:val="00DE5649"/>
    <w:rsid w:val="00DE58A4"/>
    <w:rsid w:val="00DE58C0"/>
    <w:rsid w:val="00DE59DE"/>
    <w:rsid w:val="00DE5A0F"/>
    <w:rsid w:val="00DE5B28"/>
    <w:rsid w:val="00DE5CD9"/>
    <w:rsid w:val="00DE5E41"/>
    <w:rsid w:val="00DE5F64"/>
    <w:rsid w:val="00DE5FE8"/>
    <w:rsid w:val="00DE6012"/>
    <w:rsid w:val="00DE6087"/>
    <w:rsid w:val="00DE60A6"/>
    <w:rsid w:val="00DE6281"/>
    <w:rsid w:val="00DE629F"/>
    <w:rsid w:val="00DE6303"/>
    <w:rsid w:val="00DE6388"/>
    <w:rsid w:val="00DE646B"/>
    <w:rsid w:val="00DE6496"/>
    <w:rsid w:val="00DE65C8"/>
    <w:rsid w:val="00DE665E"/>
    <w:rsid w:val="00DE6834"/>
    <w:rsid w:val="00DE6877"/>
    <w:rsid w:val="00DE68E0"/>
    <w:rsid w:val="00DE6927"/>
    <w:rsid w:val="00DE6940"/>
    <w:rsid w:val="00DE6964"/>
    <w:rsid w:val="00DE6DBD"/>
    <w:rsid w:val="00DE6E92"/>
    <w:rsid w:val="00DE6F7C"/>
    <w:rsid w:val="00DE6FEB"/>
    <w:rsid w:val="00DE7079"/>
    <w:rsid w:val="00DE724D"/>
    <w:rsid w:val="00DE73CA"/>
    <w:rsid w:val="00DE751C"/>
    <w:rsid w:val="00DE75C2"/>
    <w:rsid w:val="00DE7627"/>
    <w:rsid w:val="00DE765C"/>
    <w:rsid w:val="00DE7915"/>
    <w:rsid w:val="00DE7974"/>
    <w:rsid w:val="00DE7AB5"/>
    <w:rsid w:val="00DE7B70"/>
    <w:rsid w:val="00DE7B8A"/>
    <w:rsid w:val="00DE7BAA"/>
    <w:rsid w:val="00DE7C5A"/>
    <w:rsid w:val="00DE7C65"/>
    <w:rsid w:val="00DE7D66"/>
    <w:rsid w:val="00DE7D78"/>
    <w:rsid w:val="00DE7E08"/>
    <w:rsid w:val="00DE7E37"/>
    <w:rsid w:val="00DE7EF3"/>
    <w:rsid w:val="00DF0088"/>
    <w:rsid w:val="00DF00E1"/>
    <w:rsid w:val="00DF016D"/>
    <w:rsid w:val="00DF01F1"/>
    <w:rsid w:val="00DF0447"/>
    <w:rsid w:val="00DF071B"/>
    <w:rsid w:val="00DF094B"/>
    <w:rsid w:val="00DF0A60"/>
    <w:rsid w:val="00DF0D6A"/>
    <w:rsid w:val="00DF0DBB"/>
    <w:rsid w:val="00DF0DD0"/>
    <w:rsid w:val="00DF0E64"/>
    <w:rsid w:val="00DF0EF8"/>
    <w:rsid w:val="00DF0FD5"/>
    <w:rsid w:val="00DF103F"/>
    <w:rsid w:val="00DF12BC"/>
    <w:rsid w:val="00DF1367"/>
    <w:rsid w:val="00DF1595"/>
    <w:rsid w:val="00DF1620"/>
    <w:rsid w:val="00DF176D"/>
    <w:rsid w:val="00DF17CC"/>
    <w:rsid w:val="00DF1C34"/>
    <w:rsid w:val="00DF1D77"/>
    <w:rsid w:val="00DF1D9C"/>
    <w:rsid w:val="00DF1DF7"/>
    <w:rsid w:val="00DF2022"/>
    <w:rsid w:val="00DF2190"/>
    <w:rsid w:val="00DF2432"/>
    <w:rsid w:val="00DF2640"/>
    <w:rsid w:val="00DF26AB"/>
    <w:rsid w:val="00DF2976"/>
    <w:rsid w:val="00DF29D8"/>
    <w:rsid w:val="00DF2AD8"/>
    <w:rsid w:val="00DF2B7B"/>
    <w:rsid w:val="00DF2B95"/>
    <w:rsid w:val="00DF2D3E"/>
    <w:rsid w:val="00DF2F55"/>
    <w:rsid w:val="00DF2F6B"/>
    <w:rsid w:val="00DF3019"/>
    <w:rsid w:val="00DF3236"/>
    <w:rsid w:val="00DF33EB"/>
    <w:rsid w:val="00DF34E8"/>
    <w:rsid w:val="00DF3523"/>
    <w:rsid w:val="00DF3776"/>
    <w:rsid w:val="00DF37C4"/>
    <w:rsid w:val="00DF384E"/>
    <w:rsid w:val="00DF396B"/>
    <w:rsid w:val="00DF3C4D"/>
    <w:rsid w:val="00DF3D08"/>
    <w:rsid w:val="00DF3D93"/>
    <w:rsid w:val="00DF3FB9"/>
    <w:rsid w:val="00DF4102"/>
    <w:rsid w:val="00DF433A"/>
    <w:rsid w:val="00DF446B"/>
    <w:rsid w:val="00DF467C"/>
    <w:rsid w:val="00DF46B5"/>
    <w:rsid w:val="00DF46C9"/>
    <w:rsid w:val="00DF4735"/>
    <w:rsid w:val="00DF4C89"/>
    <w:rsid w:val="00DF4D17"/>
    <w:rsid w:val="00DF4ED9"/>
    <w:rsid w:val="00DF4FA0"/>
    <w:rsid w:val="00DF5010"/>
    <w:rsid w:val="00DF5076"/>
    <w:rsid w:val="00DF528F"/>
    <w:rsid w:val="00DF52A8"/>
    <w:rsid w:val="00DF543E"/>
    <w:rsid w:val="00DF5544"/>
    <w:rsid w:val="00DF5940"/>
    <w:rsid w:val="00DF5A24"/>
    <w:rsid w:val="00DF5BCE"/>
    <w:rsid w:val="00DF5D57"/>
    <w:rsid w:val="00DF5EAA"/>
    <w:rsid w:val="00DF5EE4"/>
    <w:rsid w:val="00DF5FA9"/>
    <w:rsid w:val="00DF602E"/>
    <w:rsid w:val="00DF6115"/>
    <w:rsid w:val="00DF6307"/>
    <w:rsid w:val="00DF64D9"/>
    <w:rsid w:val="00DF669E"/>
    <w:rsid w:val="00DF6809"/>
    <w:rsid w:val="00DF6830"/>
    <w:rsid w:val="00DF6930"/>
    <w:rsid w:val="00DF6945"/>
    <w:rsid w:val="00DF69B6"/>
    <w:rsid w:val="00DF6DCA"/>
    <w:rsid w:val="00DF6E97"/>
    <w:rsid w:val="00DF6EB4"/>
    <w:rsid w:val="00DF6EE0"/>
    <w:rsid w:val="00DF7035"/>
    <w:rsid w:val="00DF7159"/>
    <w:rsid w:val="00DF7205"/>
    <w:rsid w:val="00DF720D"/>
    <w:rsid w:val="00DF7286"/>
    <w:rsid w:val="00DF728A"/>
    <w:rsid w:val="00DF786F"/>
    <w:rsid w:val="00DF7910"/>
    <w:rsid w:val="00DF7D1A"/>
    <w:rsid w:val="00DF7DB9"/>
    <w:rsid w:val="00DF7E1E"/>
    <w:rsid w:val="00DF7F08"/>
    <w:rsid w:val="00E0015B"/>
    <w:rsid w:val="00E00872"/>
    <w:rsid w:val="00E008CF"/>
    <w:rsid w:val="00E00996"/>
    <w:rsid w:val="00E009CC"/>
    <w:rsid w:val="00E00A22"/>
    <w:rsid w:val="00E00BB7"/>
    <w:rsid w:val="00E00C76"/>
    <w:rsid w:val="00E00C99"/>
    <w:rsid w:val="00E00D11"/>
    <w:rsid w:val="00E01059"/>
    <w:rsid w:val="00E012F9"/>
    <w:rsid w:val="00E01317"/>
    <w:rsid w:val="00E01693"/>
    <w:rsid w:val="00E01819"/>
    <w:rsid w:val="00E0182D"/>
    <w:rsid w:val="00E01942"/>
    <w:rsid w:val="00E0194A"/>
    <w:rsid w:val="00E01BC4"/>
    <w:rsid w:val="00E01BD2"/>
    <w:rsid w:val="00E01C0B"/>
    <w:rsid w:val="00E02116"/>
    <w:rsid w:val="00E0218F"/>
    <w:rsid w:val="00E021A7"/>
    <w:rsid w:val="00E0231C"/>
    <w:rsid w:val="00E02390"/>
    <w:rsid w:val="00E0245E"/>
    <w:rsid w:val="00E02546"/>
    <w:rsid w:val="00E02575"/>
    <w:rsid w:val="00E026D1"/>
    <w:rsid w:val="00E0287F"/>
    <w:rsid w:val="00E02B70"/>
    <w:rsid w:val="00E02F41"/>
    <w:rsid w:val="00E03089"/>
    <w:rsid w:val="00E03179"/>
    <w:rsid w:val="00E03211"/>
    <w:rsid w:val="00E032FF"/>
    <w:rsid w:val="00E03315"/>
    <w:rsid w:val="00E03319"/>
    <w:rsid w:val="00E0338E"/>
    <w:rsid w:val="00E033CC"/>
    <w:rsid w:val="00E03556"/>
    <w:rsid w:val="00E0358B"/>
    <w:rsid w:val="00E036C7"/>
    <w:rsid w:val="00E037D1"/>
    <w:rsid w:val="00E0397B"/>
    <w:rsid w:val="00E03ABA"/>
    <w:rsid w:val="00E03B51"/>
    <w:rsid w:val="00E03B92"/>
    <w:rsid w:val="00E03C0B"/>
    <w:rsid w:val="00E03E1F"/>
    <w:rsid w:val="00E03E26"/>
    <w:rsid w:val="00E0405A"/>
    <w:rsid w:val="00E04064"/>
    <w:rsid w:val="00E042A8"/>
    <w:rsid w:val="00E0435F"/>
    <w:rsid w:val="00E044FE"/>
    <w:rsid w:val="00E04544"/>
    <w:rsid w:val="00E047D1"/>
    <w:rsid w:val="00E0481C"/>
    <w:rsid w:val="00E04E4E"/>
    <w:rsid w:val="00E04E72"/>
    <w:rsid w:val="00E05143"/>
    <w:rsid w:val="00E051B4"/>
    <w:rsid w:val="00E05530"/>
    <w:rsid w:val="00E0554F"/>
    <w:rsid w:val="00E058C0"/>
    <w:rsid w:val="00E0594D"/>
    <w:rsid w:val="00E0598E"/>
    <w:rsid w:val="00E059C3"/>
    <w:rsid w:val="00E05A1C"/>
    <w:rsid w:val="00E05A74"/>
    <w:rsid w:val="00E05AC1"/>
    <w:rsid w:val="00E05B75"/>
    <w:rsid w:val="00E05FC3"/>
    <w:rsid w:val="00E0613B"/>
    <w:rsid w:val="00E061FE"/>
    <w:rsid w:val="00E066C1"/>
    <w:rsid w:val="00E06740"/>
    <w:rsid w:val="00E0674A"/>
    <w:rsid w:val="00E068C0"/>
    <w:rsid w:val="00E068CB"/>
    <w:rsid w:val="00E06A53"/>
    <w:rsid w:val="00E06B3B"/>
    <w:rsid w:val="00E06B85"/>
    <w:rsid w:val="00E06BAF"/>
    <w:rsid w:val="00E06C3C"/>
    <w:rsid w:val="00E06DB8"/>
    <w:rsid w:val="00E06DC7"/>
    <w:rsid w:val="00E0761E"/>
    <w:rsid w:val="00E07692"/>
    <w:rsid w:val="00E077CF"/>
    <w:rsid w:val="00E078BE"/>
    <w:rsid w:val="00E07922"/>
    <w:rsid w:val="00E07AE2"/>
    <w:rsid w:val="00E07C7A"/>
    <w:rsid w:val="00E07D26"/>
    <w:rsid w:val="00E07D78"/>
    <w:rsid w:val="00E07F50"/>
    <w:rsid w:val="00E10341"/>
    <w:rsid w:val="00E10581"/>
    <w:rsid w:val="00E105C0"/>
    <w:rsid w:val="00E107A4"/>
    <w:rsid w:val="00E10855"/>
    <w:rsid w:val="00E1093F"/>
    <w:rsid w:val="00E109EA"/>
    <w:rsid w:val="00E10AFA"/>
    <w:rsid w:val="00E10B75"/>
    <w:rsid w:val="00E10BBD"/>
    <w:rsid w:val="00E10CF7"/>
    <w:rsid w:val="00E10E97"/>
    <w:rsid w:val="00E10EA2"/>
    <w:rsid w:val="00E110AE"/>
    <w:rsid w:val="00E11198"/>
    <w:rsid w:val="00E1129B"/>
    <w:rsid w:val="00E11372"/>
    <w:rsid w:val="00E116B2"/>
    <w:rsid w:val="00E116C5"/>
    <w:rsid w:val="00E11920"/>
    <w:rsid w:val="00E119C1"/>
    <w:rsid w:val="00E119DE"/>
    <w:rsid w:val="00E11A11"/>
    <w:rsid w:val="00E11BDB"/>
    <w:rsid w:val="00E11E43"/>
    <w:rsid w:val="00E11F89"/>
    <w:rsid w:val="00E11FE4"/>
    <w:rsid w:val="00E1220C"/>
    <w:rsid w:val="00E125FE"/>
    <w:rsid w:val="00E1260A"/>
    <w:rsid w:val="00E126D9"/>
    <w:rsid w:val="00E127C6"/>
    <w:rsid w:val="00E1289D"/>
    <w:rsid w:val="00E128B9"/>
    <w:rsid w:val="00E12A84"/>
    <w:rsid w:val="00E12CAA"/>
    <w:rsid w:val="00E12DF5"/>
    <w:rsid w:val="00E12E21"/>
    <w:rsid w:val="00E12F7B"/>
    <w:rsid w:val="00E12FB8"/>
    <w:rsid w:val="00E12FF5"/>
    <w:rsid w:val="00E13380"/>
    <w:rsid w:val="00E13392"/>
    <w:rsid w:val="00E13E0B"/>
    <w:rsid w:val="00E13F1D"/>
    <w:rsid w:val="00E14077"/>
    <w:rsid w:val="00E1458B"/>
    <w:rsid w:val="00E14598"/>
    <w:rsid w:val="00E1464D"/>
    <w:rsid w:val="00E1478F"/>
    <w:rsid w:val="00E1482A"/>
    <w:rsid w:val="00E149CE"/>
    <w:rsid w:val="00E149DB"/>
    <w:rsid w:val="00E14C32"/>
    <w:rsid w:val="00E14CA2"/>
    <w:rsid w:val="00E14DA2"/>
    <w:rsid w:val="00E15065"/>
    <w:rsid w:val="00E1512D"/>
    <w:rsid w:val="00E15243"/>
    <w:rsid w:val="00E15368"/>
    <w:rsid w:val="00E1539A"/>
    <w:rsid w:val="00E153DD"/>
    <w:rsid w:val="00E154D8"/>
    <w:rsid w:val="00E15510"/>
    <w:rsid w:val="00E1579B"/>
    <w:rsid w:val="00E15A08"/>
    <w:rsid w:val="00E15BE0"/>
    <w:rsid w:val="00E15C63"/>
    <w:rsid w:val="00E15F56"/>
    <w:rsid w:val="00E15F8D"/>
    <w:rsid w:val="00E1602F"/>
    <w:rsid w:val="00E160D4"/>
    <w:rsid w:val="00E1612B"/>
    <w:rsid w:val="00E161E4"/>
    <w:rsid w:val="00E16332"/>
    <w:rsid w:val="00E16400"/>
    <w:rsid w:val="00E16406"/>
    <w:rsid w:val="00E164C6"/>
    <w:rsid w:val="00E16662"/>
    <w:rsid w:val="00E16684"/>
    <w:rsid w:val="00E167D0"/>
    <w:rsid w:val="00E169E9"/>
    <w:rsid w:val="00E16C53"/>
    <w:rsid w:val="00E16CCB"/>
    <w:rsid w:val="00E16DA0"/>
    <w:rsid w:val="00E16DF9"/>
    <w:rsid w:val="00E16F1D"/>
    <w:rsid w:val="00E16F2A"/>
    <w:rsid w:val="00E16FCD"/>
    <w:rsid w:val="00E170B5"/>
    <w:rsid w:val="00E17143"/>
    <w:rsid w:val="00E17164"/>
    <w:rsid w:val="00E17222"/>
    <w:rsid w:val="00E173D6"/>
    <w:rsid w:val="00E1777D"/>
    <w:rsid w:val="00E17826"/>
    <w:rsid w:val="00E17886"/>
    <w:rsid w:val="00E178DE"/>
    <w:rsid w:val="00E17A19"/>
    <w:rsid w:val="00E17A73"/>
    <w:rsid w:val="00E17AA8"/>
    <w:rsid w:val="00E17B92"/>
    <w:rsid w:val="00E17C1F"/>
    <w:rsid w:val="00E17C60"/>
    <w:rsid w:val="00E17E22"/>
    <w:rsid w:val="00E17E64"/>
    <w:rsid w:val="00E200E5"/>
    <w:rsid w:val="00E2015A"/>
    <w:rsid w:val="00E2023F"/>
    <w:rsid w:val="00E20256"/>
    <w:rsid w:val="00E20261"/>
    <w:rsid w:val="00E2041E"/>
    <w:rsid w:val="00E206C1"/>
    <w:rsid w:val="00E20777"/>
    <w:rsid w:val="00E20883"/>
    <w:rsid w:val="00E20A8A"/>
    <w:rsid w:val="00E20D3A"/>
    <w:rsid w:val="00E20DAF"/>
    <w:rsid w:val="00E20FDB"/>
    <w:rsid w:val="00E2105A"/>
    <w:rsid w:val="00E2119E"/>
    <w:rsid w:val="00E211A2"/>
    <w:rsid w:val="00E2121A"/>
    <w:rsid w:val="00E21310"/>
    <w:rsid w:val="00E21323"/>
    <w:rsid w:val="00E217B7"/>
    <w:rsid w:val="00E21847"/>
    <w:rsid w:val="00E21A1E"/>
    <w:rsid w:val="00E21A25"/>
    <w:rsid w:val="00E21A39"/>
    <w:rsid w:val="00E21B4A"/>
    <w:rsid w:val="00E21BE7"/>
    <w:rsid w:val="00E21E5F"/>
    <w:rsid w:val="00E21F5F"/>
    <w:rsid w:val="00E220D4"/>
    <w:rsid w:val="00E221D2"/>
    <w:rsid w:val="00E22298"/>
    <w:rsid w:val="00E222A1"/>
    <w:rsid w:val="00E22B38"/>
    <w:rsid w:val="00E22E27"/>
    <w:rsid w:val="00E22E7A"/>
    <w:rsid w:val="00E2301C"/>
    <w:rsid w:val="00E231AB"/>
    <w:rsid w:val="00E2337B"/>
    <w:rsid w:val="00E23495"/>
    <w:rsid w:val="00E235F7"/>
    <w:rsid w:val="00E23925"/>
    <w:rsid w:val="00E23B03"/>
    <w:rsid w:val="00E23B9B"/>
    <w:rsid w:val="00E24174"/>
    <w:rsid w:val="00E241C9"/>
    <w:rsid w:val="00E242FF"/>
    <w:rsid w:val="00E24344"/>
    <w:rsid w:val="00E24379"/>
    <w:rsid w:val="00E246B8"/>
    <w:rsid w:val="00E247FA"/>
    <w:rsid w:val="00E24862"/>
    <w:rsid w:val="00E24970"/>
    <w:rsid w:val="00E24C63"/>
    <w:rsid w:val="00E24C64"/>
    <w:rsid w:val="00E24C75"/>
    <w:rsid w:val="00E24C96"/>
    <w:rsid w:val="00E24D51"/>
    <w:rsid w:val="00E2503D"/>
    <w:rsid w:val="00E25134"/>
    <w:rsid w:val="00E253EA"/>
    <w:rsid w:val="00E2545D"/>
    <w:rsid w:val="00E254C5"/>
    <w:rsid w:val="00E2563A"/>
    <w:rsid w:val="00E25A24"/>
    <w:rsid w:val="00E25A94"/>
    <w:rsid w:val="00E25DC5"/>
    <w:rsid w:val="00E26006"/>
    <w:rsid w:val="00E2607D"/>
    <w:rsid w:val="00E260E6"/>
    <w:rsid w:val="00E26399"/>
    <w:rsid w:val="00E263E0"/>
    <w:rsid w:val="00E264C4"/>
    <w:rsid w:val="00E264D6"/>
    <w:rsid w:val="00E26691"/>
    <w:rsid w:val="00E26995"/>
    <w:rsid w:val="00E269B0"/>
    <w:rsid w:val="00E26A15"/>
    <w:rsid w:val="00E26A4E"/>
    <w:rsid w:val="00E26AE7"/>
    <w:rsid w:val="00E26B9F"/>
    <w:rsid w:val="00E26D20"/>
    <w:rsid w:val="00E26F80"/>
    <w:rsid w:val="00E2701B"/>
    <w:rsid w:val="00E27089"/>
    <w:rsid w:val="00E270B3"/>
    <w:rsid w:val="00E27121"/>
    <w:rsid w:val="00E2732F"/>
    <w:rsid w:val="00E2733C"/>
    <w:rsid w:val="00E2736A"/>
    <w:rsid w:val="00E2746B"/>
    <w:rsid w:val="00E274BE"/>
    <w:rsid w:val="00E2783D"/>
    <w:rsid w:val="00E278DF"/>
    <w:rsid w:val="00E279F9"/>
    <w:rsid w:val="00E27A26"/>
    <w:rsid w:val="00E27A38"/>
    <w:rsid w:val="00E27C5F"/>
    <w:rsid w:val="00E30065"/>
    <w:rsid w:val="00E30097"/>
    <w:rsid w:val="00E3026E"/>
    <w:rsid w:val="00E30346"/>
    <w:rsid w:val="00E303D1"/>
    <w:rsid w:val="00E3051A"/>
    <w:rsid w:val="00E30560"/>
    <w:rsid w:val="00E306EA"/>
    <w:rsid w:val="00E30789"/>
    <w:rsid w:val="00E30792"/>
    <w:rsid w:val="00E3083E"/>
    <w:rsid w:val="00E308D2"/>
    <w:rsid w:val="00E309A6"/>
    <w:rsid w:val="00E30A81"/>
    <w:rsid w:val="00E30AB4"/>
    <w:rsid w:val="00E30B0B"/>
    <w:rsid w:val="00E30BE8"/>
    <w:rsid w:val="00E30BE9"/>
    <w:rsid w:val="00E30EF3"/>
    <w:rsid w:val="00E313B9"/>
    <w:rsid w:val="00E31541"/>
    <w:rsid w:val="00E3159B"/>
    <w:rsid w:val="00E31631"/>
    <w:rsid w:val="00E3169C"/>
    <w:rsid w:val="00E31791"/>
    <w:rsid w:val="00E317C1"/>
    <w:rsid w:val="00E31812"/>
    <w:rsid w:val="00E318D4"/>
    <w:rsid w:val="00E319A2"/>
    <w:rsid w:val="00E319D0"/>
    <w:rsid w:val="00E31A44"/>
    <w:rsid w:val="00E31A49"/>
    <w:rsid w:val="00E31B03"/>
    <w:rsid w:val="00E31B9B"/>
    <w:rsid w:val="00E31C02"/>
    <w:rsid w:val="00E31EC4"/>
    <w:rsid w:val="00E31EEC"/>
    <w:rsid w:val="00E32006"/>
    <w:rsid w:val="00E320A0"/>
    <w:rsid w:val="00E320D6"/>
    <w:rsid w:val="00E32176"/>
    <w:rsid w:val="00E32424"/>
    <w:rsid w:val="00E32514"/>
    <w:rsid w:val="00E3267A"/>
    <w:rsid w:val="00E32683"/>
    <w:rsid w:val="00E326AB"/>
    <w:rsid w:val="00E327FB"/>
    <w:rsid w:val="00E32803"/>
    <w:rsid w:val="00E32901"/>
    <w:rsid w:val="00E32B0A"/>
    <w:rsid w:val="00E32B93"/>
    <w:rsid w:val="00E32C63"/>
    <w:rsid w:val="00E32CE0"/>
    <w:rsid w:val="00E32D11"/>
    <w:rsid w:val="00E32D78"/>
    <w:rsid w:val="00E32DFC"/>
    <w:rsid w:val="00E32EC4"/>
    <w:rsid w:val="00E32F1F"/>
    <w:rsid w:val="00E32FF2"/>
    <w:rsid w:val="00E330FF"/>
    <w:rsid w:val="00E3326E"/>
    <w:rsid w:val="00E3328F"/>
    <w:rsid w:val="00E33347"/>
    <w:rsid w:val="00E33486"/>
    <w:rsid w:val="00E335C1"/>
    <w:rsid w:val="00E33904"/>
    <w:rsid w:val="00E33AC9"/>
    <w:rsid w:val="00E33D00"/>
    <w:rsid w:val="00E340F7"/>
    <w:rsid w:val="00E34191"/>
    <w:rsid w:val="00E341E6"/>
    <w:rsid w:val="00E34292"/>
    <w:rsid w:val="00E34552"/>
    <w:rsid w:val="00E3461B"/>
    <w:rsid w:val="00E34728"/>
    <w:rsid w:val="00E347CF"/>
    <w:rsid w:val="00E34AF7"/>
    <w:rsid w:val="00E34BAC"/>
    <w:rsid w:val="00E34BF5"/>
    <w:rsid w:val="00E34C43"/>
    <w:rsid w:val="00E34D70"/>
    <w:rsid w:val="00E34E2F"/>
    <w:rsid w:val="00E34FE2"/>
    <w:rsid w:val="00E350CD"/>
    <w:rsid w:val="00E35161"/>
    <w:rsid w:val="00E352CF"/>
    <w:rsid w:val="00E353D9"/>
    <w:rsid w:val="00E354C7"/>
    <w:rsid w:val="00E35658"/>
    <w:rsid w:val="00E356F2"/>
    <w:rsid w:val="00E359E7"/>
    <w:rsid w:val="00E35AAF"/>
    <w:rsid w:val="00E35CC8"/>
    <w:rsid w:val="00E35D3C"/>
    <w:rsid w:val="00E35FB3"/>
    <w:rsid w:val="00E3610C"/>
    <w:rsid w:val="00E361C4"/>
    <w:rsid w:val="00E36576"/>
    <w:rsid w:val="00E36778"/>
    <w:rsid w:val="00E367EB"/>
    <w:rsid w:val="00E368BD"/>
    <w:rsid w:val="00E368FF"/>
    <w:rsid w:val="00E36AAF"/>
    <w:rsid w:val="00E36ACB"/>
    <w:rsid w:val="00E36B0A"/>
    <w:rsid w:val="00E36C46"/>
    <w:rsid w:val="00E36C85"/>
    <w:rsid w:val="00E36D64"/>
    <w:rsid w:val="00E36E46"/>
    <w:rsid w:val="00E36E87"/>
    <w:rsid w:val="00E36F26"/>
    <w:rsid w:val="00E36FEC"/>
    <w:rsid w:val="00E370DF"/>
    <w:rsid w:val="00E37495"/>
    <w:rsid w:val="00E374DA"/>
    <w:rsid w:val="00E37590"/>
    <w:rsid w:val="00E375D9"/>
    <w:rsid w:val="00E375E8"/>
    <w:rsid w:val="00E37611"/>
    <w:rsid w:val="00E376E3"/>
    <w:rsid w:val="00E37942"/>
    <w:rsid w:val="00E37980"/>
    <w:rsid w:val="00E37A2D"/>
    <w:rsid w:val="00E37B1F"/>
    <w:rsid w:val="00E37DA1"/>
    <w:rsid w:val="00E37DB7"/>
    <w:rsid w:val="00E37F5A"/>
    <w:rsid w:val="00E37F71"/>
    <w:rsid w:val="00E402BB"/>
    <w:rsid w:val="00E4038D"/>
    <w:rsid w:val="00E4039D"/>
    <w:rsid w:val="00E404B9"/>
    <w:rsid w:val="00E40556"/>
    <w:rsid w:val="00E405FE"/>
    <w:rsid w:val="00E4085A"/>
    <w:rsid w:val="00E408E3"/>
    <w:rsid w:val="00E40961"/>
    <w:rsid w:val="00E40B3D"/>
    <w:rsid w:val="00E40CD0"/>
    <w:rsid w:val="00E40D86"/>
    <w:rsid w:val="00E40DF1"/>
    <w:rsid w:val="00E40E33"/>
    <w:rsid w:val="00E40F12"/>
    <w:rsid w:val="00E4124F"/>
    <w:rsid w:val="00E41299"/>
    <w:rsid w:val="00E41364"/>
    <w:rsid w:val="00E4156E"/>
    <w:rsid w:val="00E4159D"/>
    <w:rsid w:val="00E41717"/>
    <w:rsid w:val="00E419D9"/>
    <w:rsid w:val="00E41AB9"/>
    <w:rsid w:val="00E41AF7"/>
    <w:rsid w:val="00E41CB3"/>
    <w:rsid w:val="00E41CD1"/>
    <w:rsid w:val="00E41D9D"/>
    <w:rsid w:val="00E42053"/>
    <w:rsid w:val="00E42077"/>
    <w:rsid w:val="00E420A4"/>
    <w:rsid w:val="00E420B2"/>
    <w:rsid w:val="00E420D5"/>
    <w:rsid w:val="00E4215C"/>
    <w:rsid w:val="00E423FC"/>
    <w:rsid w:val="00E4248D"/>
    <w:rsid w:val="00E42555"/>
    <w:rsid w:val="00E42610"/>
    <w:rsid w:val="00E426F2"/>
    <w:rsid w:val="00E427A7"/>
    <w:rsid w:val="00E42A12"/>
    <w:rsid w:val="00E42AA6"/>
    <w:rsid w:val="00E42B7A"/>
    <w:rsid w:val="00E42BA8"/>
    <w:rsid w:val="00E42BC0"/>
    <w:rsid w:val="00E42CEC"/>
    <w:rsid w:val="00E42E94"/>
    <w:rsid w:val="00E42EFC"/>
    <w:rsid w:val="00E42F25"/>
    <w:rsid w:val="00E430DE"/>
    <w:rsid w:val="00E43104"/>
    <w:rsid w:val="00E4324A"/>
    <w:rsid w:val="00E432AE"/>
    <w:rsid w:val="00E432F3"/>
    <w:rsid w:val="00E4331D"/>
    <w:rsid w:val="00E4351B"/>
    <w:rsid w:val="00E4353C"/>
    <w:rsid w:val="00E435F5"/>
    <w:rsid w:val="00E436BE"/>
    <w:rsid w:val="00E43767"/>
    <w:rsid w:val="00E43AEA"/>
    <w:rsid w:val="00E43B25"/>
    <w:rsid w:val="00E43D60"/>
    <w:rsid w:val="00E43E22"/>
    <w:rsid w:val="00E43F40"/>
    <w:rsid w:val="00E43FC6"/>
    <w:rsid w:val="00E43FE0"/>
    <w:rsid w:val="00E4408D"/>
    <w:rsid w:val="00E4431A"/>
    <w:rsid w:val="00E4433B"/>
    <w:rsid w:val="00E4434A"/>
    <w:rsid w:val="00E443D2"/>
    <w:rsid w:val="00E4447E"/>
    <w:rsid w:val="00E446A9"/>
    <w:rsid w:val="00E44832"/>
    <w:rsid w:val="00E4495B"/>
    <w:rsid w:val="00E44A3F"/>
    <w:rsid w:val="00E44E81"/>
    <w:rsid w:val="00E44E94"/>
    <w:rsid w:val="00E453C5"/>
    <w:rsid w:val="00E45506"/>
    <w:rsid w:val="00E457B7"/>
    <w:rsid w:val="00E458E4"/>
    <w:rsid w:val="00E4598F"/>
    <w:rsid w:val="00E45AF8"/>
    <w:rsid w:val="00E45B14"/>
    <w:rsid w:val="00E45CB6"/>
    <w:rsid w:val="00E45DC5"/>
    <w:rsid w:val="00E45DD5"/>
    <w:rsid w:val="00E45EF3"/>
    <w:rsid w:val="00E45F0B"/>
    <w:rsid w:val="00E460C1"/>
    <w:rsid w:val="00E46155"/>
    <w:rsid w:val="00E4618A"/>
    <w:rsid w:val="00E464C5"/>
    <w:rsid w:val="00E464E8"/>
    <w:rsid w:val="00E465C5"/>
    <w:rsid w:val="00E468AE"/>
    <w:rsid w:val="00E46D60"/>
    <w:rsid w:val="00E46D67"/>
    <w:rsid w:val="00E46ECF"/>
    <w:rsid w:val="00E46EE4"/>
    <w:rsid w:val="00E46EF3"/>
    <w:rsid w:val="00E471AF"/>
    <w:rsid w:val="00E4736F"/>
    <w:rsid w:val="00E473D5"/>
    <w:rsid w:val="00E473EF"/>
    <w:rsid w:val="00E47477"/>
    <w:rsid w:val="00E474BB"/>
    <w:rsid w:val="00E47693"/>
    <w:rsid w:val="00E47735"/>
    <w:rsid w:val="00E47B00"/>
    <w:rsid w:val="00E47B91"/>
    <w:rsid w:val="00E47E69"/>
    <w:rsid w:val="00E501EC"/>
    <w:rsid w:val="00E50239"/>
    <w:rsid w:val="00E50629"/>
    <w:rsid w:val="00E50681"/>
    <w:rsid w:val="00E5084C"/>
    <w:rsid w:val="00E509A1"/>
    <w:rsid w:val="00E50C45"/>
    <w:rsid w:val="00E50CF4"/>
    <w:rsid w:val="00E50E5A"/>
    <w:rsid w:val="00E5123C"/>
    <w:rsid w:val="00E51289"/>
    <w:rsid w:val="00E512E7"/>
    <w:rsid w:val="00E51325"/>
    <w:rsid w:val="00E51341"/>
    <w:rsid w:val="00E513A6"/>
    <w:rsid w:val="00E51400"/>
    <w:rsid w:val="00E514B2"/>
    <w:rsid w:val="00E51539"/>
    <w:rsid w:val="00E5168D"/>
    <w:rsid w:val="00E516FE"/>
    <w:rsid w:val="00E5173F"/>
    <w:rsid w:val="00E51B73"/>
    <w:rsid w:val="00E51BE5"/>
    <w:rsid w:val="00E51C0A"/>
    <w:rsid w:val="00E51F17"/>
    <w:rsid w:val="00E51FE7"/>
    <w:rsid w:val="00E52011"/>
    <w:rsid w:val="00E52062"/>
    <w:rsid w:val="00E5212D"/>
    <w:rsid w:val="00E52516"/>
    <w:rsid w:val="00E52533"/>
    <w:rsid w:val="00E52901"/>
    <w:rsid w:val="00E52975"/>
    <w:rsid w:val="00E52994"/>
    <w:rsid w:val="00E52A97"/>
    <w:rsid w:val="00E52C14"/>
    <w:rsid w:val="00E52CB7"/>
    <w:rsid w:val="00E52D25"/>
    <w:rsid w:val="00E52D86"/>
    <w:rsid w:val="00E52D8B"/>
    <w:rsid w:val="00E52E88"/>
    <w:rsid w:val="00E52E8B"/>
    <w:rsid w:val="00E52FCA"/>
    <w:rsid w:val="00E53112"/>
    <w:rsid w:val="00E53209"/>
    <w:rsid w:val="00E5322D"/>
    <w:rsid w:val="00E532F7"/>
    <w:rsid w:val="00E53435"/>
    <w:rsid w:val="00E53466"/>
    <w:rsid w:val="00E534F4"/>
    <w:rsid w:val="00E535CD"/>
    <w:rsid w:val="00E5363A"/>
    <w:rsid w:val="00E5392C"/>
    <w:rsid w:val="00E53A8F"/>
    <w:rsid w:val="00E53D33"/>
    <w:rsid w:val="00E53D6C"/>
    <w:rsid w:val="00E53E24"/>
    <w:rsid w:val="00E53EC6"/>
    <w:rsid w:val="00E541EE"/>
    <w:rsid w:val="00E542CF"/>
    <w:rsid w:val="00E54413"/>
    <w:rsid w:val="00E5447E"/>
    <w:rsid w:val="00E54522"/>
    <w:rsid w:val="00E5469E"/>
    <w:rsid w:val="00E54847"/>
    <w:rsid w:val="00E548AC"/>
    <w:rsid w:val="00E5491B"/>
    <w:rsid w:val="00E549D0"/>
    <w:rsid w:val="00E54A8E"/>
    <w:rsid w:val="00E54B56"/>
    <w:rsid w:val="00E54B9D"/>
    <w:rsid w:val="00E54BFE"/>
    <w:rsid w:val="00E54C5E"/>
    <w:rsid w:val="00E54CB0"/>
    <w:rsid w:val="00E54CF9"/>
    <w:rsid w:val="00E54D37"/>
    <w:rsid w:val="00E54E98"/>
    <w:rsid w:val="00E551AD"/>
    <w:rsid w:val="00E55203"/>
    <w:rsid w:val="00E55351"/>
    <w:rsid w:val="00E554ED"/>
    <w:rsid w:val="00E5554C"/>
    <w:rsid w:val="00E555BF"/>
    <w:rsid w:val="00E556D8"/>
    <w:rsid w:val="00E55702"/>
    <w:rsid w:val="00E55775"/>
    <w:rsid w:val="00E55800"/>
    <w:rsid w:val="00E5589E"/>
    <w:rsid w:val="00E5594B"/>
    <w:rsid w:val="00E55961"/>
    <w:rsid w:val="00E559C7"/>
    <w:rsid w:val="00E55D24"/>
    <w:rsid w:val="00E55D57"/>
    <w:rsid w:val="00E5621C"/>
    <w:rsid w:val="00E56375"/>
    <w:rsid w:val="00E5658B"/>
    <w:rsid w:val="00E56985"/>
    <w:rsid w:val="00E569A4"/>
    <w:rsid w:val="00E56C01"/>
    <w:rsid w:val="00E56C52"/>
    <w:rsid w:val="00E56D69"/>
    <w:rsid w:val="00E56D80"/>
    <w:rsid w:val="00E56FDA"/>
    <w:rsid w:val="00E570A8"/>
    <w:rsid w:val="00E57100"/>
    <w:rsid w:val="00E57223"/>
    <w:rsid w:val="00E573E6"/>
    <w:rsid w:val="00E57408"/>
    <w:rsid w:val="00E576BE"/>
    <w:rsid w:val="00E576CA"/>
    <w:rsid w:val="00E57849"/>
    <w:rsid w:val="00E57970"/>
    <w:rsid w:val="00E57A76"/>
    <w:rsid w:val="00E57AD3"/>
    <w:rsid w:val="00E57CF1"/>
    <w:rsid w:val="00E57D75"/>
    <w:rsid w:val="00E57D8E"/>
    <w:rsid w:val="00E57DC6"/>
    <w:rsid w:val="00E57EC2"/>
    <w:rsid w:val="00E6012A"/>
    <w:rsid w:val="00E6019B"/>
    <w:rsid w:val="00E602B6"/>
    <w:rsid w:val="00E60304"/>
    <w:rsid w:val="00E604CE"/>
    <w:rsid w:val="00E604F4"/>
    <w:rsid w:val="00E606C2"/>
    <w:rsid w:val="00E60830"/>
    <w:rsid w:val="00E609D6"/>
    <w:rsid w:val="00E60A28"/>
    <w:rsid w:val="00E60A6D"/>
    <w:rsid w:val="00E60AF6"/>
    <w:rsid w:val="00E60D62"/>
    <w:rsid w:val="00E6109D"/>
    <w:rsid w:val="00E61196"/>
    <w:rsid w:val="00E613A4"/>
    <w:rsid w:val="00E61426"/>
    <w:rsid w:val="00E61596"/>
    <w:rsid w:val="00E615A8"/>
    <w:rsid w:val="00E617DD"/>
    <w:rsid w:val="00E61883"/>
    <w:rsid w:val="00E618AF"/>
    <w:rsid w:val="00E618E6"/>
    <w:rsid w:val="00E6192D"/>
    <w:rsid w:val="00E61BA8"/>
    <w:rsid w:val="00E61BAD"/>
    <w:rsid w:val="00E61CB1"/>
    <w:rsid w:val="00E61CC5"/>
    <w:rsid w:val="00E61D18"/>
    <w:rsid w:val="00E61DFC"/>
    <w:rsid w:val="00E61EE7"/>
    <w:rsid w:val="00E61F1C"/>
    <w:rsid w:val="00E61F90"/>
    <w:rsid w:val="00E620F1"/>
    <w:rsid w:val="00E62113"/>
    <w:rsid w:val="00E62272"/>
    <w:rsid w:val="00E62387"/>
    <w:rsid w:val="00E62575"/>
    <w:rsid w:val="00E62714"/>
    <w:rsid w:val="00E6272D"/>
    <w:rsid w:val="00E628EC"/>
    <w:rsid w:val="00E6294B"/>
    <w:rsid w:val="00E62A01"/>
    <w:rsid w:val="00E62C69"/>
    <w:rsid w:val="00E62C81"/>
    <w:rsid w:val="00E62CF6"/>
    <w:rsid w:val="00E62D6E"/>
    <w:rsid w:val="00E62F02"/>
    <w:rsid w:val="00E62FFB"/>
    <w:rsid w:val="00E630A4"/>
    <w:rsid w:val="00E630B6"/>
    <w:rsid w:val="00E6332D"/>
    <w:rsid w:val="00E63424"/>
    <w:rsid w:val="00E636ED"/>
    <w:rsid w:val="00E637BB"/>
    <w:rsid w:val="00E6381F"/>
    <w:rsid w:val="00E63903"/>
    <w:rsid w:val="00E6392A"/>
    <w:rsid w:val="00E639D2"/>
    <w:rsid w:val="00E63A2B"/>
    <w:rsid w:val="00E63B38"/>
    <w:rsid w:val="00E63B48"/>
    <w:rsid w:val="00E63C06"/>
    <w:rsid w:val="00E63D49"/>
    <w:rsid w:val="00E63D78"/>
    <w:rsid w:val="00E63DD3"/>
    <w:rsid w:val="00E6427D"/>
    <w:rsid w:val="00E64284"/>
    <w:rsid w:val="00E642A3"/>
    <w:rsid w:val="00E6435A"/>
    <w:rsid w:val="00E6439F"/>
    <w:rsid w:val="00E64481"/>
    <w:rsid w:val="00E64621"/>
    <w:rsid w:val="00E646E8"/>
    <w:rsid w:val="00E6478E"/>
    <w:rsid w:val="00E647C6"/>
    <w:rsid w:val="00E6483E"/>
    <w:rsid w:val="00E6484A"/>
    <w:rsid w:val="00E64862"/>
    <w:rsid w:val="00E64956"/>
    <w:rsid w:val="00E64EF8"/>
    <w:rsid w:val="00E6501F"/>
    <w:rsid w:val="00E6505D"/>
    <w:rsid w:val="00E65107"/>
    <w:rsid w:val="00E65209"/>
    <w:rsid w:val="00E65236"/>
    <w:rsid w:val="00E65278"/>
    <w:rsid w:val="00E653D4"/>
    <w:rsid w:val="00E655AF"/>
    <w:rsid w:val="00E657B2"/>
    <w:rsid w:val="00E65D72"/>
    <w:rsid w:val="00E65D88"/>
    <w:rsid w:val="00E65DD6"/>
    <w:rsid w:val="00E65DE6"/>
    <w:rsid w:val="00E65E17"/>
    <w:rsid w:val="00E65E75"/>
    <w:rsid w:val="00E65EC0"/>
    <w:rsid w:val="00E6604D"/>
    <w:rsid w:val="00E660CB"/>
    <w:rsid w:val="00E66140"/>
    <w:rsid w:val="00E661D8"/>
    <w:rsid w:val="00E662D7"/>
    <w:rsid w:val="00E66353"/>
    <w:rsid w:val="00E665C9"/>
    <w:rsid w:val="00E66610"/>
    <w:rsid w:val="00E667C8"/>
    <w:rsid w:val="00E668B3"/>
    <w:rsid w:val="00E669A7"/>
    <w:rsid w:val="00E669CC"/>
    <w:rsid w:val="00E66AF5"/>
    <w:rsid w:val="00E66B31"/>
    <w:rsid w:val="00E66D00"/>
    <w:rsid w:val="00E66D33"/>
    <w:rsid w:val="00E66DB5"/>
    <w:rsid w:val="00E66DDD"/>
    <w:rsid w:val="00E66EBF"/>
    <w:rsid w:val="00E67036"/>
    <w:rsid w:val="00E670AA"/>
    <w:rsid w:val="00E670F8"/>
    <w:rsid w:val="00E6710E"/>
    <w:rsid w:val="00E67261"/>
    <w:rsid w:val="00E67357"/>
    <w:rsid w:val="00E673C3"/>
    <w:rsid w:val="00E67456"/>
    <w:rsid w:val="00E6763D"/>
    <w:rsid w:val="00E676DB"/>
    <w:rsid w:val="00E6772B"/>
    <w:rsid w:val="00E67738"/>
    <w:rsid w:val="00E679D9"/>
    <w:rsid w:val="00E67CDF"/>
    <w:rsid w:val="00E67EDB"/>
    <w:rsid w:val="00E67F0E"/>
    <w:rsid w:val="00E67FFE"/>
    <w:rsid w:val="00E701FB"/>
    <w:rsid w:val="00E70316"/>
    <w:rsid w:val="00E70319"/>
    <w:rsid w:val="00E70356"/>
    <w:rsid w:val="00E70516"/>
    <w:rsid w:val="00E7052B"/>
    <w:rsid w:val="00E705D2"/>
    <w:rsid w:val="00E70633"/>
    <w:rsid w:val="00E70638"/>
    <w:rsid w:val="00E706C5"/>
    <w:rsid w:val="00E70824"/>
    <w:rsid w:val="00E7093F"/>
    <w:rsid w:val="00E70A31"/>
    <w:rsid w:val="00E70AA9"/>
    <w:rsid w:val="00E70B37"/>
    <w:rsid w:val="00E70B5C"/>
    <w:rsid w:val="00E70C0D"/>
    <w:rsid w:val="00E70C1A"/>
    <w:rsid w:val="00E70D06"/>
    <w:rsid w:val="00E70E25"/>
    <w:rsid w:val="00E70F15"/>
    <w:rsid w:val="00E71110"/>
    <w:rsid w:val="00E7113A"/>
    <w:rsid w:val="00E71197"/>
    <w:rsid w:val="00E71456"/>
    <w:rsid w:val="00E7145F"/>
    <w:rsid w:val="00E71507"/>
    <w:rsid w:val="00E7159D"/>
    <w:rsid w:val="00E7171E"/>
    <w:rsid w:val="00E7185C"/>
    <w:rsid w:val="00E71A75"/>
    <w:rsid w:val="00E71AE5"/>
    <w:rsid w:val="00E71BFE"/>
    <w:rsid w:val="00E71EB6"/>
    <w:rsid w:val="00E71F15"/>
    <w:rsid w:val="00E71F37"/>
    <w:rsid w:val="00E7210B"/>
    <w:rsid w:val="00E7219D"/>
    <w:rsid w:val="00E7245E"/>
    <w:rsid w:val="00E7246A"/>
    <w:rsid w:val="00E725B8"/>
    <w:rsid w:val="00E725F8"/>
    <w:rsid w:val="00E7263C"/>
    <w:rsid w:val="00E7273F"/>
    <w:rsid w:val="00E72971"/>
    <w:rsid w:val="00E729EE"/>
    <w:rsid w:val="00E72A96"/>
    <w:rsid w:val="00E72B4B"/>
    <w:rsid w:val="00E72B69"/>
    <w:rsid w:val="00E72B98"/>
    <w:rsid w:val="00E72ECD"/>
    <w:rsid w:val="00E72FC8"/>
    <w:rsid w:val="00E730A9"/>
    <w:rsid w:val="00E732EC"/>
    <w:rsid w:val="00E7334B"/>
    <w:rsid w:val="00E73510"/>
    <w:rsid w:val="00E73538"/>
    <w:rsid w:val="00E7354A"/>
    <w:rsid w:val="00E7356F"/>
    <w:rsid w:val="00E73778"/>
    <w:rsid w:val="00E737D0"/>
    <w:rsid w:val="00E737D6"/>
    <w:rsid w:val="00E73933"/>
    <w:rsid w:val="00E73C3C"/>
    <w:rsid w:val="00E73CD6"/>
    <w:rsid w:val="00E73CEC"/>
    <w:rsid w:val="00E73E02"/>
    <w:rsid w:val="00E73E67"/>
    <w:rsid w:val="00E7422C"/>
    <w:rsid w:val="00E7428A"/>
    <w:rsid w:val="00E7431C"/>
    <w:rsid w:val="00E743C6"/>
    <w:rsid w:val="00E7447C"/>
    <w:rsid w:val="00E747E0"/>
    <w:rsid w:val="00E74827"/>
    <w:rsid w:val="00E749EF"/>
    <w:rsid w:val="00E74CF7"/>
    <w:rsid w:val="00E74D17"/>
    <w:rsid w:val="00E74D1F"/>
    <w:rsid w:val="00E74D5D"/>
    <w:rsid w:val="00E74DF4"/>
    <w:rsid w:val="00E74F11"/>
    <w:rsid w:val="00E74F3B"/>
    <w:rsid w:val="00E74F7C"/>
    <w:rsid w:val="00E74F85"/>
    <w:rsid w:val="00E75310"/>
    <w:rsid w:val="00E75378"/>
    <w:rsid w:val="00E753FA"/>
    <w:rsid w:val="00E75490"/>
    <w:rsid w:val="00E756E2"/>
    <w:rsid w:val="00E756F7"/>
    <w:rsid w:val="00E757A0"/>
    <w:rsid w:val="00E757A2"/>
    <w:rsid w:val="00E758EF"/>
    <w:rsid w:val="00E75ACD"/>
    <w:rsid w:val="00E75BA0"/>
    <w:rsid w:val="00E75CB3"/>
    <w:rsid w:val="00E75D26"/>
    <w:rsid w:val="00E75DCA"/>
    <w:rsid w:val="00E7609A"/>
    <w:rsid w:val="00E761D5"/>
    <w:rsid w:val="00E7623A"/>
    <w:rsid w:val="00E76612"/>
    <w:rsid w:val="00E76734"/>
    <w:rsid w:val="00E76780"/>
    <w:rsid w:val="00E76933"/>
    <w:rsid w:val="00E76A86"/>
    <w:rsid w:val="00E76D12"/>
    <w:rsid w:val="00E76D5E"/>
    <w:rsid w:val="00E7707A"/>
    <w:rsid w:val="00E77170"/>
    <w:rsid w:val="00E7729F"/>
    <w:rsid w:val="00E77373"/>
    <w:rsid w:val="00E773E7"/>
    <w:rsid w:val="00E774AE"/>
    <w:rsid w:val="00E77713"/>
    <w:rsid w:val="00E777E1"/>
    <w:rsid w:val="00E77882"/>
    <w:rsid w:val="00E77C47"/>
    <w:rsid w:val="00E77CEC"/>
    <w:rsid w:val="00E77DCE"/>
    <w:rsid w:val="00E8005A"/>
    <w:rsid w:val="00E80169"/>
    <w:rsid w:val="00E8038F"/>
    <w:rsid w:val="00E803E7"/>
    <w:rsid w:val="00E803FC"/>
    <w:rsid w:val="00E8045D"/>
    <w:rsid w:val="00E8048A"/>
    <w:rsid w:val="00E804D2"/>
    <w:rsid w:val="00E807A5"/>
    <w:rsid w:val="00E808ED"/>
    <w:rsid w:val="00E80A2B"/>
    <w:rsid w:val="00E80A36"/>
    <w:rsid w:val="00E80B4B"/>
    <w:rsid w:val="00E80C0A"/>
    <w:rsid w:val="00E80C6A"/>
    <w:rsid w:val="00E80D04"/>
    <w:rsid w:val="00E80EFD"/>
    <w:rsid w:val="00E8110E"/>
    <w:rsid w:val="00E812E4"/>
    <w:rsid w:val="00E81380"/>
    <w:rsid w:val="00E813AD"/>
    <w:rsid w:val="00E8157B"/>
    <w:rsid w:val="00E815C8"/>
    <w:rsid w:val="00E815E7"/>
    <w:rsid w:val="00E816CA"/>
    <w:rsid w:val="00E81732"/>
    <w:rsid w:val="00E81735"/>
    <w:rsid w:val="00E8180C"/>
    <w:rsid w:val="00E81962"/>
    <w:rsid w:val="00E81DFF"/>
    <w:rsid w:val="00E81E48"/>
    <w:rsid w:val="00E81E57"/>
    <w:rsid w:val="00E82061"/>
    <w:rsid w:val="00E8231E"/>
    <w:rsid w:val="00E823C6"/>
    <w:rsid w:val="00E824BD"/>
    <w:rsid w:val="00E825EE"/>
    <w:rsid w:val="00E826B9"/>
    <w:rsid w:val="00E82A70"/>
    <w:rsid w:val="00E82B68"/>
    <w:rsid w:val="00E82C01"/>
    <w:rsid w:val="00E82CD3"/>
    <w:rsid w:val="00E82D6F"/>
    <w:rsid w:val="00E82E8F"/>
    <w:rsid w:val="00E82F19"/>
    <w:rsid w:val="00E831B1"/>
    <w:rsid w:val="00E83420"/>
    <w:rsid w:val="00E835ED"/>
    <w:rsid w:val="00E8361B"/>
    <w:rsid w:val="00E8361C"/>
    <w:rsid w:val="00E83655"/>
    <w:rsid w:val="00E836C4"/>
    <w:rsid w:val="00E83A2B"/>
    <w:rsid w:val="00E83BE6"/>
    <w:rsid w:val="00E83BF8"/>
    <w:rsid w:val="00E83DDC"/>
    <w:rsid w:val="00E83E6E"/>
    <w:rsid w:val="00E83ECB"/>
    <w:rsid w:val="00E84041"/>
    <w:rsid w:val="00E8430C"/>
    <w:rsid w:val="00E84326"/>
    <w:rsid w:val="00E84378"/>
    <w:rsid w:val="00E84386"/>
    <w:rsid w:val="00E84443"/>
    <w:rsid w:val="00E844B9"/>
    <w:rsid w:val="00E845F7"/>
    <w:rsid w:val="00E8463C"/>
    <w:rsid w:val="00E8466C"/>
    <w:rsid w:val="00E8488D"/>
    <w:rsid w:val="00E84BC1"/>
    <w:rsid w:val="00E84D33"/>
    <w:rsid w:val="00E84D7F"/>
    <w:rsid w:val="00E84E77"/>
    <w:rsid w:val="00E84F9D"/>
    <w:rsid w:val="00E84FF5"/>
    <w:rsid w:val="00E853A0"/>
    <w:rsid w:val="00E854FE"/>
    <w:rsid w:val="00E85528"/>
    <w:rsid w:val="00E855BD"/>
    <w:rsid w:val="00E85693"/>
    <w:rsid w:val="00E856F8"/>
    <w:rsid w:val="00E85756"/>
    <w:rsid w:val="00E85782"/>
    <w:rsid w:val="00E85808"/>
    <w:rsid w:val="00E85A32"/>
    <w:rsid w:val="00E85A36"/>
    <w:rsid w:val="00E85BB5"/>
    <w:rsid w:val="00E85D37"/>
    <w:rsid w:val="00E85DFC"/>
    <w:rsid w:val="00E85EF4"/>
    <w:rsid w:val="00E85F65"/>
    <w:rsid w:val="00E85FE2"/>
    <w:rsid w:val="00E86007"/>
    <w:rsid w:val="00E8608E"/>
    <w:rsid w:val="00E8621C"/>
    <w:rsid w:val="00E86346"/>
    <w:rsid w:val="00E86576"/>
    <w:rsid w:val="00E86666"/>
    <w:rsid w:val="00E86672"/>
    <w:rsid w:val="00E86956"/>
    <w:rsid w:val="00E86A71"/>
    <w:rsid w:val="00E86A89"/>
    <w:rsid w:val="00E86C3D"/>
    <w:rsid w:val="00E86D42"/>
    <w:rsid w:val="00E86E3F"/>
    <w:rsid w:val="00E86E7D"/>
    <w:rsid w:val="00E86EFD"/>
    <w:rsid w:val="00E8705A"/>
    <w:rsid w:val="00E873C5"/>
    <w:rsid w:val="00E87429"/>
    <w:rsid w:val="00E87476"/>
    <w:rsid w:val="00E8751A"/>
    <w:rsid w:val="00E87590"/>
    <w:rsid w:val="00E87853"/>
    <w:rsid w:val="00E87A00"/>
    <w:rsid w:val="00E87A24"/>
    <w:rsid w:val="00E87A7F"/>
    <w:rsid w:val="00E87B12"/>
    <w:rsid w:val="00E87D53"/>
    <w:rsid w:val="00E87D59"/>
    <w:rsid w:val="00E87D5B"/>
    <w:rsid w:val="00E87E21"/>
    <w:rsid w:val="00E87E9D"/>
    <w:rsid w:val="00E87EA5"/>
    <w:rsid w:val="00E87F7A"/>
    <w:rsid w:val="00E87FC9"/>
    <w:rsid w:val="00E9002A"/>
    <w:rsid w:val="00E90031"/>
    <w:rsid w:val="00E900BC"/>
    <w:rsid w:val="00E90177"/>
    <w:rsid w:val="00E90584"/>
    <w:rsid w:val="00E909A0"/>
    <w:rsid w:val="00E90BDB"/>
    <w:rsid w:val="00E90C0F"/>
    <w:rsid w:val="00E90F16"/>
    <w:rsid w:val="00E9135A"/>
    <w:rsid w:val="00E9145F"/>
    <w:rsid w:val="00E914D4"/>
    <w:rsid w:val="00E91534"/>
    <w:rsid w:val="00E91614"/>
    <w:rsid w:val="00E918E3"/>
    <w:rsid w:val="00E9196E"/>
    <w:rsid w:val="00E91AC2"/>
    <w:rsid w:val="00E91B5E"/>
    <w:rsid w:val="00E91C43"/>
    <w:rsid w:val="00E91D23"/>
    <w:rsid w:val="00E91E66"/>
    <w:rsid w:val="00E91FCD"/>
    <w:rsid w:val="00E9200D"/>
    <w:rsid w:val="00E92106"/>
    <w:rsid w:val="00E923AB"/>
    <w:rsid w:val="00E923FC"/>
    <w:rsid w:val="00E92516"/>
    <w:rsid w:val="00E92573"/>
    <w:rsid w:val="00E9257D"/>
    <w:rsid w:val="00E92652"/>
    <w:rsid w:val="00E926B6"/>
    <w:rsid w:val="00E92988"/>
    <w:rsid w:val="00E92A75"/>
    <w:rsid w:val="00E92BE0"/>
    <w:rsid w:val="00E92C89"/>
    <w:rsid w:val="00E92D05"/>
    <w:rsid w:val="00E92DD1"/>
    <w:rsid w:val="00E92F35"/>
    <w:rsid w:val="00E92FA9"/>
    <w:rsid w:val="00E932E8"/>
    <w:rsid w:val="00E932ED"/>
    <w:rsid w:val="00E9334F"/>
    <w:rsid w:val="00E934CB"/>
    <w:rsid w:val="00E93800"/>
    <w:rsid w:val="00E93926"/>
    <w:rsid w:val="00E93A48"/>
    <w:rsid w:val="00E93B09"/>
    <w:rsid w:val="00E93B4F"/>
    <w:rsid w:val="00E93D42"/>
    <w:rsid w:val="00E93ED9"/>
    <w:rsid w:val="00E94250"/>
    <w:rsid w:val="00E9450A"/>
    <w:rsid w:val="00E9453B"/>
    <w:rsid w:val="00E94582"/>
    <w:rsid w:val="00E949DF"/>
    <w:rsid w:val="00E94A96"/>
    <w:rsid w:val="00E94B11"/>
    <w:rsid w:val="00E94BCF"/>
    <w:rsid w:val="00E94C46"/>
    <w:rsid w:val="00E94D2B"/>
    <w:rsid w:val="00E94ED4"/>
    <w:rsid w:val="00E94EED"/>
    <w:rsid w:val="00E94F7F"/>
    <w:rsid w:val="00E950FF"/>
    <w:rsid w:val="00E95398"/>
    <w:rsid w:val="00E9539B"/>
    <w:rsid w:val="00E9547E"/>
    <w:rsid w:val="00E956BC"/>
    <w:rsid w:val="00E9580F"/>
    <w:rsid w:val="00E958BE"/>
    <w:rsid w:val="00E9590A"/>
    <w:rsid w:val="00E959B6"/>
    <w:rsid w:val="00E95A6C"/>
    <w:rsid w:val="00E95D60"/>
    <w:rsid w:val="00E95EC8"/>
    <w:rsid w:val="00E96027"/>
    <w:rsid w:val="00E96122"/>
    <w:rsid w:val="00E9627B"/>
    <w:rsid w:val="00E96388"/>
    <w:rsid w:val="00E96395"/>
    <w:rsid w:val="00E9639E"/>
    <w:rsid w:val="00E96435"/>
    <w:rsid w:val="00E96514"/>
    <w:rsid w:val="00E965AB"/>
    <w:rsid w:val="00E966CF"/>
    <w:rsid w:val="00E96757"/>
    <w:rsid w:val="00E967D2"/>
    <w:rsid w:val="00E9683E"/>
    <w:rsid w:val="00E96935"/>
    <w:rsid w:val="00E969E9"/>
    <w:rsid w:val="00E96AAC"/>
    <w:rsid w:val="00E96ADC"/>
    <w:rsid w:val="00E96B3C"/>
    <w:rsid w:val="00E96D0D"/>
    <w:rsid w:val="00E96D5E"/>
    <w:rsid w:val="00E96D92"/>
    <w:rsid w:val="00E96F24"/>
    <w:rsid w:val="00E96F48"/>
    <w:rsid w:val="00E970B8"/>
    <w:rsid w:val="00E9713B"/>
    <w:rsid w:val="00E9720A"/>
    <w:rsid w:val="00E9745A"/>
    <w:rsid w:val="00E97616"/>
    <w:rsid w:val="00E97625"/>
    <w:rsid w:val="00E97695"/>
    <w:rsid w:val="00E976A0"/>
    <w:rsid w:val="00E976FB"/>
    <w:rsid w:val="00E9794C"/>
    <w:rsid w:val="00E97CD8"/>
    <w:rsid w:val="00E99215"/>
    <w:rsid w:val="00EA033B"/>
    <w:rsid w:val="00EA0429"/>
    <w:rsid w:val="00EA0539"/>
    <w:rsid w:val="00EA057E"/>
    <w:rsid w:val="00EA065B"/>
    <w:rsid w:val="00EA0665"/>
    <w:rsid w:val="00EA084E"/>
    <w:rsid w:val="00EA09F7"/>
    <w:rsid w:val="00EA0AA5"/>
    <w:rsid w:val="00EA0AC6"/>
    <w:rsid w:val="00EA0BC5"/>
    <w:rsid w:val="00EA0D04"/>
    <w:rsid w:val="00EA0DE6"/>
    <w:rsid w:val="00EA0E56"/>
    <w:rsid w:val="00EA115A"/>
    <w:rsid w:val="00EA1226"/>
    <w:rsid w:val="00EA124B"/>
    <w:rsid w:val="00EA1388"/>
    <w:rsid w:val="00EA1412"/>
    <w:rsid w:val="00EA1450"/>
    <w:rsid w:val="00EA1728"/>
    <w:rsid w:val="00EA17AB"/>
    <w:rsid w:val="00EA17F6"/>
    <w:rsid w:val="00EA180C"/>
    <w:rsid w:val="00EA1951"/>
    <w:rsid w:val="00EA1A28"/>
    <w:rsid w:val="00EA1E80"/>
    <w:rsid w:val="00EA201C"/>
    <w:rsid w:val="00EA209F"/>
    <w:rsid w:val="00EA20DD"/>
    <w:rsid w:val="00EA21A8"/>
    <w:rsid w:val="00EA21B0"/>
    <w:rsid w:val="00EA237E"/>
    <w:rsid w:val="00EA264B"/>
    <w:rsid w:val="00EA26FC"/>
    <w:rsid w:val="00EA29DE"/>
    <w:rsid w:val="00EA2AB3"/>
    <w:rsid w:val="00EA2ACD"/>
    <w:rsid w:val="00EA2AED"/>
    <w:rsid w:val="00EA2B32"/>
    <w:rsid w:val="00EA2B68"/>
    <w:rsid w:val="00EA2BA7"/>
    <w:rsid w:val="00EA2C4E"/>
    <w:rsid w:val="00EA2CDB"/>
    <w:rsid w:val="00EA2F81"/>
    <w:rsid w:val="00EA3471"/>
    <w:rsid w:val="00EA3961"/>
    <w:rsid w:val="00EA3B07"/>
    <w:rsid w:val="00EA3BC0"/>
    <w:rsid w:val="00EA3C52"/>
    <w:rsid w:val="00EA3E2B"/>
    <w:rsid w:val="00EA40D2"/>
    <w:rsid w:val="00EA420B"/>
    <w:rsid w:val="00EA4248"/>
    <w:rsid w:val="00EA436B"/>
    <w:rsid w:val="00EA4733"/>
    <w:rsid w:val="00EA47BA"/>
    <w:rsid w:val="00EA4904"/>
    <w:rsid w:val="00EA4960"/>
    <w:rsid w:val="00EA4A78"/>
    <w:rsid w:val="00EA4AE4"/>
    <w:rsid w:val="00EA4C7E"/>
    <w:rsid w:val="00EA4CFA"/>
    <w:rsid w:val="00EA4DCF"/>
    <w:rsid w:val="00EA4FF0"/>
    <w:rsid w:val="00EA508D"/>
    <w:rsid w:val="00EA517A"/>
    <w:rsid w:val="00EA51F1"/>
    <w:rsid w:val="00EA52B3"/>
    <w:rsid w:val="00EA5304"/>
    <w:rsid w:val="00EA5322"/>
    <w:rsid w:val="00EA5529"/>
    <w:rsid w:val="00EA562F"/>
    <w:rsid w:val="00EA583E"/>
    <w:rsid w:val="00EA5923"/>
    <w:rsid w:val="00EA59F5"/>
    <w:rsid w:val="00EA5E40"/>
    <w:rsid w:val="00EA5E4C"/>
    <w:rsid w:val="00EA5E61"/>
    <w:rsid w:val="00EA5E6A"/>
    <w:rsid w:val="00EA5EC5"/>
    <w:rsid w:val="00EA5FD8"/>
    <w:rsid w:val="00EA622F"/>
    <w:rsid w:val="00EA6511"/>
    <w:rsid w:val="00EA66B4"/>
    <w:rsid w:val="00EA66E5"/>
    <w:rsid w:val="00EA67D8"/>
    <w:rsid w:val="00EA693F"/>
    <w:rsid w:val="00EA6962"/>
    <w:rsid w:val="00EA6AE2"/>
    <w:rsid w:val="00EA6C49"/>
    <w:rsid w:val="00EA6E10"/>
    <w:rsid w:val="00EA7629"/>
    <w:rsid w:val="00EA766B"/>
    <w:rsid w:val="00EA7696"/>
    <w:rsid w:val="00EA76F3"/>
    <w:rsid w:val="00EA76F7"/>
    <w:rsid w:val="00EA775D"/>
    <w:rsid w:val="00EA778F"/>
    <w:rsid w:val="00EA77E5"/>
    <w:rsid w:val="00EA78E0"/>
    <w:rsid w:val="00EA7B14"/>
    <w:rsid w:val="00EA7BA9"/>
    <w:rsid w:val="00EA7D9A"/>
    <w:rsid w:val="00EA7E12"/>
    <w:rsid w:val="00EA7E39"/>
    <w:rsid w:val="00EA7E3F"/>
    <w:rsid w:val="00EA7EEF"/>
    <w:rsid w:val="00EA7F8C"/>
    <w:rsid w:val="00EB0003"/>
    <w:rsid w:val="00EB0021"/>
    <w:rsid w:val="00EB00C6"/>
    <w:rsid w:val="00EB0222"/>
    <w:rsid w:val="00EB02ED"/>
    <w:rsid w:val="00EB03AB"/>
    <w:rsid w:val="00EB044C"/>
    <w:rsid w:val="00EB0461"/>
    <w:rsid w:val="00EB0495"/>
    <w:rsid w:val="00EB04BC"/>
    <w:rsid w:val="00EB0801"/>
    <w:rsid w:val="00EB085E"/>
    <w:rsid w:val="00EB0A1F"/>
    <w:rsid w:val="00EB0B3C"/>
    <w:rsid w:val="00EB0C80"/>
    <w:rsid w:val="00EB0D90"/>
    <w:rsid w:val="00EB0EEE"/>
    <w:rsid w:val="00EB0F80"/>
    <w:rsid w:val="00EB104B"/>
    <w:rsid w:val="00EB1138"/>
    <w:rsid w:val="00EB11AC"/>
    <w:rsid w:val="00EB1293"/>
    <w:rsid w:val="00EB142F"/>
    <w:rsid w:val="00EB1511"/>
    <w:rsid w:val="00EB155F"/>
    <w:rsid w:val="00EB1635"/>
    <w:rsid w:val="00EB17A5"/>
    <w:rsid w:val="00EB193A"/>
    <w:rsid w:val="00EB1D04"/>
    <w:rsid w:val="00EB1EDE"/>
    <w:rsid w:val="00EB1F53"/>
    <w:rsid w:val="00EB2069"/>
    <w:rsid w:val="00EB208C"/>
    <w:rsid w:val="00EB23A5"/>
    <w:rsid w:val="00EB246B"/>
    <w:rsid w:val="00EB2813"/>
    <w:rsid w:val="00EB2992"/>
    <w:rsid w:val="00EB2A42"/>
    <w:rsid w:val="00EB2ADB"/>
    <w:rsid w:val="00EB2B3E"/>
    <w:rsid w:val="00EB2DCD"/>
    <w:rsid w:val="00EB2E72"/>
    <w:rsid w:val="00EB2EFD"/>
    <w:rsid w:val="00EB2F16"/>
    <w:rsid w:val="00EB2F7D"/>
    <w:rsid w:val="00EB33A5"/>
    <w:rsid w:val="00EB35BC"/>
    <w:rsid w:val="00EB368C"/>
    <w:rsid w:val="00EB3749"/>
    <w:rsid w:val="00EB383C"/>
    <w:rsid w:val="00EB3981"/>
    <w:rsid w:val="00EB39A2"/>
    <w:rsid w:val="00EB3A2B"/>
    <w:rsid w:val="00EB3B81"/>
    <w:rsid w:val="00EB3DBD"/>
    <w:rsid w:val="00EB3DD0"/>
    <w:rsid w:val="00EB3EB4"/>
    <w:rsid w:val="00EB3EE5"/>
    <w:rsid w:val="00EB3FFC"/>
    <w:rsid w:val="00EB4019"/>
    <w:rsid w:val="00EB4416"/>
    <w:rsid w:val="00EB45F7"/>
    <w:rsid w:val="00EB4948"/>
    <w:rsid w:val="00EB4A32"/>
    <w:rsid w:val="00EB4C6E"/>
    <w:rsid w:val="00EB4D5B"/>
    <w:rsid w:val="00EB4D88"/>
    <w:rsid w:val="00EB4E05"/>
    <w:rsid w:val="00EB4E47"/>
    <w:rsid w:val="00EB4F1A"/>
    <w:rsid w:val="00EB4FC9"/>
    <w:rsid w:val="00EB5043"/>
    <w:rsid w:val="00EB5365"/>
    <w:rsid w:val="00EB5437"/>
    <w:rsid w:val="00EB5636"/>
    <w:rsid w:val="00EB56BB"/>
    <w:rsid w:val="00EB5AAE"/>
    <w:rsid w:val="00EB5B7F"/>
    <w:rsid w:val="00EB5BE1"/>
    <w:rsid w:val="00EB5C83"/>
    <w:rsid w:val="00EB5C91"/>
    <w:rsid w:val="00EB5CAC"/>
    <w:rsid w:val="00EB5FA5"/>
    <w:rsid w:val="00EB60AA"/>
    <w:rsid w:val="00EB6359"/>
    <w:rsid w:val="00EB64E4"/>
    <w:rsid w:val="00EB6558"/>
    <w:rsid w:val="00EB66E6"/>
    <w:rsid w:val="00EB68DE"/>
    <w:rsid w:val="00EB6B61"/>
    <w:rsid w:val="00EB6C25"/>
    <w:rsid w:val="00EB6DF8"/>
    <w:rsid w:val="00EB700B"/>
    <w:rsid w:val="00EB72EF"/>
    <w:rsid w:val="00EB76DA"/>
    <w:rsid w:val="00EB77BA"/>
    <w:rsid w:val="00EB7902"/>
    <w:rsid w:val="00EB791B"/>
    <w:rsid w:val="00EB7B46"/>
    <w:rsid w:val="00EB7B68"/>
    <w:rsid w:val="00EB7BCD"/>
    <w:rsid w:val="00EB7C93"/>
    <w:rsid w:val="00EB7C97"/>
    <w:rsid w:val="00EB7CE6"/>
    <w:rsid w:val="00EB7CF5"/>
    <w:rsid w:val="00EB7E42"/>
    <w:rsid w:val="00EC001C"/>
    <w:rsid w:val="00EC0063"/>
    <w:rsid w:val="00EC0141"/>
    <w:rsid w:val="00EC045B"/>
    <w:rsid w:val="00EC047E"/>
    <w:rsid w:val="00EC04BC"/>
    <w:rsid w:val="00EC055A"/>
    <w:rsid w:val="00EC05D6"/>
    <w:rsid w:val="00EC05F7"/>
    <w:rsid w:val="00EC0691"/>
    <w:rsid w:val="00EC0726"/>
    <w:rsid w:val="00EC08A5"/>
    <w:rsid w:val="00EC0D58"/>
    <w:rsid w:val="00EC0DCA"/>
    <w:rsid w:val="00EC1004"/>
    <w:rsid w:val="00EC101C"/>
    <w:rsid w:val="00EC10CA"/>
    <w:rsid w:val="00EC15C9"/>
    <w:rsid w:val="00EC171F"/>
    <w:rsid w:val="00EC18BC"/>
    <w:rsid w:val="00EC18CA"/>
    <w:rsid w:val="00EC1C58"/>
    <w:rsid w:val="00EC1C8A"/>
    <w:rsid w:val="00EC1D68"/>
    <w:rsid w:val="00EC24E0"/>
    <w:rsid w:val="00EC251A"/>
    <w:rsid w:val="00EC25F4"/>
    <w:rsid w:val="00EC2600"/>
    <w:rsid w:val="00EC27CE"/>
    <w:rsid w:val="00EC2883"/>
    <w:rsid w:val="00EC28FD"/>
    <w:rsid w:val="00EC2BFE"/>
    <w:rsid w:val="00EC2C42"/>
    <w:rsid w:val="00EC2C5C"/>
    <w:rsid w:val="00EC2E1C"/>
    <w:rsid w:val="00EC2EFD"/>
    <w:rsid w:val="00EC2F29"/>
    <w:rsid w:val="00EC2FDB"/>
    <w:rsid w:val="00EC311C"/>
    <w:rsid w:val="00EC33B0"/>
    <w:rsid w:val="00EC344F"/>
    <w:rsid w:val="00EC364E"/>
    <w:rsid w:val="00EC3652"/>
    <w:rsid w:val="00EC391E"/>
    <w:rsid w:val="00EC39D1"/>
    <w:rsid w:val="00EC3B95"/>
    <w:rsid w:val="00EC3C24"/>
    <w:rsid w:val="00EC3C8B"/>
    <w:rsid w:val="00EC3DBD"/>
    <w:rsid w:val="00EC3DC0"/>
    <w:rsid w:val="00EC3DE6"/>
    <w:rsid w:val="00EC3EE9"/>
    <w:rsid w:val="00EC4012"/>
    <w:rsid w:val="00EC4271"/>
    <w:rsid w:val="00EC43B9"/>
    <w:rsid w:val="00EC458C"/>
    <w:rsid w:val="00EC4682"/>
    <w:rsid w:val="00EC46DF"/>
    <w:rsid w:val="00EC49A4"/>
    <w:rsid w:val="00EC49ED"/>
    <w:rsid w:val="00EC4B59"/>
    <w:rsid w:val="00EC4C7F"/>
    <w:rsid w:val="00EC4E4E"/>
    <w:rsid w:val="00EC4EB0"/>
    <w:rsid w:val="00EC4F13"/>
    <w:rsid w:val="00EC50D2"/>
    <w:rsid w:val="00EC51D9"/>
    <w:rsid w:val="00EC534B"/>
    <w:rsid w:val="00EC53D4"/>
    <w:rsid w:val="00EC5449"/>
    <w:rsid w:val="00EC5599"/>
    <w:rsid w:val="00EC5629"/>
    <w:rsid w:val="00EC5731"/>
    <w:rsid w:val="00EC57E0"/>
    <w:rsid w:val="00EC5894"/>
    <w:rsid w:val="00EC58BF"/>
    <w:rsid w:val="00EC5A53"/>
    <w:rsid w:val="00EC5A72"/>
    <w:rsid w:val="00EC5A95"/>
    <w:rsid w:val="00EC5CF1"/>
    <w:rsid w:val="00EC5F0D"/>
    <w:rsid w:val="00EC5F26"/>
    <w:rsid w:val="00EC5FEB"/>
    <w:rsid w:val="00EC601D"/>
    <w:rsid w:val="00EC606E"/>
    <w:rsid w:val="00EC6189"/>
    <w:rsid w:val="00EC625C"/>
    <w:rsid w:val="00EC65F2"/>
    <w:rsid w:val="00EC6AAF"/>
    <w:rsid w:val="00EC6D53"/>
    <w:rsid w:val="00EC6DC4"/>
    <w:rsid w:val="00EC6EC3"/>
    <w:rsid w:val="00EC6F10"/>
    <w:rsid w:val="00EC6F1D"/>
    <w:rsid w:val="00EC6FAD"/>
    <w:rsid w:val="00EC7071"/>
    <w:rsid w:val="00EC72A6"/>
    <w:rsid w:val="00EC72FB"/>
    <w:rsid w:val="00EC7698"/>
    <w:rsid w:val="00EC76D6"/>
    <w:rsid w:val="00EC79AC"/>
    <w:rsid w:val="00EC7B5B"/>
    <w:rsid w:val="00EC7FE4"/>
    <w:rsid w:val="00ED004D"/>
    <w:rsid w:val="00ED0087"/>
    <w:rsid w:val="00ED0363"/>
    <w:rsid w:val="00ED03BB"/>
    <w:rsid w:val="00ED0413"/>
    <w:rsid w:val="00ED0492"/>
    <w:rsid w:val="00ED062A"/>
    <w:rsid w:val="00ED0710"/>
    <w:rsid w:val="00ED086D"/>
    <w:rsid w:val="00ED0976"/>
    <w:rsid w:val="00ED0A4B"/>
    <w:rsid w:val="00ED0AD6"/>
    <w:rsid w:val="00ED0DF8"/>
    <w:rsid w:val="00ED0E9E"/>
    <w:rsid w:val="00ED1044"/>
    <w:rsid w:val="00ED1103"/>
    <w:rsid w:val="00ED150D"/>
    <w:rsid w:val="00ED151E"/>
    <w:rsid w:val="00ED188D"/>
    <w:rsid w:val="00ED18EF"/>
    <w:rsid w:val="00ED1971"/>
    <w:rsid w:val="00ED19F1"/>
    <w:rsid w:val="00ED1BDC"/>
    <w:rsid w:val="00ED1CC6"/>
    <w:rsid w:val="00ED1CE0"/>
    <w:rsid w:val="00ED1EA5"/>
    <w:rsid w:val="00ED1EB1"/>
    <w:rsid w:val="00ED20E7"/>
    <w:rsid w:val="00ED2318"/>
    <w:rsid w:val="00ED238F"/>
    <w:rsid w:val="00ED23E8"/>
    <w:rsid w:val="00ED2505"/>
    <w:rsid w:val="00ED256A"/>
    <w:rsid w:val="00ED25E8"/>
    <w:rsid w:val="00ED27D7"/>
    <w:rsid w:val="00ED297E"/>
    <w:rsid w:val="00ED2A08"/>
    <w:rsid w:val="00ED2BBC"/>
    <w:rsid w:val="00ED2CC6"/>
    <w:rsid w:val="00ED2CEE"/>
    <w:rsid w:val="00ED2DB9"/>
    <w:rsid w:val="00ED2E9E"/>
    <w:rsid w:val="00ED2F67"/>
    <w:rsid w:val="00ED3178"/>
    <w:rsid w:val="00ED35A9"/>
    <w:rsid w:val="00ED361E"/>
    <w:rsid w:val="00ED36D3"/>
    <w:rsid w:val="00ED3769"/>
    <w:rsid w:val="00ED37A9"/>
    <w:rsid w:val="00ED3A08"/>
    <w:rsid w:val="00ED3AFE"/>
    <w:rsid w:val="00ED3BCE"/>
    <w:rsid w:val="00ED3BF2"/>
    <w:rsid w:val="00ED3D12"/>
    <w:rsid w:val="00ED3DA0"/>
    <w:rsid w:val="00ED3EC5"/>
    <w:rsid w:val="00ED3F54"/>
    <w:rsid w:val="00ED3FF5"/>
    <w:rsid w:val="00ED4169"/>
    <w:rsid w:val="00ED41ED"/>
    <w:rsid w:val="00ED4238"/>
    <w:rsid w:val="00ED474D"/>
    <w:rsid w:val="00ED47B7"/>
    <w:rsid w:val="00ED47DB"/>
    <w:rsid w:val="00ED47E7"/>
    <w:rsid w:val="00ED48B0"/>
    <w:rsid w:val="00ED4B5A"/>
    <w:rsid w:val="00ED4BBB"/>
    <w:rsid w:val="00ED4CA6"/>
    <w:rsid w:val="00ED4DBE"/>
    <w:rsid w:val="00ED4DFF"/>
    <w:rsid w:val="00ED4E6E"/>
    <w:rsid w:val="00ED4F7D"/>
    <w:rsid w:val="00ED50D3"/>
    <w:rsid w:val="00ED50EA"/>
    <w:rsid w:val="00ED51C4"/>
    <w:rsid w:val="00ED5324"/>
    <w:rsid w:val="00ED544B"/>
    <w:rsid w:val="00ED55DF"/>
    <w:rsid w:val="00ED5697"/>
    <w:rsid w:val="00ED5804"/>
    <w:rsid w:val="00ED5874"/>
    <w:rsid w:val="00ED5882"/>
    <w:rsid w:val="00ED5B10"/>
    <w:rsid w:val="00ED5CC7"/>
    <w:rsid w:val="00ED609D"/>
    <w:rsid w:val="00ED60B0"/>
    <w:rsid w:val="00ED6109"/>
    <w:rsid w:val="00ED663F"/>
    <w:rsid w:val="00ED6668"/>
    <w:rsid w:val="00ED6925"/>
    <w:rsid w:val="00ED6A5D"/>
    <w:rsid w:val="00ED6AE0"/>
    <w:rsid w:val="00ED6B3E"/>
    <w:rsid w:val="00ED6BDB"/>
    <w:rsid w:val="00ED6D08"/>
    <w:rsid w:val="00ED6FC6"/>
    <w:rsid w:val="00ED6FD1"/>
    <w:rsid w:val="00ED7147"/>
    <w:rsid w:val="00ED739D"/>
    <w:rsid w:val="00ED73B9"/>
    <w:rsid w:val="00ED73F1"/>
    <w:rsid w:val="00ED7400"/>
    <w:rsid w:val="00ED741D"/>
    <w:rsid w:val="00ED747F"/>
    <w:rsid w:val="00ED7586"/>
    <w:rsid w:val="00ED758C"/>
    <w:rsid w:val="00ED770D"/>
    <w:rsid w:val="00ED7838"/>
    <w:rsid w:val="00ED792C"/>
    <w:rsid w:val="00ED79D6"/>
    <w:rsid w:val="00ED7DF7"/>
    <w:rsid w:val="00ED7E9E"/>
    <w:rsid w:val="00EE0024"/>
    <w:rsid w:val="00EE0471"/>
    <w:rsid w:val="00EE0472"/>
    <w:rsid w:val="00EE0534"/>
    <w:rsid w:val="00EE0825"/>
    <w:rsid w:val="00EE0954"/>
    <w:rsid w:val="00EE0AC6"/>
    <w:rsid w:val="00EE0B1A"/>
    <w:rsid w:val="00EE0C68"/>
    <w:rsid w:val="00EE0C8D"/>
    <w:rsid w:val="00EE0D71"/>
    <w:rsid w:val="00EE0DAF"/>
    <w:rsid w:val="00EE0ED3"/>
    <w:rsid w:val="00EE115B"/>
    <w:rsid w:val="00EE1204"/>
    <w:rsid w:val="00EE13E3"/>
    <w:rsid w:val="00EE1508"/>
    <w:rsid w:val="00EE157E"/>
    <w:rsid w:val="00EE1664"/>
    <w:rsid w:val="00EE1A77"/>
    <w:rsid w:val="00EE1D35"/>
    <w:rsid w:val="00EE1D85"/>
    <w:rsid w:val="00EE1ED8"/>
    <w:rsid w:val="00EE20D8"/>
    <w:rsid w:val="00EE2224"/>
    <w:rsid w:val="00EE2241"/>
    <w:rsid w:val="00EE23FC"/>
    <w:rsid w:val="00EE2408"/>
    <w:rsid w:val="00EE242E"/>
    <w:rsid w:val="00EE25AF"/>
    <w:rsid w:val="00EE25C5"/>
    <w:rsid w:val="00EE2707"/>
    <w:rsid w:val="00EE2833"/>
    <w:rsid w:val="00EE28F9"/>
    <w:rsid w:val="00EE2908"/>
    <w:rsid w:val="00EE2A26"/>
    <w:rsid w:val="00EE2B61"/>
    <w:rsid w:val="00EE2E2C"/>
    <w:rsid w:val="00EE2F0D"/>
    <w:rsid w:val="00EE2F19"/>
    <w:rsid w:val="00EE3034"/>
    <w:rsid w:val="00EE3079"/>
    <w:rsid w:val="00EE3203"/>
    <w:rsid w:val="00EE32DF"/>
    <w:rsid w:val="00EE3339"/>
    <w:rsid w:val="00EE335E"/>
    <w:rsid w:val="00EE380E"/>
    <w:rsid w:val="00EE38E1"/>
    <w:rsid w:val="00EE395D"/>
    <w:rsid w:val="00EE39B4"/>
    <w:rsid w:val="00EE3A1B"/>
    <w:rsid w:val="00EE3C9B"/>
    <w:rsid w:val="00EE3F4D"/>
    <w:rsid w:val="00EE42F7"/>
    <w:rsid w:val="00EE43B7"/>
    <w:rsid w:val="00EE4495"/>
    <w:rsid w:val="00EE4637"/>
    <w:rsid w:val="00EE4665"/>
    <w:rsid w:val="00EE4A6D"/>
    <w:rsid w:val="00EE4BB9"/>
    <w:rsid w:val="00EE4C0B"/>
    <w:rsid w:val="00EE5033"/>
    <w:rsid w:val="00EE503E"/>
    <w:rsid w:val="00EE5257"/>
    <w:rsid w:val="00EE52C6"/>
    <w:rsid w:val="00EE5319"/>
    <w:rsid w:val="00EE5496"/>
    <w:rsid w:val="00EE556A"/>
    <w:rsid w:val="00EE5658"/>
    <w:rsid w:val="00EE59E5"/>
    <w:rsid w:val="00EE59F0"/>
    <w:rsid w:val="00EE5A0D"/>
    <w:rsid w:val="00EE5A35"/>
    <w:rsid w:val="00EE5B93"/>
    <w:rsid w:val="00EE5B9A"/>
    <w:rsid w:val="00EE5BA9"/>
    <w:rsid w:val="00EE5BBC"/>
    <w:rsid w:val="00EE5BF2"/>
    <w:rsid w:val="00EE5FC9"/>
    <w:rsid w:val="00EE6018"/>
    <w:rsid w:val="00EE61B8"/>
    <w:rsid w:val="00EE639D"/>
    <w:rsid w:val="00EE63F9"/>
    <w:rsid w:val="00EE66B2"/>
    <w:rsid w:val="00EE677F"/>
    <w:rsid w:val="00EE67B9"/>
    <w:rsid w:val="00EE68E4"/>
    <w:rsid w:val="00EE6924"/>
    <w:rsid w:val="00EE6929"/>
    <w:rsid w:val="00EE6C40"/>
    <w:rsid w:val="00EE6D54"/>
    <w:rsid w:val="00EE6D7C"/>
    <w:rsid w:val="00EE6DB2"/>
    <w:rsid w:val="00EE717B"/>
    <w:rsid w:val="00EE722A"/>
    <w:rsid w:val="00EE722B"/>
    <w:rsid w:val="00EE725D"/>
    <w:rsid w:val="00EE72BD"/>
    <w:rsid w:val="00EE74E4"/>
    <w:rsid w:val="00EE7620"/>
    <w:rsid w:val="00EE7622"/>
    <w:rsid w:val="00EE7812"/>
    <w:rsid w:val="00EE781F"/>
    <w:rsid w:val="00EE7AFA"/>
    <w:rsid w:val="00EE7BEB"/>
    <w:rsid w:val="00EE7D41"/>
    <w:rsid w:val="00EE7EC9"/>
    <w:rsid w:val="00EE7F07"/>
    <w:rsid w:val="00EF0085"/>
    <w:rsid w:val="00EF0103"/>
    <w:rsid w:val="00EF014A"/>
    <w:rsid w:val="00EF039B"/>
    <w:rsid w:val="00EF046E"/>
    <w:rsid w:val="00EF066F"/>
    <w:rsid w:val="00EF0962"/>
    <w:rsid w:val="00EF098F"/>
    <w:rsid w:val="00EF09A2"/>
    <w:rsid w:val="00EF0A57"/>
    <w:rsid w:val="00EF0B55"/>
    <w:rsid w:val="00EF0BBE"/>
    <w:rsid w:val="00EF0C58"/>
    <w:rsid w:val="00EF0EF7"/>
    <w:rsid w:val="00EF1085"/>
    <w:rsid w:val="00EF1127"/>
    <w:rsid w:val="00EF115F"/>
    <w:rsid w:val="00EF1174"/>
    <w:rsid w:val="00EF1219"/>
    <w:rsid w:val="00EF121F"/>
    <w:rsid w:val="00EF1318"/>
    <w:rsid w:val="00EF1431"/>
    <w:rsid w:val="00EF1471"/>
    <w:rsid w:val="00EF1618"/>
    <w:rsid w:val="00EF17A7"/>
    <w:rsid w:val="00EF18DF"/>
    <w:rsid w:val="00EF1934"/>
    <w:rsid w:val="00EF1BAC"/>
    <w:rsid w:val="00EF1C91"/>
    <w:rsid w:val="00EF1CCD"/>
    <w:rsid w:val="00EF1ECF"/>
    <w:rsid w:val="00EF2244"/>
    <w:rsid w:val="00EF23F0"/>
    <w:rsid w:val="00EF25A1"/>
    <w:rsid w:val="00EF2721"/>
    <w:rsid w:val="00EF2741"/>
    <w:rsid w:val="00EF27F1"/>
    <w:rsid w:val="00EF2868"/>
    <w:rsid w:val="00EF2A6F"/>
    <w:rsid w:val="00EF2AC1"/>
    <w:rsid w:val="00EF2B3C"/>
    <w:rsid w:val="00EF2B94"/>
    <w:rsid w:val="00EF2BCE"/>
    <w:rsid w:val="00EF2EEA"/>
    <w:rsid w:val="00EF2FEC"/>
    <w:rsid w:val="00EF30C3"/>
    <w:rsid w:val="00EF30F2"/>
    <w:rsid w:val="00EF31E3"/>
    <w:rsid w:val="00EF32AF"/>
    <w:rsid w:val="00EF32BE"/>
    <w:rsid w:val="00EF333E"/>
    <w:rsid w:val="00EF33F4"/>
    <w:rsid w:val="00EF34A1"/>
    <w:rsid w:val="00EF34D2"/>
    <w:rsid w:val="00EF34F7"/>
    <w:rsid w:val="00EF382E"/>
    <w:rsid w:val="00EF38EA"/>
    <w:rsid w:val="00EF38F6"/>
    <w:rsid w:val="00EF394A"/>
    <w:rsid w:val="00EF3A2C"/>
    <w:rsid w:val="00EF3BBA"/>
    <w:rsid w:val="00EF3C6A"/>
    <w:rsid w:val="00EF3DDE"/>
    <w:rsid w:val="00EF4345"/>
    <w:rsid w:val="00EF44BB"/>
    <w:rsid w:val="00EF476C"/>
    <w:rsid w:val="00EF4894"/>
    <w:rsid w:val="00EF4B80"/>
    <w:rsid w:val="00EF4B91"/>
    <w:rsid w:val="00EF4C78"/>
    <w:rsid w:val="00EF4E14"/>
    <w:rsid w:val="00EF509F"/>
    <w:rsid w:val="00EF52F5"/>
    <w:rsid w:val="00EF5414"/>
    <w:rsid w:val="00EF54E1"/>
    <w:rsid w:val="00EF56B1"/>
    <w:rsid w:val="00EF582A"/>
    <w:rsid w:val="00EF5878"/>
    <w:rsid w:val="00EF58C6"/>
    <w:rsid w:val="00EF58E8"/>
    <w:rsid w:val="00EF5BCC"/>
    <w:rsid w:val="00EF5CDE"/>
    <w:rsid w:val="00EF5DA1"/>
    <w:rsid w:val="00EF6412"/>
    <w:rsid w:val="00EF6624"/>
    <w:rsid w:val="00EF6707"/>
    <w:rsid w:val="00EF696D"/>
    <w:rsid w:val="00EF69A8"/>
    <w:rsid w:val="00EF6B1B"/>
    <w:rsid w:val="00EF6BAE"/>
    <w:rsid w:val="00EF6CD0"/>
    <w:rsid w:val="00EF6CF6"/>
    <w:rsid w:val="00EF6DAA"/>
    <w:rsid w:val="00EF6E6C"/>
    <w:rsid w:val="00EF6F4D"/>
    <w:rsid w:val="00EF7003"/>
    <w:rsid w:val="00EF7171"/>
    <w:rsid w:val="00EF71D9"/>
    <w:rsid w:val="00EF72E0"/>
    <w:rsid w:val="00EF7310"/>
    <w:rsid w:val="00EF7418"/>
    <w:rsid w:val="00EF7601"/>
    <w:rsid w:val="00EF7645"/>
    <w:rsid w:val="00EF7662"/>
    <w:rsid w:val="00EF795E"/>
    <w:rsid w:val="00EF7A36"/>
    <w:rsid w:val="00EF7B71"/>
    <w:rsid w:val="00EF7B87"/>
    <w:rsid w:val="00EF7C51"/>
    <w:rsid w:val="00EF7C6F"/>
    <w:rsid w:val="00F00058"/>
    <w:rsid w:val="00F00152"/>
    <w:rsid w:val="00F00357"/>
    <w:rsid w:val="00F003F6"/>
    <w:rsid w:val="00F00411"/>
    <w:rsid w:val="00F005C4"/>
    <w:rsid w:val="00F005DB"/>
    <w:rsid w:val="00F00656"/>
    <w:rsid w:val="00F00687"/>
    <w:rsid w:val="00F006E1"/>
    <w:rsid w:val="00F0072B"/>
    <w:rsid w:val="00F007AB"/>
    <w:rsid w:val="00F007E7"/>
    <w:rsid w:val="00F008E8"/>
    <w:rsid w:val="00F0090A"/>
    <w:rsid w:val="00F00913"/>
    <w:rsid w:val="00F00A7C"/>
    <w:rsid w:val="00F00C07"/>
    <w:rsid w:val="00F00C5C"/>
    <w:rsid w:val="00F00D16"/>
    <w:rsid w:val="00F00D18"/>
    <w:rsid w:val="00F00E46"/>
    <w:rsid w:val="00F01014"/>
    <w:rsid w:val="00F01186"/>
    <w:rsid w:val="00F01335"/>
    <w:rsid w:val="00F013C5"/>
    <w:rsid w:val="00F01547"/>
    <w:rsid w:val="00F01574"/>
    <w:rsid w:val="00F01669"/>
    <w:rsid w:val="00F017B6"/>
    <w:rsid w:val="00F01886"/>
    <w:rsid w:val="00F0196F"/>
    <w:rsid w:val="00F01A0F"/>
    <w:rsid w:val="00F01A42"/>
    <w:rsid w:val="00F01AD8"/>
    <w:rsid w:val="00F01C0A"/>
    <w:rsid w:val="00F01C13"/>
    <w:rsid w:val="00F01C44"/>
    <w:rsid w:val="00F01FD9"/>
    <w:rsid w:val="00F02296"/>
    <w:rsid w:val="00F0238D"/>
    <w:rsid w:val="00F024F5"/>
    <w:rsid w:val="00F02569"/>
    <w:rsid w:val="00F025A0"/>
    <w:rsid w:val="00F025A4"/>
    <w:rsid w:val="00F028BE"/>
    <w:rsid w:val="00F0294B"/>
    <w:rsid w:val="00F02BBF"/>
    <w:rsid w:val="00F02E19"/>
    <w:rsid w:val="00F02E4E"/>
    <w:rsid w:val="00F02E88"/>
    <w:rsid w:val="00F0334A"/>
    <w:rsid w:val="00F03626"/>
    <w:rsid w:val="00F03960"/>
    <w:rsid w:val="00F039B3"/>
    <w:rsid w:val="00F03B1E"/>
    <w:rsid w:val="00F03C18"/>
    <w:rsid w:val="00F03CDF"/>
    <w:rsid w:val="00F03D05"/>
    <w:rsid w:val="00F03D6F"/>
    <w:rsid w:val="00F03F00"/>
    <w:rsid w:val="00F03FB7"/>
    <w:rsid w:val="00F0403A"/>
    <w:rsid w:val="00F040F2"/>
    <w:rsid w:val="00F04104"/>
    <w:rsid w:val="00F0412B"/>
    <w:rsid w:val="00F0433F"/>
    <w:rsid w:val="00F04672"/>
    <w:rsid w:val="00F046B3"/>
    <w:rsid w:val="00F049A1"/>
    <w:rsid w:val="00F04A3C"/>
    <w:rsid w:val="00F04A72"/>
    <w:rsid w:val="00F04C35"/>
    <w:rsid w:val="00F04F45"/>
    <w:rsid w:val="00F04F5E"/>
    <w:rsid w:val="00F04F8B"/>
    <w:rsid w:val="00F05094"/>
    <w:rsid w:val="00F050A5"/>
    <w:rsid w:val="00F05106"/>
    <w:rsid w:val="00F05163"/>
    <w:rsid w:val="00F051F5"/>
    <w:rsid w:val="00F05342"/>
    <w:rsid w:val="00F05389"/>
    <w:rsid w:val="00F05544"/>
    <w:rsid w:val="00F05553"/>
    <w:rsid w:val="00F05597"/>
    <w:rsid w:val="00F05612"/>
    <w:rsid w:val="00F056C5"/>
    <w:rsid w:val="00F056C6"/>
    <w:rsid w:val="00F056FE"/>
    <w:rsid w:val="00F057AA"/>
    <w:rsid w:val="00F058B6"/>
    <w:rsid w:val="00F05909"/>
    <w:rsid w:val="00F05B60"/>
    <w:rsid w:val="00F05B84"/>
    <w:rsid w:val="00F05C29"/>
    <w:rsid w:val="00F05C71"/>
    <w:rsid w:val="00F05F62"/>
    <w:rsid w:val="00F06181"/>
    <w:rsid w:val="00F063F1"/>
    <w:rsid w:val="00F06408"/>
    <w:rsid w:val="00F064B9"/>
    <w:rsid w:val="00F064D9"/>
    <w:rsid w:val="00F0662A"/>
    <w:rsid w:val="00F0673B"/>
    <w:rsid w:val="00F068E9"/>
    <w:rsid w:val="00F06912"/>
    <w:rsid w:val="00F06A80"/>
    <w:rsid w:val="00F06B58"/>
    <w:rsid w:val="00F06B71"/>
    <w:rsid w:val="00F06CDE"/>
    <w:rsid w:val="00F0706E"/>
    <w:rsid w:val="00F07472"/>
    <w:rsid w:val="00F075A2"/>
    <w:rsid w:val="00F07A82"/>
    <w:rsid w:val="00F07B54"/>
    <w:rsid w:val="00F07C06"/>
    <w:rsid w:val="00F07E09"/>
    <w:rsid w:val="00F07E74"/>
    <w:rsid w:val="00F07F1A"/>
    <w:rsid w:val="00F10071"/>
    <w:rsid w:val="00F10143"/>
    <w:rsid w:val="00F1031A"/>
    <w:rsid w:val="00F104C2"/>
    <w:rsid w:val="00F10788"/>
    <w:rsid w:val="00F108CB"/>
    <w:rsid w:val="00F108EA"/>
    <w:rsid w:val="00F10961"/>
    <w:rsid w:val="00F10983"/>
    <w:rsid w:val="00F10B84"/>
    <w:rsid w:val="00F10C37"/>
    <w:rsid w:val="00F10D8E"/>
    <w:rsid w:val="00F10DD9"/>
    <w:rsid w:val="00F10EB1"/>
    <w:rsid w:val="00F11024"/>
    <w:rsid w:val="00F11266"/>
    <w:rsid w:val="00F114F5"/>
    <w:rsid w:val="00F11512"/>
    <w:rsid w:val="00F11547"/>
    <w:rsid w:val="00F116A9"/>
    <w:rsid w:val="00F11C94"/>
    <w:rsid w:val="00F11D2E"/>
    <w:rsid w:val="00F11F5B"/>
    <w:rsid w:val="00F12321"/>
    <w:rsid w:val="00F12393"/>
    <w:rsid w:val="00F123AC"/>
    <w:rsid w:val="00F1256D"/>
    <w:rsid w:val="00F125DC"/>
    <w:rsid w:val="00F12608"/>
    <w:rsid w:val="00F12622"/>
    <w:rsid w:val="00F1285B"/>
    <w:rsid w:val="00F12863"/>
    <w:rsid w:val="00F1287E"/>
    <w:rsid w:val="00F12B8C"/>
    <w:rsid w:val="00F12CBE"/>
    <w:rsid w:val="00F12D31"/>
    <w:rsid w:val="00F12E15"/>
    <w:rsid w:val="00F12EAD"/>
    <w:rsid w:val="00F130BC"/>
    <w:rsid w:val="00F13418"/>
    <w:rsid w:val="00F134B2"/>
    <w:rsid w:val="00F1350C"/>
    <w:rsid w:val="00F138E9"/>
    <w:rsid w:val="00F138EB"/>
    <w:rsid w:val="00F138F8"/>
    <w:rsid w:val="00F139B5"/>
    <w:rsid w:val="00F13A0D"/>
    <w:rsid w:val="00F13A14"/>
    <w:rsid w:val="00F13B59"/>
    <w:rsid w:val="00F13CA5"/>
    <w:rsid w:val="00F13E67"/>
    <w:rsid w:val="00F13EA1"/>
    <w:rsid w:val="00F13EC5"/>
    <w:rsid w:val="00F1402F"/>
    <w:rsid w:val="00F1403D"/>
    <w:rsid w:val="00F14132"/>
    <w:rsid w:val="00F14143"/>
    <w:rsid w:val="00F14188"/>
    <w:rsid w:val="00F142C6"/>
    <w:rsid w:val="00F1458C"/>
    <w:rsid w:val="00F14645"/>
    <w:rsid w:val="00F1467F"/>
    <w:rsid w:val="00F146C6"/>
    <w:rsid w:val="00F14821"/>
    <w:rsid w:val="00F1486B"/>
    <w:rsid w:val="00F14874"/>
    <w:rsid w:val="00F14C32"/>
    <w:rsid w:val="00F14E78"/>
    <w:rsid w:val="00F14F8A"/>
    <w:rsid w:val="00F14FB3"/>
    <w:rsid w:val="00F150CF"/>
    <w:rsid w:val="00F15100"/>
    <w:rsid w:val="00F151D2"/>
    <w:rsid w:val="00F15284"/>
    <w:rsid w:val="00F15655"/>
    <w:rsid w:val="00F156A1"/>
    <w:rsid w:val="00F1572D"/>
    <w:rsid w:val="00F159F7"/>
    <w:rsid w:val="00F15A23"/>
    <w:rsid w:val="00F15A2C"/>
    <w:rsid w:val="00F15F82"/>
    <w:rsid w:val="00F163A8"/>
    <w:rsid w:val="00F1643B"/>
    <w:rsid w:val="00F164E6"/>
    <w:rsid w:val="00F16785"/>
    <w:rsid w:val="00F167A5"/>
    <w:rsid w:val="00F16988"/>
    <w:rsid w:val="00F16A43"/>
    <w:rsid w:val="00F16B13"/>
    <w:rsid w:val="00F16BA6"/>
    <w:rsid w:val="00F16D6E"/>
    <w:rsid w:val="00F16ED8"/>
    <w:rsid w:val="00F16FE7"/>
    <w:rsid w:val="00F17062"/>
    <w:rsid w:val="00F170FB"/>
    <w:rsid w:val="00F174FC"/>
    <w:rsid w:val="00F175F5"/>
    <w:rsid w:val="00F1776A"/>
    <w:rsid w:val="00F177D2"/>
    <w:rsid w:val="00F17894"/>
    <w:rsid w:val="00F17A71"/>
    <w:rsid w:val="00F20161"/>
    <w:rsid w:val="00F202D2"/>
    <w:rsid w:val="00F204D9"/>
    <w:rsid w:val="00F204E0"/>
    <w:rsid w:val="00F207AC"/>
    <w:rsid w:val="00F20817"/>
    <w:rsid w:val="00F20842"/>
    <w:rsid w:val="00F2091F"/>
    <w:rsid w:val="00F2092F"/>
    <w:rsid w:val="00F2094D"/>
    <w:rsid w:val="00F20962"/>
    <w:rsid w:val="00F209D9"/>
    <w:rsid w:val="00F20B11"/>
    <w:rsid w:val="00F20BCB"/>
    <w:rsid w:val="00F20BEE"/>
    <w:rsid w:val="00F20E2D"/>
    <w:rsid w:val="00F20EC1"/>
    <w:rsid w:val="00F20F8B"/>
    <w:rsid w:val="00F21122"/>
    <w:rsid w:val="00F2138E"/>
    <w:rsid w:val="00F215EA"/>
    <w:rsid w:val="00F217AD"/>
    <w:rsid w:val="00F219B6"/>
    <w:rsid w:val="00F21ABC"/>
    <w:rsid w:val="00F21D35"/>
    <w:rsid w:val="00F21F1A"/>
    <w:rsid w:val="00F21F77"/>
    <w:rsid w:val="00F22013"/>
    <w:rsid w:val="00F2252A"/>
    <w:rsid w:val="00F2285B"/>
    <w:rsid w:val="00F22945"/>
    <w:rsid w:val="00F22B08"/>
    <w:rsid w:val="00F22B2A"/>
    <w:rsid w:val="00F22C1F"/>
    <w:rsid w:val="00F22EB2"/>
    <w:rsid w:val="00F22F85"/>
    <w:rsid w:val="00F23023"/>
    <w:rsid w:val="00F23038"/>
    <w:rsid w:val="00F23141"/>
    <w:rsid w:val="00F2333B"/>
    <w:rsid w:val="00F233BC"/>
    <w:rsid w:val="00F2356C"/>
    <w:rsid w:val="00F2374A"/>
    <w:rsid w:val="00F23A9B"/>
    <w:rsid w:val="00F23AC0"/>
    <w:rsid w:val="00F23C20"/>
    <w:rsid w:val="00F23C57"/>
    <w:rsid w:val="00F23D34"/>
    <w:rsid w:val="00F23DEB"/>
    <w:rsid w:val="00F23E81"/>
    <w:rsid w:val="00F24038"/>
    <w:rsid w:val="00F24061"/>
    <w:rsid w:val="00F240D3"/>
    <w:rsid w:val="00F24182"/>
    <w:rsid w:val="00F24219"/>
    <w:rsid w:val="00F24365"/>
    <w:rsid w:val="00F244DC"/>
    <w:rsid w:val="00F24588"/>
    <w:rsid w:val="00F2482E"/>
    <w:rsid w:val="00F248B7"/>
    <w:rsid w:val="00F24D41"/>
    <w:rsid w:val="00F24DB7"/>
    <w:rsid w:val="00F24F26"/>
    <w:rsid w:val="00F250DB"/>
    <w:rsid w:val="00F25117"/>
    <w:rsid w:val="00F253B1"/>
    <w:rsid w:val="00F253C5"/>
    <w:rsid w:val="00F25578"/>
    <w:rsid w:val="00F25A2A"/>
    <w:rsid w:val="00F25A82"/>
    <w:rsid w:val="00F25E01"/>
    <w:rsid w:val="00F25EA2"/>
    <w:rsid w:val="00F25F9B"/>
    <w:rsid w:val="00F25FFD"/>
    <w:rsid w:val="00F2606A"/>
    <w:rsid w:val="00F2606F"/>
    <w:rsid w:val="00F261DB"/>
    <w:rsid w:val="00F26259"/>
    <w:rsid w:val="00F26798"/>
    <w:rsid w:val="00F269DD"/>
    <w:rsid w:val="00F26A1F"/>
    <w:rsid w:val="00F26B13"/>
    <w:rsid w:val="00F26B75"/>
    <w:rsid w:val="00F26BDC"/>
    <w:rsid w:val="00F26C34"/>
    <w:rsid w:val="00F26D54"/>
    <w:rsid w:val="00F26D71"/>
    <w:rsid w:val="00F26E4E"/>
    <w:rsid w:val="00F26E7B"/>
    <w:rsid w:val="00F27006"/>
    <w:rsid w:val="00F27205"/>
    <w:rsid w:val="00F27217"/>
    <w:rsid w:val="00F2726D"/>
    <w:rsid w:val="00F27311"/>
    <w:rsid w:val="00F2736A"/>
    <w:rsid w:val="00F27454"/>
    <w:rsid w:val="00F27467"/>
    <w:rsid w:val="00F27496"/>
    <w:rsid w:val="00F2763E"/>
    <w:rsid w:val="00F27725"/>
    <w:rsid w:val="00F277AF"/>
    <w:rsid w:val="00F278E0"/>
    <w:rsid w:val="00F279D0"/>
    <w:rsid w:val="00F27BBF"/>
    <w:rsid w:val="00F27C60"/>
    <w:rsid w:val="00F27D18"/>
    <w:rsid w:val="00F27D20"/>
    <w:rsid w:val="00F27E9A"/>
    <w:rsid w:val="00F27ECB"/>
    <w:rsid w:val="00F27EDF"/>
    <w:rsid w:val="00F3029B"/>
    <w:rsid w:val="00F302AA"/>
    <w:rsid w:val="00F304D1"/>
    <w:rsid w:val="00F3050A"/>
    <w:rsid w:val="00F30670"/>
    <w:rsid w:val="00F3067D"/>
    <w:rsid w:val="00F30728"/>
    <w:rsid w:val="00F30730"/>
    <w:rsid w:val="00F308BB"/>
    <w:rsid w:val="00F30AD4"/>
    <w:rsid w:val="00F30D93"/>
    <w:rsid w:val="00F30F11"/>
    <w:rsid w:val="00F3133D"/>
    <w:rsid w:val="00F31376"/>
    <w:rsid w:val="00F313C9"/>
    <w:rsid w:val="00F3140F"/>
    <w:rsid w:val="00F31470"/>
    <w:rsid w:val="00F31586"/>
    <w:rsid w:val="00F31633"/>
    <w:rsid w:val="00F31639"/>
    <w:rsid w:val="00F31701"/>
    <w:rsid w:val="00F317D4"/>
    <w:rsid w:val="00F318C5"/>
    <w:rsid w:val="00F31912"/>
    <w:rsid w:val="00F319F8"/>
    <w:rsid w:val="00F31BA8"/>
    <w:rsid w:val="00F31C24"/>
    <w:rsid w:val="00F31D21"/>
    <w:rsid w:val="00F31D63"/>
    <w:rsid w:val="00F31DE5"/>
    <w:rsid w:val="00F31EC8"/>
    <w:rsid w:val="00F31F29"/>
    <w:rsid w:val="00F321E0"/>
    <w:rsid w:val="00F321F1"/>
    <w:rsid w:val="00F32333"/>
    <w:rsid w:val="00F323FA"/>
    <w:rsid w:val="00F3254B"/>
    <w:rsid w:val="00F326E4"/>
    <w:rsid w:val="00F3270E"/>
    <w:rsid w:val="00F32D5D"/>
    <w:rsid w:val="00F32EAB"/>
    <w:rsid w:val="00F33410"/>
    <w:rsid w:val="00F33640"/>
    <w:rsid w:val="00F336DE"/>
    <w:rsid w:val="00F337EC"/>
    <w:rsid w:val="00F3382D"/>
    <w:rsid w:val="00F339E4"/>
    <w:rsid w:val="00F33B93"/>
    <w:rsid w:val="00F33C21"/>
    <w:rsid w:val="00F33CD7"/>
    <w:rsid w:val="00F33D27"/>
    <w:rsid w:val="00F33FD8"/>
    <w:rsid w:val="00F33FEE"/>
    <w:rsid w:val="00F34180"/>
    <w:rsid w:val="00F34421"/>
    <w:rsid w:val="00F3448E"/>
    <w:rsid w:val="00F344BD"/>
    <w:rsid w:val="00F345B5"/>
    <w:rsid w:val="00F34616"/>
    <w:rsid w:val="00F346CE"/>
    <w:rsid w:val="00F3491B"/>
    <w:rsid w:val="00F34B9B"/>
    <w:rsid w:val="00F34BD4"/>
    <w:rsid w:val="00F34CCB"/>
    <w:rsid w:val="00F34DA0"/>
    <w:rsid w:val="00F34F79"/>
    <w:rsid w:val="00F34FD9"/>
    <w:rsid w:val="00F35010"/>
    <w:rsid w:val="00F35068"/>
    <w:rsid w:val="00F355B5"/>
    <w:rsid w:val="00F35702"/>
    <w:rsid w:val="00F357CC"/>
    <w:rsid w:val="00F35AF3"/>
    <w:rsid w:val="00F35E93"/>
    <w:rsid w:val="00F35F63"/>
    <w:rsid w:val="00F35FF0"/>
    <w:rsid w:val="00F3620E"/>
    <w:rsid w:val="00F3632E"/>
    <w:rsid w:val="00F36337"/>
    <w:rsid w:val="00F3680E"/>
    <w:rsid w:val="00F36901"/>
    <w:rsid w:val="00F36A57"/>
    <w:rsid w:val="00F36B3F"/>
    <w:rsid w:val="00F36BDA"/>
    <w:rsid w:val="00F36C15"/>
    <w:rsid w:val="00F36C2D"/>
    <w:rsid w:val="00F36C34"/>
    <w:rsid w:val="00F36DDF"/>
    <w:rsid w:val="00F37003"/>
    <w:rsid w:val="00F3705F"/>
    <w:rsid w:val="00F37061"/>
    <w:rsid w:val="00F37211"/>
    <w:rsid w:val="00F37286"/>
    <w:rsid w:val="00F374A3"/>
    <w:rsid w:val="00F37530"/>
    <w:rsid w:val="00F3759F"/>
    <w:rsid w:val="00F37756"/>
    <w:rsid w:val="00F3776B"/>
    <w:rsid w:val="00F379CB"/>
    <w:rsid w:val="00F37AE2"/>
    <w:rsid w:val="00F37C1D"/>
    <w:rsid w:val="00F37D5A"/>
    <w:rsid w:val="00F37E63"/>
    <w:rsid w:val="00F37EDD"/>
    <w:rsid w:val="00F37F6C"/>
    <w:rsid w:val="00F40125"/>
    <w:rsid w:val="00F4043F"/>
    <w:rsid w:val="00F40650"/>
    <w:rsid w:val="00F406D5"/>
    <w:rsid w:val="00F40971"/>
    <w:rsid w:val="00F4099E"/>
    <w:rsid w:val="00F409DA"/>
    <w:rsid w:val="00F40A2B"/>
    <w:rsid w:val="00F40CEC"/>
    <w:rsid w:val="00F40D4B"/>
    <w:rsid w:val="00F40E5B"/>
    <w:rsid w:val="00F40EC8"/>
    <w:rsid w:val="00F40EE8"/>
    <w:rsid w:val="00F40F73"/>
    <w:rsid w:val="00F413EF"/>
    <w:rsid w:val="00F4161B"/>
    <w:rsid w:val="00F41941"/>
    <w:rsid w:val="00F4197E"/>
    <w:rsid w:val="00F41A18"/>
    <w:rsid w:val="00F41B52"/>
    <w:rsid w:val="00F41C0F"/>
    <w:rsid w:val="00F41C17"/>
    <w:rsid w:val="00F41C1D"/>
    <w:rsid w:val="00F41DAE"/>
    <w:rsid w:val="00F41E73"/>
    <w:rsid w:val="00F4217F"/>
    <w:rsid w:val="00F421B0"/>
    <w:rsid w:val="00F423C6"/>
    <w:rsid w:val="00F42502"/>
    <w:rsid w:val="00F4251F"/>
    <w:rsid w:val="00F426A0"/>
    <w:rsid w:val="00F42734"/>
    <w:rsid w:val="00F42891"/>
    <w:rsid w:val="00F42B17"/>
    <w:rsid w:val="00F43014"/>
    <w:rsid w:val="00F43023"/>
    <w:rsid w:val="00F43134"/>
    <w:rsid w:val="00F4313E"/>
    <w:rsid w:val="00F43189"/>
    <w:rsid w:val="00F4319A"/>
    <w:rsid w:val="00F43328"/>
    <w:rsid w:val="00F4337A"/>
    <w:rsid w:val="00F433AA"/>
    <w:rsid w:val="00F433EC"/>
    <w:rsid w:val="00F43410"/>
    <w:rsid w:val="00F43823"/>
    <w:rsid w:val="00F43837"/>
    <w:rsid w:val="00F43B32"/>
    <w:rsid w:val="00F43C51"/>
    <w:rsid w:val="00F43CE1"/>
    <w:rsid w:val="00F43D90"/>
    <w:rsid w:val="00F43DC7"/>
    <w:rsid w:val="00F43E00"/>
    <w:rsid w:val="00F43E28"/>
    <w:rsid w:val="00F43E56"/>
    <w:rsid w:val="00F43F54"/>
    <w:rsid w:val="00F43FC0"/>
    <w:rsid w:val="00F44035"/>
    <w:rsid w:val="00F441D3"/>
    <w:rsid w:val="00F441EB"/>
    <w:rsid w:val="00F442B3"/>
    <w:rsid w:val="00F442DA"/>
    <w:rsid w:val="00F445C2"/>
    <w:rsid w:val="00F44660"/>
    <w:rsid w:val="00F448A4"/>
    <w:rsid w:val="00F44A51"/>
    <w:rsid w:val="00F44A92"/>
    <w:rsid w:val="00F44AB5"/>
    <w:rsid w:val="00F44B7E"/>
    <w:rsid w:val="00F44BC5"/>
    <w:rsid w:val="00F44DBA"/>
    <w:rsid w:val="00F44DFA"/>
    <w:rsid w:val="00F44E7B"/>
    <w:rsid w:val="00F451A9"/>
    <w:rsid w:val="00F452A0"/>
    <w:rsid w:val="00F45340"/>
    <w:rsid w:val="00F4535D"/>
    <w:rsid w:val="00F4550C"/>
    <w:rsid w:val="00F45586"/>
    <w:rsid w:val="00F45668"/>
    <w:rsid w:val="00F4567E"/>
    <w:rsid w:val="00F4570C"/>
    <w:rsid w:val="00F457C6"/>
    <w:rsid w:val="00F45827"/>
    <w:rsid w:val="00F458A6"/>
    <w:rsid w:val="00F45A9F"/>
    <w:rsid w:val="00F45B7F"/>
    <w:rsid w:val="00F45BD9"/>
    <w:rsid w:val="00F45BDA"/>
    <w:rsid w:val="00F45D84"/>
    <w:rsid w:val="00F45F23"/>
    <w:rsid w:val="00F45FAF"/>
    <w:rsid w:val="00F46190"/>
    <w:rsid w:val="00F461AF"/>
    <w:rsid w:val="00F461EE"/>
    <w:rsid w:val="00F4648C"/>
    <w:rsid w:val="00F466D0"/>
    <w:rsid w:val="00F46889"/>
    <w:rsid w:val="00F46987"/>
    <w:rsid w:val="00F469F0"/>
    <w:rsid w:val="00F46C76"/>
    <w:rsid w:val="00F47078"/>
    <w:rsid w:val="00F4707C"/>
    <w:rsid w:val="00F47268"/>
    <w:rsid w:val="00F47384"/>
    <w:rsid w:val="00F4778B"/>
    <w:rsid w:val="00F478CE"/>
    <w:rsid w:val="00F478F1"/>
    <w:rsid w:val="00F4793C"/>
    <w:rsid w:val="00F479FF"/>
    <w:rsid w:val="00F47A50"/>
    <w:rsid w:val="00F47AD1"/>
    <w:rsid w:val="00F47AFE"/>
    <w:rsid w:val="00F47B23"/>
    <w:rsid w:val="00F47E32"/>
    <w:rsid w:val="00F500F7"/>
    <w:rsid w:val="00F5014E"/>
    <w:rsid w:val="00F501F4"/>
    <w:rsid w:val="00F5030B"/>
    <w:rsid w:val="00F50537"/>
    <w:rsid w:val="00F50653"/>
    <w:rsid w:val="00F508D0"/>
    <w:rsid w:val="00F50920"/>
    <w:rsid w:val="00F509CF"/>
    <w:rsid w:val="00F50A72"/>
    <w:rsid w:val="00F50AFE"/>
    <w:rsid w:val="00F50E7F"/>
    <w:rsid w:val="00F50EA8"/>
    <w:rsid w:val="00F50EED"/>
    <w:rsid w:val="00F51055"/>
    <w:rsid w:val="00F510BA"/>
    <w:rsid w:val="00F510BC"/>
    <w:rsid w:val="00F51110"/>
    <w:rsid w:val="00F511F6"/>
    <w:rsid w:val="00F5122B"/>
    <w:rsid w:val="00F51307"/>
    <w:rsid w:val="00F51482"/>
    <w:rsid w:val="00F514DA"/>
    <w:rsid w:val="00F5150B"/>
    <w:rsid w:val="00F5157A"/>
    <w:rsid w:val="00F515CC"/>
    <w:rsid w:val="00F51679"/>
    <w:rsid w:val="00F516F2"/>
    <w:rsid w:val="00F5185B"/>
    <w:rsid w:val="00F51C83"/>
    <w:rsid w:val="00F51E51"/>
    <w:rsid w:val="00F52124"/>
    <w:rsid w:val="00F5233D"/>
    <w:rsid w:val="00F52529"/>
    <w:rsid w:val="00F525F6"/>
    <w:rsid w:val="00F52795"/>
    <w:rsid w:val="00F527E3"/>
    <w:rsid w:val="00F5284D"/>
    <w:rsid w:val="00F52965"/>
    <w:rsid w:val="00F529CD"/>
    <w:rsid w:val="00F529EC"/>
    <w:rsid w:val="00F52A59"/>
    <w:rsid w:val="00F52CEA"/>
    <w:rsid w:val="00F53135"/>
    <w:rsid w:val="00F53552"/>
    <w:rsid w:val="00F535C3"/>
    <w:rsid w:val="00F5367E"/>
    <w:rsid w:val="00F536B9"/>
    <w:rsid w:val="00F536D4"/>
    <w:rsid w:val="00F53793"/>
    <w:rsid w:val="00F53832"/>
    <w:rsid w:val="00F53AD8"/>
    <w:rsid w:val="00F53CCE"/>
    <w:rsid w:val="00F53CD8"/>
    <w:rsid w:val="00F53F64"/>
    <w:rsid w:val="00F53FFA"/>
    <w:rsid w:val="00F54108"/>
    <w:rsid w:val="00F5415B"/>
    <w:rsid w:val="00F543F5"/>
    <w:rsid w:val="00F546A7"/>
    <w:rsid w:val="00F54703"/>
    <w:rsid w:val="00F547D2"/>
    <w:rsid w:val="00F54872"/>
    <w:rsid w:val="00F54AB7"/>
    <w:rsid w:val="00F54B07"/>
    <w:rsid w:val="00F54CE1"/>
    <w:rsid w:val="00F54E94"/>
    <w:rsid w:val="00F54EF9"/>
    <w:rsid w:val="00F55111"/>
    <w:rsid w:val="00F55133"/>
    <w:rsid w:val="00F5514E"/>
    <w:rsid w:val="00F552E8"/>
    <w:rsid w:val="00F552EA"/>
    <w:rsid w:val="00F553F6"/>
    <w:rsid w:val="00F55459"/>
    <w:rsid w:val="00F55482"/>
    <w:rsid w:val="00F55495"/>
    <w:rsid w:val="00F55628"/>
    <w:rsid w:val="00F55791"/>
    <w:rsid w:val="00F5593F"/>
    <w:rsid w:val="00F55A4A"/>
    <w:rsid w:val="00F55A9E"/>
    <w:rsid w:val="00F55AE9"/>
    <w:rsid w:val="00F55BE5"/>
    <w:rsid w:val="00F55CBE"/>
    <w:rsid w:val="00F55D12"/>
    <w:rsid w:val="00F55EAF"/>
    <w:rsid w:val="00F5602E"/>
    <w:rsid w:val="00F56249"/>
    <w:rsid w:val="00F5624C"/>
    <w:rsid w:val="00F563A0"/>
    <w:rsid w:val="00F563EC"/>
    <w:rsid w:val="00F5655A"/>
    <w:rsid w:val="00F56574"/>
    <w:rsid w:val="00F5661D"/>
    <w:rsid w:val="00F5662E"/>
    <w:rsid w:val="00F56688"/>
    <w:rsid w:val="00F56691"/>
    <w:rsid w:val="00F567C0"/>
    <w:rsid w:val="00F567E2"/>
    <w:rsid w:val="00F5684F"/>
    <w:rsid w:val="00F568C8"/>
    <w:rsid w:val="00F569A1"/>
    <w:rsid w:val="00F56A5B"/>
    <w:rsid w:val="00F56AA3"/>
    <w:rsid w:val="00F56BB8"/>
    <w:rsid w:val="00F56D2C"/>
    <w:rsid w:val="00F56F92"/>
    <w:rsid w:val="00F56FA6"/>
    <w:rsid w:val="00F5704D"/>
    <w:rsid w:val="00F57466"/>
    <w:rsid w:val="00F57474"/>
    <w:rsid w:val="00F5752D"/>
    <w:rsid w:val="00F57637"/>
    <w:rsid w:val="00F576E3"/>
    <w:rsid w:val="00F5770E"/>
    <w:rsid w:val="00F5782A"/>
    <w:rsid w:val="00F57859"/>
    <w:rsid w:val="00F57881"/>
    <w:rsid w:val="00F57A1F"/>
    <w:rsid w:val="00F57CD0"/>
    <w:rsid w:val="00F57E42"/>
    <w:rsid w:val="00F57EF4"/>
    <w:rsid w:val="00F57F81"/>
    <w:rsid w:val="00F57F91"/>
    <w:rsid w:val="00F6002C"/>
    <w:rsid w:val="00F60145"/>
    <w:rsid w:val="00F60206"/>
    <w:rsid w:val="00F60313"/>
    <w:rsid w:val="00F60483"/>
    <w:rsid w:val="00F604DE"/>
    <w:rsid w:val="00F6050F"/>
    <w:rsid w:val="00F605CF"/>
    <w:rsid w:val="00F6069D"/>
    <w:rsid w:val="00F60922"/>
    <w:rsid w:val="00F60E13"/>
    <w:rsid w:val="00F60FE6"/>
    <w:rsid w:val="00F61035"/>
    <w:rsid w:val="00F610D2"/>
    <w:rsid w:val="00F6135D"/>
    <w:rsid w:val="00F614EC"/>
    <w:rsid w:val="00F614F7"/>
    <w:rsid w:val="00F61675"/>
    <w:rsid w:val="00F617E8"/>
    <w:rsid w:val="00F61995"/>
    <w:rsid w:val="00F61A37"/>
    <w:rsid w:val="00F61AC0"/>
    <w:rsid w:val="00F61ADC"/>
    <w:rsid w:val="00F620A2"/>
    <w:rsid w:val="00F620A4"/>
    <w:rsid w:val="00F620D3"/>
    <w:rsid w:val="00F62129"/>
    <w:rsid w:val="00F62205"/>
    <w:rsid w:val="00F62376"/>
    <w:rsid w:val="00F623F1"/>
    <w:rsid w:val="00F623F2"/>
    <w:rsid w:val="00F6244B"/>
    <w:rsid w:val="00F624AC"/>
    <w:rsid w:val="00F6290C"/>
    <w:rsid w:val="00F62975"/>
    <w:rsid w:val="00F62993"/>
    <w:rsid w:val="00F62A6F"/>
    <w:rsid w:val="00F62D5E"/>
    <w:rsid w:val="00F62EF0"/>
    <w:rsid w:val="00F62F3D"/>
    <w:rsid w:val="00F63031"/>
    <w:rsid w:val="00F6317F"/>
    <w:rsid w:val="00F63181"/>
    <w:rsid w:val="00F63807"/>
    <w:rsid w:val="00F63872"/>
    <w:rsid w:val="00F63969"/>
    <w:rsid w:val="00F63A04"/>
    <w:rsid w:val="00F63E79"/>
    <w:rsid w:val="00F63EBD"/>
    <w:rsid w:val="00F63FC9"/>
    <w:rsid w:val="00F64052"/>
    <w:rsid w:val="00F64065"/>
    <w:rsid w:val="00F640DE"/>
    <w:rsid w:val="00F64293"/>
    <w:rsid w:val="00F64306"/>
    <w:rsid w:val="00F6434D"/>
    <w:rsid w:val="00F6435D"/>
    <w:rsid w:val="00F64568"/>
    <w:rsid w:val="00F646FB"/>
    <w:rsid w:val="00F64812"/>
    <w:rsid w:val="00F648B9"/>
    <w:rsid w:val="00F648F6"/>
    <w:rsid w:val="00F648FA"/>
    <w:rsid w:val="00F64979"/>
    <w:rsid w:val="00F64B73"/>
    <w:rsid w:val="00F64BC5"/>
    <w:rsid w:val="00F64C99"/>
    <w:rsid w:val="00F64E6C"/>
    <w:rsid w:val="00F64E7E"/>
    <w:rsid w:val="00F6517C"/>
    <w:rsid w:val="00F65393"/>
    <w:rsid w:val="00F6567D"/>
    <w:rsid w:val="00F65817"/>
    <w:rsid w:val="00F6586A"/>
    <w:rsid w:val="00F6587B"/>
    <w:rsid w:val="00F65C1F"/>
    <w:rsid w:val="00F65D8A"/>
    <w:rsid w:val="00F65F75"/>
    <w:rsid w:val="00F660E0"/>
    <w:rsid w:val="00F6611E"/>
    <w:rsid w:val="00F66304"/>
    <w:rsid w:val="00F6633D"/>
    <w:rsid w:val="00F663A9"/>
    <w:rsid w:val="00F66444"/>
    <w:rsid w:val="00F664CA"/>
    <w:rsid w:val="00F66836"/>
    <w:rsid w:val="00F6686C"/>
    <w:rsid w:val="00F668EF"/>
    <w:rsid w:val="00F668FC"/>
    <w:rsid w:val="00F66975"/>
    <w:rsid w:val="00F66A2C"/>
    <w:rsid w:val="00F66B15"/>
    <w:rsid w:val="00F66B5A"/>
    <w:rsid w:val="00F66D2C"/>
    <w:rsid w:val="00F66D82"/>
    <w:rsid w:val="00F66EB5"/>
    <w:rsid w:val="00F66ED4"/>
    <w:rsid w:val="00F66F32"/>
    <w:rsid w:val="00F66F5C"/>
    <w:rsid w:val="00F67041"/>
    <w:rsid w:val="00F670FB"/>
    <w:rsid w:val="00F67158"/>
    <w:rsid w:val="00F671B7"/>
    <w:rsid w:val="00F673C5"/>
    <w:rsid w:val="00F67402"/>
    <w:rsid w:val="00F67488"/>
    <w:rsid w:val="00F67490"/>
    <w:rsid w:val="00F6750C"/>
    <w:rsid w:val="00F67627"/>
    <w:rsid w:val="00F67699"/>
    <w:rsid w:val="00F6773F"/>
    <w:rsid w:val="00F677DF"/>
    <w:rsid w:val="00F67A5C"/>
    <w:rsid w:val="00F67B76"/>
    <w:rsid w:val="00F67D4B"/>
    <w:rsid w:val="00F67DDD"/>
    <w:rsid w:val="00F67F18"/>
    <w:rsid w:val="00F70049"/>
    <w:rsid w:val="00F70600"/>
    <w:rsid w:val="00F706FE"/>
    <w:rsid w:val="00F707EA"/>
    <w:rsid w:val="00F7083F"/>
    <w:rsid w:val="00F70973"/>
    <w:rsid w:val="00F70B29"/>
    <w:rsid w:val="00F70B93"/>
    <w:rsid w:val="00F70BE2"/>
    <w:rsid w:val="00F70D34"/>
    <w:rsid w:val="00F70F03"/>
    <w:rsid w:val="00F7102C"/>
    <w:rsid w:val="00F7131E"/>
    <w:rsid w:val="00F7136F"/>
    <w:rsid w:val="00F713AF"/>
    <w:rsid w:val="00F7149B"/>
    <w:rsid w:val="00F71800"/>
    <w:rsid w:val="00F71824"/>
    <w:rsid w:val="00F718EC"/>
    <w:rsid w:val="00F71A3C"/>
    <w:rsid w:val="00F71BB3"/>
    <w:rsid w:val="00F71C29"/>
    <w:rsid w:val="00F71E8D"/>
    <w:rsid w:val="00F71F42"/>
    <w:rsid w:val="00F7217C"/>
    <w:rsid w:val="00F72232"/>
    <w:rsid w:val="00F7231A"/>
    <w:rsid w:val="00F72545"/>
    <w:rsid w:val="00F72596"/>
    <w:rsid w:val="00F727D1"/>
    <w:rsid w:val="00F7285F"/>
    <w:rsid w:val="00F72896"/>
    <w:rsid w:val="00F7290C"/>
    <w:rsid w:val="00F72969"/>
    <w:rsid w:val="00F729BE"/>
    <w:rsid w:val="00F72A31"/>
    <w:rsid w:val="00F72A8F"/>
    <w:rsid w:val="00F72BEB"/>
    <w:rsid w:val="00F72C2E"/>
    <w:rsid w:val="00F72D77"/>
    <w:rsid w:val="00F72D7A"/>
    <w:rsid w:val="00F72F19"/>
    <w:rsid w:val="00F730FE"/>
    <w:rsid w:val="00F731A7"/>
    <w:rsid w:val="00F7341A"/>
    <w:rsid w:val="00F7357E"/>
    <w:rsid w:val="00F73607"/>
    <w:rsid w:val="00F73681"/>
    <w:rsid w:val="00F737DA"/>
    <w:rsid w:val="00F73890"/>
    <w:rsid w:val="00F73A82"/>
    <w:rsid w:val="00F73B26"/>
    <w:rsid w:val="00F73B27"/>
    <w:rsid w:val="00F73D1B"/>
    <w:rsid w:val="00F73E32"/>
    <w:rsid w:val="00F73F35"/>
    <w:rsid w:val="00F73F8C"/>
    <w:rsid w:val="00F73FC7"/>
    <w:rsid w:val="00F740BE"/>
    <w:rsid w:val="00F74188"/>
    <w:rsid w:val="00F741D7"/>
    <w:rsid w:val="00F74270"/>
    <w:rsid w:val="00F7442B"/>
    <w:rsid w:val="00F746F2"/>
    <w:rsid w:val="00F74969"/>
    <w:rsid w:val="00F74A25"/>
    <w:rsid w:val="00F74D7F"/>
    <w:rsid w:val="00F74DC3"/>
    <w:rsid w:val="00F74EBF"/>
    <w:rsid w:val="00F74F21"/>
    <w:rsid w:val="00F75044"/>
    <w:rsid w:val="00F75227"/>
    <w:rsid w:val="00F75292"/>
    <w:rsid w:val="00F752C6"/>
    <w:rsid w:val="00F75550"/>
    <w:rsid w:val="00F7562A"/>
    <w:rsid w:val="00F75A53"/>
    <w:rsid w:val="00F75B77"/>
    <w:rsid w:val="00F75CA1"/>
    <w:rsid w:val="00F75E2F"/>
    <w:rsid w:val="00F75ECE"/>
    <w:rsid w:val="00F7605C"/>
    <w:rsid w:val="00F760D0"/>
    <w:rsid w:val="00F763A1"/>
    <w:rsid w:val="00F76424"/>
    <w:rsid w:val="00F76563"/>
    <w:rsid w:val="00F7682B"/>
    <w:rsid w:val="00F7693B"/>
    <w:rsid w:val="00F76991"/>
    <w:rsid w:val="00F769CB"/>
    <w:rsid w:val="00F769F9"/>
    <w:rsid w:val="00F76A7C"/>
    <w:rsid w:val="00F76BEC"/>
    <w:rsid w:val="00F76E8F"/>
    <w:rsid w:val="00F76F3D"/>
    <w:rsid w:val="00F76F8B"/>
    <w:rsid w:val="00F77052"/>
    <w:rsid w:val="00F772FB"/>
    <w:rsid w:val="00F7730C"/>
    <w:rsid w:val="00F7749D"/>
    <w:rsid w:val="00F774B3"/>
    <w:rsid w:val="00F77757"/>
    <w:rsid w:val="00F77765"/>
    <w:rsid w:val="00F7782F"/>
    <w:rsid w:val="00F778B0"/>
    <w:rsid w:val="00F77D7A"/>
    <w:rsid w:val="00F77F00"/>
    <w:rsid w:val="00F77F16"/>
    <w:rsid w:val="00F77F5C"/>
    <w:rsid w:val="00F77FB9"/>
    <w:rsid w:val="00F80038"/>
    <w:rsid w:val="00F80082"/>
    <w:rsid w:val="00F800CE"/>
    <w:rsid w:val="00F8027A"/>
    <w:rsid w:val="00F80319"/>
    <w:rsid w:val="00F8038B"/>
    <w:rsid w:val="00F8042F"/>
    <w:rsid w:val="00F804D5"/>
    <w:rsid w:val="00F80568"/>
    <w:rsid w:val="00F805F2"/>
    <w:rsid w:val="00F8064C"/>
    <w:rsid w:val="00F80827"/>
    <w:rsid w:val="00F8085E"/>
    <w:rsid w:val="00F80A16"/>
    <w:rsid w:val="00F80A21"/>
    <w:rsid w:val="00F80E93"/>
    <w:rsid w:val="00F80EF0"/>
    <w:rsid w:val="00F80EF2"/>
    <w:rsid w:val="00F80F0F"/>
    <w:rsid w:val="00F80FCB"/>
    <w:rsid w:val="00F812D7"/>
    <w:rsid w:val="00F8144D"/>
    <w:rsid w:val="00F81466"/>
    <w:rsid w:val="00F81474"/>
    <w:rsid w:val="00F814D6"/>
    <w:rsid w:val="00F8176E"/>
    <w:rsid w:val="00F8182E"/>
    <w:rsid w:val="00F81979"/>
    <w:rsid w:val="00F81AA3"/>
    <w:rsid w:val="00F81C04"/>
    <w:rsid w:val="00F81CC8"/>
    <w:rsid w:val="00F81D15"/>
    <w:rsid w:val="00F81D65"/>
    <w:rsid w:val="00F81E61"/>
    <w:rsid w:val="00F821B8"/>
    <w:rsid w:val="00F82291"/>
    <w:rsid w:val="00F8233A"/>
    <w:rsid w:val="00F8250C"/>
    <w:rsid w:val="00F8278A"/>
    <w:rsid w:val="00F828A7"/>
    <w:rsid w:val="00F82922"/>
    <w:rsid w:val="00F8295C"/>
    <w:rsid w:val="00F829B8"/>
    <w:rsid w:val="00F82A3B"/>
    <w:rsid w:val="00F82A8C"/>
    <w:rsid w:val="00F82B04"/>
    <w:rsid w:val="00F82B15"/>
    <w:rsid w:val="00F82B85"/>
    <w:rsid w:val="00F82CEA"/>
    <w:rsid w:val="00F82D3D"/>
    <w:rsid w:val="00F82D59"/>
    <w:rsid w:val="00F82F79"/>
    <w:rsid w:val="00F83005"/>
    <w:rsid w:val="00F8300A"/>
    <w:rsid w:val="00F8300C"/>
    <w:rsid w:val="00F830D0"/>
    <w:rsid w:val="00F8327D"/>
    <w:rsid w:val="00F834EE"/>
    <w:rsid w:val="00F83502"/>
    <w:rsid w:val="00F83626"/>
    <w:rsid w:val="00F836E0"/>
    <w:rsid w:val="00F838A2"/>
    <w:rsid w:val="00F838A5"/>
    <w:rsid w:val="00F83A5E"/>
    <w:rsid w:val="00F83B54"/>
    <w:rsid w:val="00F83BA6"/>
    <w:rsid w:val="00F83E97"/>
    <w:rsid w:val="00F83FD7"/>
    <w:rsid w:val="00F83FE0"/>
    <w:rsid w:val="00F841EB"/>
    <w:rsid w:val="00F844E9"/>
    <w:rsid w:val="00F845E9"/>
    <w:rsid w:val="00F84703"/>
    <w:rsid w:val="00F84741"/>
    <w:rsid w:val="00F847C3"/>
    <w:rsid w:val="00F84958"/>
    <w:rsid w:val="00F84A02"/>
    <w:rsid w:val="00F84B34"/>
    <w:rsid w:val="00F84C49"/>
    <w:rsid w:val="00F84CB6"/>
    <w:rsid w:val="00F84EB6"/>
    <w:rsid w:val="00F84F0F"/>
    <w:rsid w:val="00F85020"/>
    <w:rsid w:val="00F8527A"/>
    <w:rsid w:val="00F8532D"/>
    <w:rsid w:val="00F85420"/>
    <w:rsid w:val="00F8554D"/>
    <w:rsid w:val="00F85571"/>
    <w:rsid w:val="00F855AB"/>
    <w:rsid w:val="00F85761"/>
    <w:rsid w:val="00F857AA"/>
    <w:rsid w:val="00F85A18"/>
    <w:rsid w:val="00F85C59"/>
    <w:rsid w:val="00F85CA7"/>
    <w:rsid w:val="00F85ED2"/>
    <w:rsid w:val="00F86038"/>
    <w:rsid w:val="00F86168"/>
    <w:rsid w:val="00F862FF"/>
    <w:rsid w:val="00F863EE"/>
    <w:rsid w:val="00F86643"/>
    <w:rsid w:val="00F86649"/>
    <w:rsid w:val="00F867B1"/>
    <w:rsid w:val="00F86814"/>
    <w:rsid w:val="00F8685F"/>
    <w:rsid w:val="00F86A2F"/>
    <w:rsid w:val="00F86B27"/>
    <w:rsid w:val="00F86B70"/>
    <w:rsid w:val="00F86DC6"/>
    <w:rsid w:val="00F86F1B"/>
    <w:rsid w:val="00F872D3"/>
    <w:rsid w:val="00F87598"/>
    <w:rsid w:val="00F875F9"/>
    <w:rsid w:val="00F876BF"/>
    <w:rsid w:val="00F87775"/>
    <w:rsid w:val="00F877A1"/>
    <w:rsid w:val="00F8784D"/>
    <w:rsid w:val="00F87A1A"/>
    <w:rsid w:val="00F87A67"/>
    <w:rsid w:val="00F87BE7"/>
    <w:rsid w:val="00F87C2F"/>
    <w:rsid w:val="00F87C79"/>
    <w:rsid w:val="00F90012"/>
    <w:rsid w:val="00F900C1"/>
    <w:rsid w:val="00F90306"/>
    <w:rsid w:val="00F9044B"/>
    <w:rsid w:val="00F90485"/>
    <w:rsid w:val="00F90582"/>
    <w:rsid w:val="00F90673"/>
    <w:rsid w:val="00F907EC"/>
    <w:rsid w:val="00F9088F"/>
    <w:rsid w:val="00F90934"/>
    <w:rsid w:val="00F90938"/>
    <w:rsid w:val="00F90956"/>
    <w:rsid w:val="00F90C8A"/>
    <w:rsid w:val="00F90DBF"/>
    <w:rsid w:val="00F91444"/>
    <w:rsid w:val="00F9150A"/>
    <w:rsid w:val="00F9162F"/>
    <w:rsid w:val="00F91634"/>
    <w:rsid w:val="00F917E7"/>
    <w:rsid w:val="00F918FC"/>
    <w:rsid w:val="00F91989"/>
    <w:rsid w:val="00F919B7"/>
    <w:rsid w:val="00F919C5"/>
    <w:rsid w:val="00F91A6B"/>
    <w:rsid w:val="00F91ACB"/>
    <w:rsid w:val="00F91AE9"/>
    <w:rsid w:val="00F91C10"/>
    <w:rsid w:val="00F92087"/>
    <w:rsid w:val="00F92165"/>
    <w:rsid w:val="00F9242C"/>
    <w:rsid w:val="00F924BA"/>
    <w:rsid w:val="00F9281D"/>
    <w:rsid w:val="00F9286D"/>
    <w:rsid w:val="00F92A38"/>
    <w:rsid w:val="00F92DDB"/>
    <w:rsid w:val="00F92E36"/>
    <w:rsid w:val="00F92F46"/>
    <w:rsid w:val="00F92FB6"/>
    <w:rsid w:val="00F930CA"/>
    <w:rsid w:val="00F93475"/>
    <w:rsid w:val="00F9350D"/>
    <w:rsid w:val="00F93569"/>
    <w:rsid w:val="00F93595"/>
    <w:rsid w:val="00F935FA"/>
    <w:rsid w:val="00F936B5"/>
    <w:rsid w:val="00F93733"/>
    <w:rsid w:val="00F937CB"/>
    <w:rsid w:val="00F93C38"/>
    <w:rsid w:val="00F93CA0"/>
    <w:rsid w:val="00F93D05"/>
    <w:rsid w:val="00F93DBC"/>
    <w:rsid w:val="00F93E0F"/>
    <w:rsid w:val="00F93E74"/>
    <w:rsid w:val="00F93F28"/>
    <w:rsid w:val="00F94074"/>
    <w:rsid w:val="00F94124"/>
    <w:rsid w:val="00F9419C"/>
    <w:rsid w:val="00F945EB"/>
    <w:rsid w:val="00F946B2"/>
    <w:rsid w:val="00F94733"/>
    <w:rsid w:val="00F94736"/>
    <w:rsid w:val="00F94B1D"/>
    <w:rsid w:val="00F94DDF"/>
    <w:rsid w:val="00F94F34"/>
    <w:rsid w:val="00F95144"/>
    <w:rsid w:val="00F9515E"/>
    <w:rsid w:val="00F9529B"/>
    <w:rsid w:val="00F9538F"/>
    <w:rsid w:val="00F953CB"/>
    <w:rsid w:val="00F95470"/>
    <w:rsid w:val="00F95555"/>
    <w:rsid w:val="00F9567A"/>
    <w:rsid w:val="00F958DB"/>
    <w:rsid w:val="00F95957"/>
    <w:rsid w:val="00F95BAD"/>
    <w:rsid w:val="00F95C5A"/>
    <w:rsid w:val="00F95E9E"/>
    <w:rsid w:val="00F95FDD"/>
    <w:rsid w:val="00F9604E"/>
    <w:rsid w:val="00F960B5"/>
    <w:rsid w:val="00F9620B"/>
    <w:rsid w:val="00F9635E"/>
    <w:rsid w:val="00F965A8"/>
    <w:rsid w:val="00F965CB"/>
    <w:rsid w:val="00F967B2"/>
    <w:rsid w:val="00F967DA"/>
    <w:rsid w:val="00F96858"/>
    <w:rsid w:val="00F96922"/>
    <w:rsid w:val="00F9693E"/>
    <w:rsid w:val="00F969C5"/>
    <w:rsid w:val="00F96DC2"/>
    <w:rsid w:val="00F96E00"/>
    <w:rsid w:val="00F96E47"/>
    <w:rsid w:val="00F96E88"/>
    <w:rsid w:val="00F96ED0"/>
    <w:rsid w:val="00F97046"/>
    <w:rsid w:val="00F97077"/>
    <w:rsid w:val="00F97138"/>
    <w:rsid w:val="00F971E3"/>
    <w:rsid w:val="00F9724A"/>
    <w:rsid w:val="00F972FE"/>
    <w:rsid w:val="00F973C8"/>
    <w:rsid w:val="00F9770F"/>
    <w:rsid w:val="00F977DE"/>
    <w:rsid w:val="00F97852"/>
    <w:rsid w:val="00F97A34"/>
    <w:rsid w:val="00F97A9E"/>
    <w:rsid w:val="00F97B0B"/>
    <w:rsid w:val="00F97C72"/>
    <w:rsid w:val="00F97E33"/>
    <w:rsid w:val="00F97EC7"/>
    <w:rsid w:val="00F97FCC"/>
    <w:rsid w:val="00FA0001"/>
    <w:rsid w:val="00FA0012"/>
    <w:rsid w:val="00FA0140"/>
    <w:rsid w:val="00FA0193"/>
    <w:rsid w:val="00FA01A2"/>
    <w:rsid w:val="00FA0362"/>
    <w:rsid w:val="00FA038F"/>
    <w:rsid w:val="00FA03F8"/>
    <w:rsid w:val="00FA0494"/>
    <w:rsid w:val="00FA0505"/>
    <w:rsid w:val="00FA0757"/>
    <w:rsid w:val="00FA0821"/>
    <w:rsid w:val="00FA0BAB"/>
    <w:rsid w:val="00FA0BAC"/>
    <w:rsid w:val="00FA0C51"/>
    <w:rsid w:val="00FA0C85"/>
    <w:rsid w:val="00FA0CB8"/>
    <w:rsid w:val="00FA0CE5"/>
    <w:rsid w:val="00FA0D04"/>
    <w:rsid w:val="00FA0EEE"/>
    <w:rsid w:val="00FA0F79"/>
    <w:rsid w:val="00FA135E"/>
    <w:rsid w:val="00FA13F4"/>
    <w:rsid w:val="00FA16C1"/>
    <w:rsid w:val="00FA17A3"/>
    <w:rsid w:val="00FA1B7E"/>
    <w:rsid w:val="00FA1C16"/>
    <w:rsid w:val="00FA1C93"/>
    <w:rsid w:val="00FA1E06"/>
    <w:rsid w:val="00FA1F95"/>
    <w:rsid w:val="00FA1FC5"/>
    <w:rsid w:val="00FA201E"/>
    <w:rsid w:val="00FA20FC"/>
    <w:rsid w:val="00FA2110"/>
    <w:rsid w:val="00FA22F8"/>
    <w:rsid w:val="00FA2560"/>
    <w:rsid w:val="00FA25BF"/>
    <w:rsid w:val="00FA2843"/>
    <w:rsid w:val="00FA288F"/>
    <w:rsid w:val="00FA299A"/>
    <w:rsid w:val="00FA2B9B"/>
    <w:rsid w:val="00FA2C1B"/>
    <w:rsid w:val="00FA2ED7"/>
    <w:rsid w:val="00FA3091"/>
    <w:rsid w:val="00FA35E8"/>
    <w:rsid w:val="00FA37D4"/>
    <w:rsid w:val="00FA394B"/>
    <w:rsid w:val="00FA39F2"/>
    <w:rsid w:val="00FA3AAA"/>
    <w:rsid w:val="00FA3AF4"/>
    <w:rsid w:val="00FA3C55"/>
    <w:rsid w:val="00FA3D9F"/>
    <w:rsid w:val="00FA3E7A"/>
    <w:rsid w:val="00FA423E"/>
    <w:rsid w:val="00FA42FD"/>
    <w:rsid w:val="00FA45DC"/>
    <w:rsid w:val="00FA4723"/>
    <w:rsid w:val="00FA4751"/>
    <w:rsid w:val="00FA47D1"/>
    <w:rsid w:val="00FA4918"/>
    <w:rsid w:val="00FA4C0A"/>
    <w:rsid w:val="00FA4C5A"/>
    <w:rsid w:val="00FA4C61"/>
    <w:rsid w:val="00FA4E2C"/>
    <w:rsid w:val="00FA5260"/>
    <w:rsid w:val="00FA52C6"/>
    <w:rsid w:val="00FA5321"/>
    <w:rsid w:val="00FA53A9"/>
    <w:rsid w:val="00FA540B"/>
    <w:rsid w:val="00FA541F"/>
    <w:rsid w:val="00FA5466"/>
    <w:rsid w:val="00FA5549"/>
    <w:rsid w:val="00FA5677"/>
    <w:rsid w:val="00FA5680"/>
    <w:rsid w:val="00FA59CF"/>
    <w:rsid w:val="00FA5A60"/>
    <w:rsid w:val="00FA5AB6"/>
    <w:rsid w:val="00FA5D14"/>
    <w:rsid w:val="00FA5D70"/>
    <w:rsid w:val="00FA6057"/>
    <w:rsid w:val="00FA60BD"/>
    <w:rsid w:val="00FA6251"/>
    <w:rsid w:val="00FA631F"/>
    <w:rsid w:val="00FA6576"/>
    <w:rsid w:val="00FA6583"/>
    <w:rsid w:val="00FA65D3"/>
    <w:rsid w:val="00FA6709"/>
    <w:rsid w:val="00FA6858"/>
    <w:rsid w:val="00FA69DA"/>
    <w:rsid w:val="00FA6A6C"/>
    <w:rsid w:val="00FA6C79"/>
    <w:rsid w:val="00FA6EE2"/>
    <w:rsid w:val="00FA7109"/>
    <w:rsid w:val="00FA722E"/>
    <w:rsid w:val="00FA7BE7"/>
    <w:rsid w:val="00FA7D22"/>
    <w:rsid w:val="00FA7E50"/>
    <w:rsid w:val="00FA7FBF"/>
    <w:rsid w:val="00FB00A2"/>
    <w:rsid w:val="00FB026A"/>
    <w:rsid w:val="00FB03BB"/>
    <w:rsid w:val="00FB047F"/>
    <w:rsid w:val="00FB058C"/>
    <w:rsid w:val="00FB05F4"/>
    <w:rsid w:val="00FB0606"/>
    <w:rsid w:val="00FB0667"/>
    <w:rsid w:val="00FB06F4"/>
    <w:rsid w:val="00FB06F9"/>
    <w:rsid w:val="00FB07D0"/>
    <w:rsid w:val="00FB08BE"/>
    <w:rsid w:val="00FB08D6"/>
    <w:rsid w:val="00FB0921"/>
    <w:rsid w:val="00FB0958"/>
    <w:rsid w:val="00FB0AA9"/>
    <w:rsid w:val="00FB0AB6"/>
    <w:rsid w:val="00FB0CD4"/>
    <w:rsid w:val="00FB0D0C"/>
    <w:rsid w:val="00FB0DA7"/>
    <w:rsid w:val="00FB0DE2"/>
    <w:rsid w:val="00FB0E43"/>
    <w:rsid w:val="00FB0F75"/>
    <w:rsid w:val="00FB11BF"/>
    <w:rsid w:val="00FB1254"/>
    <w:rsid w:val="00FB1298"/>
    <w:rsid w:val="00FB1330"/>
    <w:rsid w:val="00FB1379"/>
    <w:rsid w:val="00FB1456"/>
    <w:rsid w:val="00FB147B"/>
    <w:rsid w:val="00FB14C7"/>
    <w:rsid w:val="00FB172C"/>
    <w:rsid w:val="00FB1798"/>
    <w:rsid w:val="00FB18C4"/>
    <w:rsid w:val="00FB19D7"/>
    <w:rsid w:val="00FB1AB3"/>
    <w:rsid w:val="00FB1AC3"/>
    <w:rsid w:val="00FB1B51"/>
    <w:rsid w:val="00FB1B58"/>
    <w:rsid w:val="00FB1C4E"/>
    <w:rsid w:val="00FB1F1C"/>
    <w:rsid w:val="00FB200E"/>
    <w:rsid w:val="00FB204F"/>
    <w:rsid w:val="00FB222F"/>
    <w:rsid w:val="00FB22C0"/>
    <w:rsid w:val="00FB24C0"/>
    <w:rsid w:val="00FB26A7"/>
    <w:rsid w:val="00FB26C6"/>
    <w:rsid w:val="00FB26E4"/>
    <w:rsid w:val="00FB280B"/>
    <w:rsid w:val="00FB2818"/>
    <w:rsid w:val="00FB289B"/>
    <w:rsid w:val="00FB29CE"/>
    <w:rsid w:val="00FB2AB1"/>
    <w:rsid w:val="00FB2AE1"/>
    <w:rsid w:val="00FB2D58"/>
    <w:rsid w:val="00FB2E0D"/>
    <w:rsid w:val="00FB2FF9"/>
    <w:rsid w:val="00FB31DB"/>
    <w:rsid w:val="00FB37B7"/>
    <w:rsid w:val="00FB3869"/>
    <w:rsid w:val="00FB3AA6"/>
    <w:rsid w:val="00FB3ACD"/>
    <w:rsid w:val="00FB3C14"/>
    <w:rsid w:val="00FB3E91"/>
    <w:rsid w:val="00FB3F45"/>
    <w:rsid w:val="00FB403C"/>
    <w:rsid w:val="00FB429B"/>
    <w:rsid w:val="00FB42FB"/>
    <w:rsid w:val="00FB432F"/>
    <w:rsid w:val="00FB43FC"/>
    <w:rsid w:val="00FB450B"/>
    <w:rsid w:val="00FB4580"/>
    <w:rsid w:val="00FB4A3F"/>
    <w:rsid w:val="00FB4ACD"/>
    <w:rsid w:val="00FB4BA1"/>
    <w:rsid w:val="00FB4BA3"/>
    <w:rsid w:val="00FB4E0B"/>
    <w:rsid w:val="00FB51A7"/>
    <w:rsid w:val="00FB52D7"/>
    <w:rsid w:val="00FB54F4"/>
    <w:rsid w:val="00FB5503"/>
    <w:rsid w:val="00FB5522"/>
    <w:rsid w:val="00FB5684"/>
    <w:rsid w:val="00FB56A0"/>
    <w:rsid w:val="00FB5794"/>
    <w:rsid w:val="00FB58BB"/>
    <w:rsid w:val="00FB598E"/>
    <w:rsid w:val="00FB5A11"/>
    <w:rsid w:val="00FB5A15"/>
    <w:rsid w:val="00FB5BAE"/>
    <w:rsid w:val="00FB5BDC"/>
    <w:rsid w:val="00FB5BE9"/>
    <w:rsid w:val="00FB5C5C"/>
    <w:rsid w:val="00FB5C91"/>
    <w:rsid w:val="00FB5E70"/>
    <w:rsid w:val="00FB5FAB"/>
    <w:rsid w:val="00FB5FE4"/>
    <w:rsid w:val="00FB5FFF"/>
    <w:rsid w:val="00FB6064"/>
    <w:rsid w:val="00FB6213"/>
    <w:rsid w:val="00FB6265"/>
    <w:rsid w:val="00FB6483"/>
    <w:rsid w:val="00FB6496"/>
    <w:rsid w:val="00FB64A1"/>
    <w:rsid w:val="00FB6553"/>
    <w:rsid w:val="00FB65CD"/>
    <w:rsid w:val="00FB66B4"/>
    <w:rsid w:val="00FB681D"/>
    <w:rsid w:val="00FB6875"/>
    <w:rsid w:val="00FB68F2"/>
    <w:rsid w:val="00FB69C5"/>
    <w:rsid w:val="00FB69D9"/>
    <w:rsid w:val="00FB6A73"/>
    <w:rsid w:val="00FB6A9A"/>
    <w:rsid w:val="00FB6C44"/>
    <w:rsid w:val="00FB6D15"/>
    <w:rsid w:val="00FB6D4B"/>
    <w:rsid w:val="00FB6E0E"/>
    <w:rsid w:val="00FB7006"/>
    <w:rsid w:val="00FB7322"/>
    <w:rsid w:val="00FB7388"/>
    <w:rsid w:val="00FB7544"/>
    <w:rsid w:val="00FB75C9"/>
    <w:rsid w:val="00FB75E3"/>
    <w:rsid w:val="00FB7623"/>
    <w:rsid w:val="00FB767C"/>
    <w:rsid w:val="00FB7727"/>
    <w:rsid w:val="00FB7CF9"/>
    <w:rsid w:val="00FB7D09"/>
    <w:rsid w:val="00FB7D41"/>
    <w:rsid w:val="00FB7E9B"/>
    <w:rsid w:val="00FC00D4"/>
    <w:rsid w:val="00FC0112"/>
    <w:rsid w:val="00FC042F"/>
    <w:rsid w:val="00FC05D6"/>
    <w:rsid w:val="00FC063F"/>
    <w:rsid w:val="00FC08BC"/>
    <w:rsid w:val="00FC0988"/>
    <w:rsid w:val="00FC0C0D"/>
    <w:rsid w:val="00FC0E8E"/>
    <w:rsid w:val="00FC0F38"/>
    <w:rsid w:val="00FC0FA0"/>
    <w:rsid w:val="00FC0FE3"/>
    <w:rsid w:val="00FC12DE"/>
    <w:rsid w:val="00FC12FF"/>
    <w:rsid w:val="00FC14C0"/>
    <w:rsid w:val="00FC155D"/>
    <w:rsid w:val="00FC16A2"/>
    <w:rsid w:val="00FC16D4"/>
    <w:rsid w:val="00FC173E"/>
    <w:rsid w:val="00FC17F5"/>
    <w:rsid w:val="00FC183F"/>
    <w:rsid w:val="00FC1D21"/>
    <w:rsid w:val="00FC1D32"/>
    <w:rsid w:val="00FC1F4D"/>
    <w:rsid w:val="00FC20F8"/>
    <w:rsid w:val="00FC232D"/>
    <w:rsid w:val="00FC2791"/>
    <w:rsid w:val="00FC27A0"/>
    <w:rsid w:val="00FC2856"/>
    <w:rsid w:val="00FC28EC"/>
    <w:rsid w:val="00FC2D69"/>
    <w:rsid w:val="00FC3094"/>
    <w:rsid w:val="00FC30E9"/>
    <w:rsid w:val="00FC3592"/>
    <w:rsid w:val="00FC35DE"/>
    <w:rsid w:val="00FC3644"/>
    <w:rsid w:val="00FC3677"/>
    <w:rsid w:val="00FC36DF"/>
    <w:rsid w:val="00FC375B"/>
    <w:rsid w:val="00FC37B7"/>
    <w:rsid w:val="00FC384E"/>
    <w:rsid w:val="00FC386A"/>
    <w:rsid w:val="00FC3AE2"/>
    <w:rsid w:val="00FC3C08"/>
    <w:rsid w:val="00FC3EFB"/>
    <w:rsid w:val="00FC3FAE"/>
    <w:rsid w:val="00FC3FF3"/>
    <w:rsid w:val="00FC4069"/>
    <w:rsid w:val="00FC4128"/>
    <w:rsid w:val="00FC4183"/>
    <w:rsid w:val="00FC41E6"/>
    <w:rsid w:val="00FC427F"/>
    <w:rsid w:val="00FC42AA"/>
    <w:rsid w:val="00FC4854"/>
    <w:rsid w:val="00FC4B25"/>
    <w:rsid w:val="00FC4BB2"/>
    <w:rsid w:val="00FC4CFC"/>
    <w:rsid w:val="00FC5076"/>
    <w:rsid w:val="00FC5100"/>
    <w:rsid w:val="00FC51AB"/>
    <w:rsid w:val="00FC54BD"/>
    <w:rsid w:val="00FC5737"/>
    <w:rsid w:val="00FC587F"/>
    <w:rsid w:val="00FC5AE4"/>
    <w:rsid w:val="00FC5C3A"/>
    <w:rsid w:val="00FC5C3D"/>
    <w:rsid w:val="00FC5D7F"/>
    <w:rsid w:val="00FC5DC2"/>
    <w:rsid w:val="00FC5E6B"/>
    <w:rsid w:val="00FC5F31"/>
    <w:rsid w:val="00FC6078"/>
    <w:rsid w:val="00FC61A8"/>
    <w:rsid w:val="00FC61CA"/>
    <w:rsid w:val="00FC62D0"/>
    <w:rsid w:val="00FC63E9"/>
    <w:rsid w:val="00FC63F5"/>
    <w:rsid w:val="00FC6452"/>
    <w:rsid w:val="00FC6619"/>
    <w:rsid w:val="00FC66C7"/>
    <w:rsid w:val="00FC6764"/>
    <w:rsid w:val="00FC68BC"/>
    <w:rsid w:val="00FC68D7"/>
    <w:rsid w:val="00FC6A61"/>
    <w:rsid w:val="00FC6A91"/>
    <w:rsid w:val="00FC6B6B"/>
    <w:rsid w:val="00FC6BC7"/>
    <w:rsid w:val="00FC6C51"/>
    <w:rsid w:val="00FC6C56"/>
    <w:rsid w:val="00FC6D53"/>
    <w:rsid w:val="00FC6DCD"/>
    <w:rsid w:val="00FC70D8"/>
    <w:rsid w:val="00FC7221"/>
    <w:rsid w:val="00FC723B"/>
    <w:rsid w:val="00FC7458"/>
    <w:rsid w:val="00FC7644"/>
    <w:rsid w:val="00FC7673"/>
    <w:rsid w:val="00FC76DD"/>
    <w:rsid w:val="00FC7747"/>
    <w:rsid w:val="00FC775A"/>
    <w:rsid w:val="00FC7764"/>
    <w:rsid w:val="00FC78E3"/>
    <w:rsid w:val="00FC7998"/>
    <w:rsid w:val="00FC79EA"/>
    <w:rsid w:val="00FC7A9C"/>
    <w:rsid w:val="00FC7ED4"/>
    <w:rsid w:val="00FC7FF0"/>
    <w:rsid w:val="00FD00E9"/>
    <w:rsid w:val="00FD01CA"/>
    <w:rsid w:val="00FD0245"/>
    <w:rsid w:val="00FD037A"/>
    <w:rsid w:val="00FD04FD"/>
    <w:rsid w:val="00FD0683"/>
    <w:rsid w:val="00FD0828"/>
    <w:rsid w:val="00FD08F0"/>
    <w:rsid w:val="00FD0943"/>
    <w:rsid w:val="00FD099A"/>
    <w:rsid w:val="00FD0AE2"/>
    <w:rsid w:val="00FD0AF8"/>
    <w:rsid w:val="00FD0C45"/>
    <w:rsid w:val="00FD0D3E"/>
    <w:rsid w:val="00FD0F6F"/>
    <w:rsid w:val="00FD0FB0"/>
    <w:rsid w:val="00FD1154"/>
    <w:rsid w:val="00FD12C3"/>
    <w:rsid w:val="00FD1427"/>
    <w:rsid w:val="00FD1469"/>
    <w:rsid w:val="00FD149E"/>
    <w:rsid w:val="00FD15F6"/>
    <w:rsid w:val="00FD176F"/>
    <w:rsid w:val="00FD1A49"/>
    <w:rsid w:val="00FD1A77"/>
    <w:rsid w:val="00FD1C7B"/>
    <w:rsid w:val="00FD1F25"/>
    <w:rsid w:val="00FD1FDB"/>
    <w:rsid w:val="00FD216B"/>
    <w:rsid w:val="00FD21B8"/>
    <w:rsid w:val="00FD23CA"/>
    <w:rsid w:val="00FD257E"/>
    <w:rsid w:val="00FD258A"/>
    <w:rsid w:val="00FD25CF"/>
    <w:rsid w:val="00FD2744"/>
    <w:rsid w:val="00FD2759"/>
    <w:rsid w:val="00FD27F4"/>
    <w:rsid w:val="00FD286E"/>
    <w:rsid w:val="00FD29F6"/>
    <w:rsid w:val="00FD2C34"/>
    <w:rsid w:val="00FD2C4C"/>
    <w:rsid w:val="00FD2D0F"/>
    <w:rsid w:val="00FD2DED"/>
    <w:rsid w:val="00FD2E79"/>
    <w:rsid w:val="00FD2F22"/>
    <w:rsid w:val="00FD3151"/>
    <w:rsid w:val="00FD333A"/>
    <w:rsid w:val="00FD3522"/>
    <w:rsid w:val="00FD356F"/>
    <w:rsid w:val="00FD37FA"/>
    <w:rsid w:val="00FD3AD6"/>
    <w:rsid w:val="00FD3C93"/>
    <w:rsid w:val="00FD3CE5"/>
    <w:rsid w:val="00FD3D75"/>
    <w:rsid w:val="00FD3EF5"/>
    <w:rsid w:val="00FD3F37"/>
    <w:rsid w:val="00FD3FEC"/>
    <w:rsid w:val="00FD41B1"/>
    <w:rsid w:val="00FD4349"/>
    <w:rsid w:val="00FD434D"/>
    <w:rsid w:val="00FD45CB"/>
    <w:rsid w:val="00FD4751"/>
    <w:rsid w:val="00FD475B"/>
    <w:rsid w:val="00FD4953"/>
    <w:rsid w:val="00FD49A3"/>
    <w:rsid w:val="00FD49D5"/>
    <w:rsid w:val="00FD4CD1"/>
    <w:rsid w:val="00FD4D5D"/>
    <w:rsid w:val="00FD4E76"/>
    <w:rsid w:val="00FD4F0E"/>
    <w:rsid w:val="00FD5039"/>
    <w:rsid w:val="00FD5102"/>
    <w:rsid w:val="00FD5164"/>
    <w:rsid w:val="00FD5277"/>
    <w:rsid w:val="00FD53B0"/>
    <w:rsid w:val="00FD5496"/>
    <w:rsid w:val="00FD558C"/>
    <w:rsid w:val="00FD5686"/>
    <w:rsid w:val="00FD580C"/>
    <w:rsid w:val="00FD58E8"/>
    <w:rsid w:val="00FD5982"/>
    <w:rsid w:val="00FD5B24"/>
    <w:rsid w:val="00FD5C66"/>
    <w:rsid w:val="00FD5DC9"/>
    <w:rsid w:val="00FD618D"/>
    <w:rsid w:val="00FD61CA"/>
    <w:rsid w:val="00FD638D"/>
    <w:rsid w:val="00FD63A5"/>
    <w:rsid w:val="00FD642E"/>
    <w:rsid w:val="00FD644D"/>
    <w:rsid w:val="00FD6470"/>
    <w:rsid w:val="00FD65AA"/>
    <w:rsid w:val="00FD65B0"/>
    <w:rsid w:val="00FD65D4"/>
    <w:rsid w:val="00FD65E7"/>
    <w:rsid w:val="00FD66A3"/>
    <w:rsid w:val="00FD673D"/>
    <w:rsid w:val="00FD67EE"/>
    <w:rsid w:val="00FD6996"/>
    <w:rsid w:val="00FD6AC8"/>
    <w:rsid w:val="00FD6AEB"/>
    <w:rsid w:val="00FD6B94"/>
    <w:rsid w:val="00FD6C2B"/>
    <w:rsid w:val="00FD6E1D"/>
    <w:rsid w:val="00FD6EA2"/>
    <w:rsid w:val="00FD6EB3"/>
    <w:rsid w:val="00FD7006"/>
    <w:rsid w:val="00FD7246"/>
    <w:rsid w:val="00FD72F6"/>
    <w:rsid w:val="00FD7368"/>
    <w:rsid w:val="00FD7386"/>
    <w:rsid w:val="00FD7447"/>
    <w:rsid w:val="00FD74A8"/>
    <w:rsid w:val="00FD79E4"/>
    <w:rsid w:val="00FD79E9"/>
    <w:rsid w:val="00FD7A7C"/>
    <w:rsid w:val="00FD7B22"/>
    <w:rsid w:val="00FD7B28"/>
    <w:rsid w:val="00FD7BA3"/>
    <w:rsid w:val="00FD7BA5"/>
    <w:rsid w:val="00FD7BC0"/>
    <w:rsid w:val="00FD7C26"/>
    <w:rsid w:val="00FD7C2B"/>
    <w:rsid w:val="00FD7CC2"/>
    <w:rsid w:val="00FD7D24"/>
    <w:rsid w:val="00FD7D7E"/>
    <w:rsid w:val="00FD7DF2"/>
    <w:rsid w:val="00FD7E7A"/>
    <w:rsid w:val="00FD7F81"/>
    <w:rsid w:val="00FD7FA3"/>
    <w:rsid w:val="00FE0056"/>
    <w:rsid w:val="00FE020F"/>
    <w:rsid w:val="00FE02A8"/>
    <w:rsid w:val="00FE035F"/>
    <w:rsid w:val="00FE040E"/>
    <w:rsid w:val="00FE04A6"/>
    <w:rsid w:val="00FE05C3"/>
    <w:rsid w:val="00FE0B06"/>
    <w:rsid w:val="00FE0B82"/>
    <w:rsid w:val="00FE0C13"/>
    <w:rsid w:val="00FE0DF9"/>
    <w:rsid w:val="00FE0E65"/>
    <w:rsid w:val="00FE0FD8"/>
    <w:rsid w:val="00FE1208"/>
    <w:rsid w:val="00FE1383"/>
    <w:rsid w:val="00FE141A"/>
    <w:rsid w:val="00FE145E"/>
    <w:rsid w:val="00FE15A7"/>
    <w:rsid w:val="00FE1726"/>
    <w:rsid w:val="00FE1744"/>
    <w:rsid w:val="00FE181D"/>
    <w:rsid w:val="00FE1880"/>
    <w:rsid w:val="00FE1BE9"/>
    <w:rsid w:val="00FE1C25"/>
    <w:rsid w:val="00FE1D4E"/>
    <w:rsid w:val="00FE1D92"/>
    <w:rsid w:val="00FE1DB0"/>
    <w:rsid w:val="00FE1E43"/>
    <w:rsid w:val="00FE1E5D"/>
    <w:rsid w:val="00FE1F25"/>
    <w:rsid w:val="00FE1F6B"/>
    <w:rsid w:val="00FE20B9"/>
    <w:rsid w:val="00FE20D6"/>
    <w:rsid w:val="00FE24FC"/>
    <w:rsid w:val="00FE254E"/>
    <w:rsid w:val="00FE2579"/>
    <w:rsid w:val="00FE25DE"/>
    <w:rsid w:val="00FE274A"/>
    <w:rsid w:val="00FE2802"/>
    <w:rsid w:val="00FE2908"/>
    <w:rsid w:val="00FE29B4"/>
    <w:rsid w:val="00FE29FD"/>
    <w:rsid w:val="00FE2B3F"/>
    <w:rsid w:val="00FE2BDB"/>
    <w:rsid w:val="00FE2D93"/>
    <w:rsid w:val="00FE2DC3"/>
    <w:rsid w:val="00FE2E37"/>
    <w:rsid w:val="00FE2E7B"/>
    <w:rsid w:val="00FE2F1F"/>
    <w:rsid w:val="00FE3200"/>
    <w:rsid w:val="00FE3222"/>
    <w:rsid w:val="00FE3457"/>
    <w:rsid w:val="00FE3822"/>
    <w:rsid w:val="00FE3929"/>
    <w:rsid w:val="00FE3A94"/>
    <w:rsid w:val="00FE3A9B"/>
    <w:rsid w:val="00FE3C83"/>
    <w:rsid w:val="00FE3C87"/>
    <w:rsid w:val="00FE3CCB"/>
    <w:rsid w:val="00FE3D58"/>
    <w:rsid w:val="00FE3DF2"/>
    <w:rsid w:val="00FE4396"/>
    <w:rsid w:val="00FE4411"/>
    <w:rsid w:val="00FE45A7"/>
    <w:rsid w:val="00FE45EC"/>
    <w:rsid w:val="00FE48BD"/>
    <w:rsid w:val="00FE4933"/>
    <w:rsid w:val="00FE494C"/>
    <w:rsid w:val="00FE4964"/>
    <w:rsid w:val="00FE4B74"/>
    <w:rsid w:val="00FE4D31"/>
    <w:rsid w:val="00FE4FCB"/>
    <w:rsid w:val="00FE5052"/>
    <w:rsid w:val="00FE5452"/>
    <w:rsid w:val="00FE5457"/>
    <w:rsid w:val="00FE54F2"/>
    <w:rsid w:val="00FE56B9"/>
    <w:rsid w:val="00FE573B"/>
    <w:rsid w:val="00FE589B"/>
    <w:rsid w:val="00FE58BE"/>
    <w:rsid w:val="00FE5A4B"/>
    <w:rsid w:val="00FE5E1D"/>
    <w:rsid w:val="00FE645B"/>
    <w:rsid w:val="00FE6493"/>
    <w:rsid w:val="00FE6507"/>
    <w:rsid w:val="00FE6647"/>
    <w:rsid w:val="00FE667E"/>
    <w:rsid w:val="00FE66E0"/>
    <w:rsid w:val="00FE6B5C"/>
    <w:rsid w:val="00FE6C5B"/>
    <w:rsid w:val="00FE6CAE"/>
    <w:rsid w:val="00FE6E7B"/>
    <w:rsid w:val="00FE6FC8"/>
    <w:rsid w:val="00FE6FDA"/>
    <w:rsid w:val="00FE7086"/>
    <w:rsid w:val="00FE71B4"/>
    <w:rsid w:val="00FE7242"/>
    <w:rsid w:val="00FE7246"/>
    <w:rsid w:val="00FE73F4"/>
    <w:rsid w:val="00FE73FC"/>
    <w:rsid w:val="00FE747C"/>
    <w:rsid w:val="00FE7952"/>
    <w:rsid w:val="00FE7987"/>
    <w:rsid w:val="00FE7D27"/>
    <w:rsid w:val="00FE7F7F"/>
    <w:rsid w:val="00FF0070"/>
    <w:rsid w:val="00FF01B9"/>
    <w:rsid w:val="00FF01CF"/>
    <w:rsid w:val="00FF0239"/>
    <w:rsid w:val="00FF0260"/>
    <w:rsid w:val="00FF034E"/>
    <w:rsid w:val="00FF0492"/>
    <w:rsid w:val="00FF05D3"/>
    <w:rsid w:val="00FF0630"/>
    <w:rsid w:val="00FF0691"/>
    <w:rsid w:val="00FF0889"/>
    <w:rsid w:val="00FF08F8"/>
    <w:rsid w:val="00FF0949"/>
    <w:rsid w:val="00FF0A40"/>
    <w:rsid w:val="00FF0B3F"/>
    <w:rsid w:val="00FF0C76"/>
    <w:rsid w:val="00FF0CF5"/>
    <w:rsid w:val="00FF0DF4"/>
    <w:rsid w:val="00FF0DFB"/>
    <w:rsid w:val="00FF0EA5"/>
    <w:rsid w:val="00FF15A1"/>
    <w:rsid w:val="00FF160B"/>
    <w:rsid w:val="00FF1881"/>
    <w:rsid w:val="00FF188B"/>
    <w:rsid w:val="00FF190F"/>
    <w:rsid w:val="00FF1939"/>
    <w:rsid w:val="00FF19B0"/>
    <w:rsid w:val="00FF1A00"/>
    <w:rsid w:val="00FF1A8D"/>
    <w:rsid w:val="00FF1B45"/>
    <w:rsid w:val="00FF1B97"/>
    <w:rsid w:val="00FF1BA3"/>
    <w:rsid w:val="00FF1CFB"/>
    <w:rsid w:val="00FF2152"/>
    <w:rsid w:val="00FF2280"/>
    <w:rsid w:val="00FF23D4"/>
    <w:rsid w:val="00FF241D"/>
    <w:rsid w:val="00FF2828"/>
    <w:rsid w:val="00FF285C"/>
    <w:rsid w:val="00FF28C7"/>
    <w:rsid w:val="00FF2911"/>
    <w:rsid w:val="00FF2A9F"/>
    <w:rsid w:val="00FF2AF9"/>
    <w:rsid w:val="00FF2B5B"/>
    <w:rsid w:val="00FF2D5A"/>
    <w:rsid w:val="00FF2D8B"/>
    <w:rsid w:val="00FF302E"/>
    <w:rsid w:val="00FF313F"/>
    <w:rsid w:val="00FF31D4"/>
    <w:rsid w:val="00FF3476"/>
    <w:rsid w:val="00FF3695"/>
    <w:rsid w:val="00FF36C6"/>
    <w:rsid w:val="00FF3835"/>
    <w:rsid w:val="00FF3854"/>
    <w:rsid w:val="00FF3872"/>
    <w:rsid w:val="00FF39BF"/>
    <w:rsid w:val="00FF3A04"/>
    <w:rsid w:val="00FF3D75"/>
    <w:rsid w:val="00FF4092"/>
    <w:rsid w:val="00FF40A2"/>
    <w:rsid w:val="00FF4147"/>
    <w:rsid w:val="00FF42FD"/>
    <w:rsid w:val="00FF4327"/>
    <w:rsid w:val="00FF444E"/>
    <w:rsid w:val="00FF45C4"/>
    <w:rsid w:val="00FF472F"/>
    <w:rsid w:val="00FF481E"/>
    <w:rsid w:val="00FF48E3"/>
    <w:rsid w:val="00FF49B8"/>
    <w:rsid w:val="00FF4ABD"/>
    <w:rsid w:val="00FF4AEA"/>
    <w:rsid w:val="00FF4B23"/>
    <w:rsid w:val="00FF4BCE"/>
    <w:rsid w:val="00FF4C3D"/>
    <w:rsid w:val="00FF4C60"/>
    <w:rsid w:val="00FF4CA8"/>
    <w:rsid w:val="00FF4D87"/>
    <w:rsid w:val="00FF50C3"/>
    <w:rsid w:val="00FF511E"/>
    <w:rsid w:val="00FF52D1"/>
    <w:rsid w:val="00FF535C"/>
    <w:rsid w:val="00FF53F4"/>
    <w:rsid w:val="00FF53FA"/>
    <w:rsid w:val="00FF5A89"/>
    <w:rsid w:val="00FF5AC3"/>
    <w:rsid w:val="00FF5B89"/>
    <w:rsid w:val="00FF5BD6"/>
    <w:rsid w:val="00FF5D63"/>
    <w:rsid w:val="00FF5F23"/>
    <w:rsid w:val="00FF5F6B"/>
    <w:rsid w:val="00FF60DD"/>
    <w:rsid w:val="00FF61AD"/>
    <w:rsid w:val="00FF6312"/>
    <w:rsid w:val="00FF6341"/>
    <w:rsid w:val="00FF6384"/>
    <w:rsid w:val="00FF63C0"/>
    <w:rsid w:val="00FF6627"/>
    <w:rsid w:val="00FF67BD"/>
    <w:rsid w:val="00FF67E0"/>
    <w:rsid w:val="00FF692D"/>
    <w:rsid w:val="00FF694F"/>
    <w:rsid w:val="00FF6A54"/>
    <w:rsid w:val="00FF6A9F"/>
    <w:rsid w:val="00FF6AB9"/>
    <w:rsid w:val="00FF6B70"/>
    <w:rsid w:val="00FF6C88"/>
    <w:rsid w:val="00FF6E25"/>
    <w:rsid w:val="00FF6E91"/>
    <w:rsid w:val="00FF6EBF"/>
    <w:rsid w:val="00FF71F5"/>
    <w:rsid w:val="00FF72C0"/>
    <w:rsid w:val="00FF769B"/>
    <w:rsid w:val="00FF76F7"/>
    <w:rsid w:val="00FF79F8"/>
    <w:rsid w:val="00FF7A27"/>
    <w:rsid w:val="00FF7BAD"/>
    <w:rsid w:val="00FF7E0A"/>
    <w:rsid w:val="00FF7F98"/>
    <w:rsid w:val="00FF7FD8"/>
    <w:rsid w:val="01048DDB"/>
    <w:rsid w:val="010D2D8A"/>
    <w:rsid w:val="01234C71"/>
    <w:rsid w:val="013992C5"/>
    <w:rsid w:val="01431556"/>
    <w:rsid w:val="0148B740"/>
    <w:rsid w:val="014F5CE2"/>
    <w:rsid w:val="0152ACCF"/>
    <w:rsid w:val="01561ED7"/>
    <w:rsid w:val="016BAF56"/>
    <w:rsid w:val="018290AF"/>
    <w:rsid w:val="018C8C97"/>
    <w:rsid w:val="01991BE1"/>
    <w:rsid w:val="01A65926"/>
    <w:rsid w:val="01C60704"/>
    <w:rsid w:val="01C66AB2"/>
    <w:rsid w:val="01CC2A35"/>
    <w:rsid w:val="01D5F78A"/>
    <w:rsid w:val="01DA2600"/>
    <w:rsid w:val="01E269FC"/>
    <w:rsid w:val="01ED9BE7"/>
    <w:rsid w:val="01F0FD00"/>
    <w:rsid w:val="01F7CDD6"/>
    <w:rsid w:val="02049F17"/>
    <w:rsid w:val="02195B88"/>
    <w:rsid w:val="022FD4A6"/>
    <w:rsid w:val="023ED68C"/>
    <w:rsid w:val="02482DC7"/>
    <w:rsid w:val="0254A7E5"/>
    <w:rsid w:val="025B79A8"/>
    <w:rsid w:val="025BEB74"/>
    <w:rsid w:val="025E4DC5"/>
    <w:rsid w:val="0264C17E"/>
    <w:rsid w:val="026FE066"/>
    <w:rsid w:val="0289C6CA"/>
    <w:rsid w:val="02949427"/>
    <w:rsid w:val="029DC16A"/>
    <w:rsid w:val="02A2AEC0"/>
    <w:rsid w:val="02ACD5B8"/>
    <w:rsid w:val="02B3FE7F"/>
    <w:rsid w:val="02B89F87"/>
    <w:rsid w:val="02BDA78A"/>
    <w:rsid w:val="02CEF8AC"/>
    <w:rsid w:val="02D3C540"/>
    <w:rsid w:val="02D60317"/>
    <w:rsid w:val="02E639DE"/>
    <w:rsid w:val="02E7F882"/>
    <w:rsid w:val="0306B9BD"/>
    <w:rsid w:val="032ACC94"/>
    <w:rsid w:val="032B60F9"/>
    <w:rsid w:val="033ABA6B"/>
    <w:rsid w:val="033B925A"/>
    <w:rsid w:val="033E545A"/>
    <w:rsid w:val="0360771E"/>
    <w:rsid w:val="0367DCCA"/>
    <w:rsid w:val="036998FE"/>
    <w:rsid w:val="0372670D"/>
    <w:rsid w:val="0373B1C0"/>
    <w:rsid w:val="038162F2"/>
    <w:rsid w:val="03857394"/>
    <w:rsid w:val="03AB01B4"/>
    <w:rsid w:val="03AE0131"/>
    <w:rsid w:val="03B50968"/>
    <w:rsid w:val="03B8DA80"/>
    <w:rsid w:val="03BD5867"/>
    <w:rsid w:val="03C69E3B"/>
    <w:rsid w:val="03CF5848"/>
    <w:rsid w:val="03D059F2"/>
    <w:rsid w:val="03E3274C"/>
    <w:rsid w:val="03E50A0A"/>
    <w:rsid w:val="03EE737E"/>
    <w:rsid w:val="0402D7BF"/>
    <w:rsid w:val="04034A37"/>
    <w:rsid w:val="0408E26C"/>
    <w:rsid w:val="040E7E7F"/>
    <w:rsid w:val="043DC051"/>
    <w:rsid w:val="044D3A07"/>
    <w:rsid w:val="044DA0A0"/>
    <w:rsid w:val="044E8F28"/>
    <w:rsid w:val="04503373"/>
    <w:rsid w:val="045837D9"/>
    <w:rsid w:val="0459BF1C"/>
    <w:rsid w:val="046CD5E9"/>
    <w:rsid w:val="046D2259"/>
    <w:rsid w:val="048FD1C1"/>
    <w:rsid w:val="04952585"/>
    <w:rsid w:val="04A900A5"/>
    <w:rsid w:val="04C5552B"/>
    <w:rsid w:val="04CD436F"/>
    <w:rsid w:val="04D333B8"/>
    <w:rsid w:val="04D440F5"/>
    <w:rsid w:val="04E15D5D"/>
    <w:rsid w:val="04EAF718"/>
    <w:rsid w:val="04FC432D"/>
    <w:rsid w:val="05052C78"/>
    <w:rsid w:val="052042B5"/>
    <w:rsid w:val="05289EFE"/>
    <w:rsid w:val="052D6B2C"/>
    <w:rsid w:val="052DE34C"/>
    <w:rsid w:val="05445048"/>
    <w:rsid w:val="0547BBA5"/>
    <w:rsid w:val="054C7E86"/>
    <w:rsid w:val="05551C60"/>
    <w:rsid w:val="055E8991"/>
    <w:rsid w:val="0561D1D4"/>
    <w:rsid w:val="056E1939"/>
    <w:rsid w:val="0573D060"/>
    <w:rsid w:val="05772EE1"/>
    <w:rsid w:val="057EACA8"/>
    <w:rsid w:val="0585E10A"/>
    <w:rsid w:val="058BC6C5"/>
    <w:rsid w:val="059A421D"/>
    <w:rsid w:val="05AC30D3"/>
    <w:rsid w:val="05B3DB9E"/>
    <w:rsid w:val="05B4D28F"/>
    <w:rsid w:val="05C5F906"/>
    <w:rsid w:val="05CE00E9"/>
    <w:rsid w:val="05CFD010"/>
    <w:rsid w:val="05E35BCE"/>
    <w:rsid w:val="05E81078"/>
    <w:rsid w:val="05F032D5"/>
    <w:rsid w:val="05F9583E"/>
    <w:rsid w:val="05FC5322"/>
    <w:rsid w:val="0602C930"/>
    <w:rsid w:val="060614DB"/>
    <w:rsid w:val="0611A259"/>
    <w:rsid w:val="06179B53"/>
    <w:rsid w:val="061C6DA2"/>
    <w:rsid w:val="06207BE3"/>
    <w:rsid w:val="062FA296"/>
    <w:rsid w:val="063F3E88"/>
    <w:rsid w:val="065BD9A8"/>
    <w:rsid w:val="065C634B"/>
    <w:rsid w:val="06645D91"/>
    <w:rsid w:val="0669F1DE"/>
    <w:rsid w:val="06776A0C"/>
    <w:rsid w:val="067B7C2F"/>
    <w:rsid w:val="0688FB0D"/>
    <w:rsid w:val="068BE47A"/>
    <w:rsid w:val="0693F894"/>
    <w:rsid w:val="06A76F43"/>
    <w:rsid w:val="06B51960"/>
    <w:rsid w:val="06B81628"/>
    <w:rsid w:val="06BC9629"/>
    <w:rsid w:val="06BCD992"/>
    <w:rsid w:val="06D9EE07"/>
    <w:rsid w:val="06DD7559"/>
    <w:rsid w:val="06E55C4D"/>
    <w:rsid w:val="06EF2DA6"/>
    <w:rsid w:val="07034575"/>
    <w:rsid w:val="071A5327"/>
    <w:rsid w:val="0723CC02"/>
    <w:rsid w:val="07299147"/>
    <w:rsid w:val="073072E9"/>
    <w:rsid w:val="0752E902"/>
    <w:rsid w:val="07588C3D"/>
    <w:rsid w:val="07717764"/>
    <w:rsid w:val="077FC369"/>
    <w:rsid w:val="07835B9A"/>
    <w:rsid w:val="0786EF4A"/>
    <w:rsid w:val="079537B8"/>
    <w:rsid w:val="079E794E"/>
    <w:rsid w:val="07A151E7"/>
    <w:rsid w:val="07A9DA72"/>
    <w:rsid w:val="07AAC68B"/>
    <w:rsid w:val="07ABAC35"/>
    <w:rsid w:val="07D9645E"/>
    <w:rsid w:val="07DCCE11"/>
    <w:rsid w:val="07E10C0F"/>
    <w:rsid w:val="07EE94C9"/>
    <w:rsid w:val="07F0B0B2"/>
    <w:rsid w:val="0807DA58"/>
    <w:rsid w:val="081D7A0B"/>
    <w:rsid w:val="081ECC83"/>
    <w:rsid w:val="0844AA3F"/>
    <w:rsid w:val="0847D6B0"/>
    <w:rsid w:val="084E3BE4"/>
    <w:rsid w:val="084FB730"/>
    <w:rsid w:val="08582430"/>
    <w:rsid w:val="0863F960"/>
    <w:rsid w:val="0867DB9B"/>
    <w:rsid w:val="0869C224"/>
    <w:rsid w:val="08730F72"/>
    <w:rsid w:val="0873530D"/>
    <w:rsid w:val="087D5EE1"/>
    <w:rsid w:val="087F31C3"/>
    <w:rsid w:val="088B7C95"/>
    <w:rsid w:val="088FC2F4"/>
    <w:rsid w:val="08906379"/>
    <w:rsid w:val="0898A9E2"/>
    <w:rsid w:val="08A9C47E"/>
    <w:rsid w:val="08BC270F"/>
    <w:rsid w:val="08C592FE"/>
    <w:rsid w:val="08D27DA8"/>
    <w:rsid w:val="08DCF68C"/>
    <w:rsid w:val="08E30C08"/>
    <w:rsid w:val="08EF9B7E"/>
    <w:rsid w:val="08F6F9F8"/>
    <w:rsid w:val="08FE1531"/>
    <w:rsid w:val="0925F407"/>
    <w:rsid w:val="09270050"/>
    <w:rsid w:val="092AF32A"/>
    <w:rsid w:val="093415D6"/>
    <w:rsid w:val="093A97EA"/>
    <w:rsid w:val="093B2FF7"/>
    <w:rsid w:val="093D07A7"/>
    <w:rsid w:val="0941C8E6"/>
    <w:rsid w:val="0941D054"/>
    <w:rsid w:val="0960F9F8"/>
    <w:rsid w:val="0963C5F7"/>
    <w:rsid w:val="09656E2B"/>
    <w:rsid w:val="096AE085"/>
    <w:rsid w:val="098419A8"/>
    <w:rsid w:val="09874901"/>
    <w:rsid w:val="0989CDD1"/>
    <w:rsid w:val="099D8353"/>
    <w:rsid w:val="099E59C5"/>
    <w:rsid w:val="09A6C14F"/>
    <w:rsid w:val="09A8511D"/>
    <w:rsid w:val="09ACFDD0"/>
    <w:rsid w:val="09B2B73E"/>
    <w:rsid w:val="09BE583E"/>
    <w:rsid w:val="09BEBAFA"/>
    <w:rsid w:val="09D1EFA3"/>
    <w:rsid w:val="09E04FB8"/>
    <w:rsid w:val="09EC5B92"/>
    <w:rsid w:val="09FB61AE"/>
    <w:rsid w:val="0A179751"/>
    <w:rsid w:val="0A19385B"/>
    <w:rsid w:val="0A1C3958"/>
    <w:rsid w:val="0A425ED0"/>
    <w:rsid w:val="0A497CF1"/>
    <w:rsid w:val="0A498DEA"/>
    <w:rsid w:val="0A59FD14"/>
    <w:rsid w:val="0A5CBB1B"/>
    <w:rsid w:val="0A7B2EF9"/>
    <w:rsid w:val="0A8E9C41"/>
    <w:rsid w:val="0AC70006"/>
    <w:rsid w:val="0ACD5B5A"/>
    <w:rsid w:val="0AD1C955"/>
    <w:rsid w:val="0ADD320D"/>
    <w:rsid w:val="0ADE01FC"/>
    <w:rsid w:val="0AE0AC7F"/>
    <w:rsid w:val="0AF9E526"/>
    <w:rsid w:val="0AFEE20B"/>
    <w:rsid w:val="0B0E08EF"/>
    <w:rsid w:val="0B146111"/>
    <w:rsid w:val="0B1DDF06"/>
    <w:rsid w:val="0B3176BA"/>
    <w:rsid w:val="0B37F538"/>
    <w:rsid w:val="0B3FA2FB"/>
    <w:rsid w:val="0B600586"/>
    <w:rsid w:val="0B626122"/>
    <w:rsid w:val="0B77827B"/>
    <w:rsid w:val="0B7F6DB5"/>
    <w:rsid w:val="0B9826CF"/>
    <w:rsid w:val="0BA06958"/>
    <w:rsid w:val="0BAD2647"/>
    <w:rsid w:val="0BB376FF"/>
    <w:rsid w:val="0BBA550F"/>
    <w:rsid w:val="0BC2BFC2"/>
    <w:rsid w:val="0BCBA700"/>
    <w:rsid w:val="0BD4FE7F"/>
    <w:rsid w:val="0BEDA5FD"/>
    <w:rsid w:val="0BF10600"/>
    <w:rsid w:val="0BF453FF"/>
    <w:rsid w:val="0C0B4479"/>
    <w:rsid w:val="0C0FF431"/>
    <w:rsid w:val="0C1083BB"/>
    <w:rsid w:val="0C1A0648"/>
    <w:rsid w:val="0C357C54"/>
    <w:rsid w:val="0C4C34E0"/>
    <w:rsid w:val="0C4D79BB"/>
    <w:rsid w:val="0C50F1F1"/>
    <w:rsid w:val="0C60351A"/>
    <w:rsid w:val="0C826FA1"/>
    <w:rsid w:val="0C888EF1"/>
    <w:rsid w:val="0C977FAE"/>
    <w:rsid w:val="0C9C993C"/>
    <w:rsid w:val="0CB841E6"/>
    <w:rsid w:val="0CBC93B5"/>
    <w:rsid w:val="0CC54FDA"/>
    <w:rsid w:val="0CCBC569"/>
    <w:rsid w:val="0CCECB96"/>
    <w:rsid w:val="0CD3F5AA"/>
    <w:rsid w:val="0CDA5F06"/>
    <w:rsid w:val="0CEDEB57"/>
    <w:rsid w:val="0D07B3D2"/>
    <w:rsid w:val="0D1D1A7E"/>
    <w:rsid w:val="0D2CC05C"/>
    <w:rsid w:val="0D3CF68B"/>
    <w:rsid w:val="0D4274D4"/>
    <w:rsid w:val="0D5AF8B7"/>
    <w:rsid w:val="0D656885"/>
    <w:rsid w:val="0D6C7087"/>
    <w:rsid w:val="0D953A6D"/>
    <w:rsid w:val="0DA41753"/>
    <w:rsid w:val="0DAFF2C5"/>
    <w:rsid w:val="0DB5C8DF"/>
    <w:rsid w:val="0DB8B3A6"/>
    <w:rsid w:val="0DBC6795"/>
    <w:rsid w:val="0DCF64FD"/>
    <w:rsid w:val="0DD2AF1F"/>
    <w:rsid w:val="0DD60FE9"/>
    <w:rsid w:val="0E09E84B"/>
    <w:rsid w:val="0E0F8DF2"/>
    <w:rsid w:val="0E293B85"/>
    <w:rsid w:val="0E2D9EFF"/>
    <w:rsid w:val="0E2EB88B"/>
    <w:rsid w:val="0E431EB9"/>
    <w:rsid w:val="0E46A766"/>
    <w:rsid w:val="0E46F797"/>
    <w:rsid w:val="0E47AF1A"/>
    <w:rsid w:val="0E4AF1F3"/>
    <w:rsid w:val="0E53B2FA"/>
    <w:rsid w:val="0E580C7D"/>
    <w:rsid w:val="0E5C9D8C"/>
    <w:rsid w:val="0E694C06"/>
    <w:rsid w:val="0E7BBD98"/>
    <w:rsid w:val="0E8F3980"/>
    <w:rsid w:val="0EA671E0"/>
    <w:rsid w:val="0EB55157"/>
    <w:rsid w:val="0EC45812"/>
    <w:rsid w:val="0ED283B8"/>
    <w:rsid w:val="0ED4F1A0"/>
    <w:rsid w:val="0EDDF398"/>
    <w:rsid w:val="0EE37E2D"/>
    <w:rsid w:val="0F0286C1"/>
    <w:rsid w:val="0F05DD80"/>
    <w:rsid w:val="0F0882AF"/>
    <w:rsid w:val="0F19037F"/>
    <w:rsid w:val="0F23BE00"/>
    <w:rsid w:val="0F38FE33"/>
    <w:rsid w:val="0F41EEAC"/>
    <w:rsid w:val="0F48EFC5"/>
    <w:rsid w:val="0F58DF9E"/>
    <w:rsid w:val="0F5E8FCE"/>
    <w:rsid w:val="0F7183D8"/>
    <w:rsid w:val="0F95DA64"/>
    <w:rsid w:val="0F9712B6"/>
    <w:rsid w:val="0F99A828"/>
    <w:rsid w:val="0FA16DCA"/>
    <w:rsid w:val="0FBD05C1"/>
    <w:rsid w:val="0FBF826B"/>
    <w:rsid w:val="0FC29D8F"/>
    <w:rsid w:val="0FEF71F8"/>
    <w:rsid w:val="100CBE82"/>
    <w:rsid w:val="100E2042"/>
    <w:rsid w:val="1019AA15"/>
    <w:rsid w:val="101A234D"/>
    <w:rsid w:val="101B4981"/>
    <w:rsid w:val="101D832D"/>
    <w:rsid w:val="101E0630"/>
    <w:rsid w:val="1024870D"/>
    <w:rsid w:val="10299C6B"/>
    <w:rsid w:val="102BB443"/>
    <w:rsid w:val="1033AAA7"/>
    <w:rsid w:val="1038CFDE"/>
    <w:rsid w:val="10446366"/>
    <w:rsid w:val="104B160A"/>
    <w:rsid w:val="105108EE"/>
    <w:rsid w:val="10615EC9"/>
    <w:rsid w:val="10699228"/>
    <w:rsid w:val="10720754"/>
    <w:rsid w:val="107A6DB1"/>
    <w:rsid w:val="107F3281"/>
    <w:rsid w:val="108C8673"/>
    <w:rsid w:val="108E0647"/>
    <w:rsid w:val="109F9109"/>
    <w:rsid w:val="10B223BB"/>
    <w:rsid w:val="10BF06DE"/>
    <w:rsid w:val="10C6B0C9"/>
    <w:rsid w:val="10DD262F"/>
    <w:rsid w:val="10DE24AB"/>
    <w:rsid w:val="10E19DBB"/>
    <w:rsid w:val="10E37CC2"/>
    <w:rsid w:val="11132BE0"/>
    <w:rsid w:val="1122BE8F"/>
    <w:rsid w:val="11242877"/>
    <w:rsid w:val="112EBA5B"/>
    <w:rsid w:val="11547699"/>
    <w:rsid w:val="1165C13F"/>
    <w:rsid w:val="1166B880"/>
    <w:rsid w:val="117A5BC9"/>
    <w:rsid w:val="11977E0A"/>
    <w:rsid w:val="119CFF4B"/>
    <w:rsid w:val="11BBF2AA"/>
    <w:rsid w:val="11C1551E"/>
    <w:rsid w:val="11C42AB2"/>
    <w:rsid w:val="11CCEB92"/>
    <w:rsid w:val="11D890A8"/>
    <w:rsid w:val="11DC60B8"/>
    <w:rsid w:val="11E5BE54"/>
    <w:rsid w:val="12113FB1"/>
    <w:rsid w:val="121AAE36"/>
    <w:rsid w:val="121B3B93"/>
    <w:rsid w:val="1247E101"/>
    <w:rsid w:val="124866E2"/>
    <w:rsid w:val="1250AF1E"/>
    <w:rsid w:val="125C8EF8"/>
    <w:rsid w:val="1264BA48"/>
    <w:rsid w:val="127BF754"/>
    <w:rsid w:val="127C3FE7"/>
    <w:rsid w:val="1286ECAB"/>
    <w:rsid w:val="128900C2"/>
    <w:rsid w:val="128E217A"/>
    <w:rsid w:val="12928012"/>
    <w:rsid w:val="1292E9BD"/>
    <w:rsid w:val="1297C78A"/>
    <w:rsid w:val="129C3A12"/>
    <w:rsid w:val="12A592CC"/>
    <w:rsid w:val="12A63ACB"/>
    <w:rsid w:val="12A647F3"/>
    <w:rsid w:val="12AF874D"/>
    <w:rsid w:val="12C938C3"/>
    <w:rsid w:val="1324A809"/>
    <w:rsid w:val="13286746"/>
    <w:rsid w:val="1332EADE"/>
    <w:rsid w:val="133D673B"/>
    <w:rsid w:val="133FA17D"/>
    <w:rsid w:val="1355FB13"/>
    <w:rsid w:val="136EA119"/>
    <w:rsid w:val="137EA3B2"/>
    <w:rsid w:val="13815800"/>
    <w:rsid w:val="13838877"/>
    <w:rsid w:val="139C6406"/>
    <w:rsid w:val="13A37C52"/>
    <w:rsid w:val="13AA875A"/>
    <w:rsid w:val="13ACA1F1"/>
    <w:rsid w:val="13C87198"/>
    <w:rsid w:val="13D26943"/>
    <w:rsid w:val="13D38C7C"/>
    <w:rsid w:val="13ED2ABB"/>
    <w:rsid w:val="1403C561"/>
    <w:rsid w:val="140A6BDE"/>
    <w:rsid w:val="14142C69"/>
    <w:rsid w:val="14231C9E"/>
    <w:rsid w:val="144D5D90"/>
    <w:rsid w:val="1459BB60"/>
    <w:rsid w:val="148A48C8"/>
    <w:rsid w:val="148B2E1E"/>
    <w:rsid w:val="149B69DF"/>
    <w:rsid w:val="14AB446F"/>
    <w:rsid w:val="14C401E8"/>
    <w:rsid w:val="14C40852"/>
    <w:rsid w:val="14C4404D"/>
    <w:rsid w:val="14E63CF7"/>
    <w:rsid w:val="14EA508E"/>
    <w:rsid w:val="14FCDA3B"/>
    <w:rsid w:val="1505131A"/>
    <w:rsid w:val="150BEFC7"/>
    <w:rsid w:val="150E0CE8"/>
    <w:rsid w:val="1515F6C3"/>
    <w:rsid w:val="1525831F"/>
    <w:rsid w:val="1530A62B"/>
    <w:rsid w:val="1545B3C7"/>
    <w:rsid w:val="1558F99E"/>
    <w:rsid w:val="1559DA42"/>
    <w:rsid w:val="15622ECA"/>
    <w:rsid w:val="1565DEBE"/>
    <w:rsid w:val="156E5242"/>
    <w:rsid w:val="156F3D2E"/>
    <w:rsid w:val="15743C98"/>
    <w:rsid w:val="158829D2"/>
    <w:rsid w:val="158E0D0B"/>
    <w:rsid w:val="15A30593"/>
    <w:rsid w:val="15B39510"/>
    <w:rsid w:val="15BCF5FB"/>
    <w:rsid w:val="15CC6619"/>
    <w:rsid w:val="15CDA29B"/>
    <w:rsid w:val="15D1E773"/>
    <w:rsid w:val="15E3C5EB"/>
    <w:rsid w:val="15FFF067"/>
    <w:rsid w:val="16023286"/>
    <w:rsid w:val="160D3CAE"/>
    <w:rsid w:val="1617CE2E"/>
    <w:rsid w:val="162831FA"/>
    <w:rsid w:val="1634976B"/>
    <w:rsid w:val="163E5E87"/>
    <w:rsid w:val="1640E2C4"/>
    <w:rsid w:val="1643E733"/>
    <w:rsid w:val="1646E328"/>
    <w:rsid w:val="165B3C98"/>
    <w:rsid w:val="165D4402"/>
    <w:rsid w:val="1674F096"/>
    <w:rsid w:val="167862E7"/>
    <w:rsid w:val="167980B6"/>
    <w:rsid w:val="1682035B"/>
    <w:rsid w:val="16A9E36C"/>
    <w:rsid w:val="16AF0453"/>
    <w:rsid w:val="16F7B1CE"/>
    <w:rsid w:val="16FCFD17"/>
    <w:rsid w:val="16FDDB64"/>
    <w:rsid w:val="17004CB8"/>
    <w:rsid w:val="170DF012"/>
    <w:rsid w:val="17106179"/>
    <w:rsid w:val="1742EBF8"/>
    <w:rsid w:val="1746C14F"/>
    <w:rsid w:val="17509D3B"/>
    <w:rsid w:val="1751E383"/>
    <w:rsid w:val="1770D048"/>
    <w:rsid w:val="177C118F"/>
    <w:rsid w:val="17A9BC8C"/>
    <w:rsid w:val="17B558EA"/>
    <w:rsid w:val="17BB5D80"/>
    <w:rsid w:val="17DBF5EE"/>
    <w:rsid w:val="17DE33D1"/>
    <w:rsid w:val="17E98AC6"/>
    <w:rsid w:val="17EBAD1B"/>
    <w:rsid w:val="17FAA7FA"/>
    <w:rsid w:val="17FEE1B5"/>
    <w:rsid w:val="18006A80"/>
    <w:rsid w:val="1808278F"/>
    <w:rsid w:val="1809D780"/>
    <w:rsid w:val="180E01A5"/>
    <w:rsid w:val="1820ADF4"/>
    <w:rsid w:val="1824F38C"/>
    <w:rsid w:val="1827FB58"/>
    <w:rsid w:val="182E786E"/>
    <w:rsid w:val="183882C1"/>
    <w:rsid w:val="183D6241"/>
    <w:rsid w:val="18572B70"/>
    <w:rsid w:val="186A7143"/>
    <w:rsid w:val="18846069"/>
    <w:rsid w:val="18889CCB"/>
    <w:rsid w:val="188ED14B"/>
    <w:rsid w:val="189E836B"/>
    <w:rsid w:val="18A1CFB7"/>
    <w:rsid w:val="18A8955C"/>
    <w:rsid w:val="18AFDC6F"/>
    <w:rsid w:val="18C3E31E"/>
    <w:rsid w:val="18C4D1EA"/>
    <w:rsid w:val="18DA3542"/>
    <w:rsid w:val="18E970FD"/>
    <w:rsid w:val="18F1C073"/>
    <w:rsid w:val="18F8FD9C"/>
    <w:rsid w:val="191300FB"/>
    <w:rsid w:val="19136CBD"/>
    <w:rsid w:val="191836A9"/>
    <w:rsid w:val="19222989"/>
    <w:rsid w:val="192FB3C3"/>
    <w:rsid w:val="193D7A3E"/>
    <w:rsid w:val="194C11C0"/>
    <w:rsid w:val="197353E8"/>
    <w:rsid w:val="198689A0"/>
    <w:rsid w:val="198B20DC"/>
    <w:rsid w:val="19A780F0"/>
    <w:rsid w:val="19A9A4B0"/>
    <w:rsid w:val="19BFB524"/>
    <w:rsid w:val="19D2F6EC"/>
    <w:rsid w:val="19DC02B8"/>
    <w:rsid w:val="19E6CC42"/>
    <w:rsid w:val="1A2D8E50"/>
    <w:rsid w:val="1A551E09"/>
    <w:rsid w:val="1A68D445"/>
    <w:rsid w:val="1A834211"/>
    <w:rsid w:val="1A8869C8"/>
    <w:rsid w:val="1A8CF266"/>
    <w:rsid w:val="1A90857B"/>
    <w:rsid w:val="1A9E766B"/>
    <w:rsid w:val="1AA2A58D"/>
    <w:rsid w:val="1AB74AD0"/>
    <w:rsid w:val="1AB76051"/>
    <w:rsid w:val="1AC129FD"/>
    <w:rsid w:val="1AC965B7"/>
    <w:rsid w:val="1ADAD373"/>
    <w:rsid w:val="1AE29CA5"/>
    <w:rsid w:val="1AF1F82A"/>
    <w:rsid w:val="1AF5FE4C"/>
    <w:rsid w:val="1AFAFB7F"/>
    <w:rsid w:val="1AFE0182"/>
    <w:rsid w:val="1B07036B"/>
    <w:rsid w:val="1B117528"/>
    <w:rsid w:val="1B2D9739"/>
    <w:rsid w:val="1B45EB3E"/>
    <w:rsid w:val="1B466A99"/>
    <w:rsid w:val="1B5A9250"/>
    <w:rsid w:val="1B5C3098"/>
    <w:rsid w:val="1B60F083"/>
    <w:rsid w:val="1B7465F6"/>
    <w:rsid w:val="1B87B0E2"/>
    <w:rsid w:val="1B8B4567"/>
    <w:rsid w:val="1B96855B"/>
    <w:rsid w:val="1BB7D559"/>
    <w:rsid w:val="1BBE5DAB"/>
    <w:rsid w:val="1BC58C89"/>
    <w:rsid w:val="1BCBC1A5"/>
    <w:rsid w:val="1BDD7DBB"/>
    <w:rsid w:val="1BE01ECB"/>
    <w:rsid w:val="1BE6040F"/>
    <w:rsid w:val="1BE982E3"/>
    <w:rsid w:val="1BEE9CC7"/>
    <w:rsid w:val="1C021DE1"/>
    <w:rsid w:val="1C112B44"/>
    <w:rsid w:val="1C1A2E58"/>
    <w:rsid w:val="1C1EBD58"/>
    <w:rsid w:val="1C1FCA52"/>
    <w:rsid w:val="1C2C242A"/>
    <w:rsid w:val="1C3935A5"/>
    <w:rsid w:val="1C574C24"/>
    <w:rsid w:val="1C606D8E"/>
    <w:rsid w:val="1C633138"/>
    <w:rsid w:val="1C66A45A"/>
    <w:rsid w:val="1C6909B3"/>
    <w:rsid w:val="1C6C3511"/>
    <w:rsid w:val="1C6E7DB4"/>
    <w:rsid w:val="1C786108"/>
    <w:rsid w:val="1C7CF987"/>
    <w:rsid w:val="1C89DB48"/>
    <w:rsid w:val="1C8A29AD"/>
    <w:rsid w:val="1CA8EECE"/>
    <w:rsid w:val="1CAF6711"/>
    <w:rsid w:val="1CB26209"/>
    <w:rsid w:val="1CD32949"/>
    <w:rsid w:val="1CD5E726"/>
    <w:rsid w:val="1CE89181"/>
    <w:rsid w:val="1CF3EEF1"/>
    <w:rsid w:val="1CFBC1DE"/>
    <w:rsid w:val="1D0468FA"/>
    <w:rsid w:val="1D2A71AB"/>
    <w:rsid w:val="1D2F2DBC"/>
    <w:rsid w:val="1D35BA75"/>
    <w:rsid w:val="1D4E1D03"/>
    <w:rsid w:val="1D5D23A7"/>
    <w:rsid w:val="1D5E934E"/>
    <w:rsid w:val="1D61ABD3"/>
    <w:rsid w:val="1D627AFE"/>
    <w:rsid w:val="1D6728ED"/>
    <w:rsid w:val="1D7D4666"/>
    <w:rsid w:val="1D942728"/>
    <w:rsid w:val="1DC2B5D6"/>
    <w:rsid w:val="1DDCA53B"/>
    <w:rsid w:val="1DE90E88"/>
    <w:rsid w:val="1DEA0635"/>
    <w:rsid w:val="1DF8EB0B"/>
    <w:rsid w:val="1DF91839"/>
    <w:rsid w:val="1E02D664"/>
    <w:rsid w:val="1E0FE5D4"/>
    <w:rsid w:val="1E1335A2"/>
    <w:rsid w:val="1E20EB25"/>
    <w:rsid w:val="1E25420E"/>
    <w:rsid w:val="1E2CA0EF"/>
    <w:rsid w:val="1E4EBBDE"/>
    <w:rsid w:val="1E601001"/>
    <w:rsid w:val="1E6DFDC2"/>
    <w:rsid w:val="1E7080B4"/>
    <w:rsid w:val="1E814628"/>
    <w:rsid w:val="1EB089D1"/>
    <w:rsid w:val="1EC5D65F"/>
    <w:rsid w:val="1ED223B8"/>
    <w:rsid w:val="1ED2F4FA"/>
    <w:rsid w:val="1ED5DE84"/>
    <w:rsid w:val="1EF6047F"/>
    <w:rsid w:val="1EFAC084"/>
    <w:rsid w:val="1EFDF27A"/>
    <w:rsid w:val="1F142175"/>
    <w:rsid w:val="1F21E9B1"/>
    <w:rsid w:val="1F267514"/>
    <w:rsid w:val="1F2FC0FE"/>
    <w:rsid w:val="1F3CC328"/>
    <w:rsid w:val="1F3FD051"/>
    <w:rsid w:val="1F445A32"/>
    <w:rsid w:val="1F448414"/>
    <w:rsid w:val="1F449EF8"/>
    <w:rsid w:val="1F820548"/>
    <w:rsid w:val="1F863BCE"/>
    <w:rsid w:val="1F8AA752"/>
    <w:rsid w:val="1F8DF067"/>
    <w:rsid w:val="1F94D13F"/>
    <w:rsid w:val="1FA98B2F"/>
    <w:rsid w:val="1FAF920E"/>
    <w:rsid w:val="1FC66D9C"/>
    <w:rsid w:val="1FCB8E22"/>
    <w:rsid w:val="1FE64BA3"/>
    <w:rsid w:val="200D1F62"/>
    <w:rsid w:val="20251D32"/>
    <w:rsid w:val="202E4718"/>
    <w:rsid w:val="2030D5CD"/>
    <w:rsid w:val="203659A4"/>
    <w:rsid w:val="2039C048"/>
    <w:rsid w:val="2065708D"/>
    <w:rsid w:val="206939F4"/>
    <w:rsid w:val="20715BD7"/>
    <w:rsid w:val="207C8AB1"/>
    <w:rsid w:val="207EE0A6"/>
    <w:rsid w:val="208E3314"/>
    <w:rsid w:val="209917C9"/>
    <w:rsid w:val="20A2D38E"/>
    <w:rsid w:val="20A31366"/>
    <w:rsid w:val="20C526EE"/>
    <w:rsid w:val="20C80237"/>
    <w:rsid w:val="20DC4522"/>
    <w:rsid w:val="20DC8FDA"/>
    <w:rsid w:val="20ECA318"/>
    <w:rsid w:val="20FFD09C"/>
    <w:rsid w:val="2117882B"/>
    <w:rsid w:val="212261E2"/>
    <w:rsid w:val="2122CCC4"/>
    <w:rsid w:val="21516197"/>
    <w:rsid w:val="2167C20C"/>
    <w:rsid w:val="217D7D76"/>
    <w:rsid w:val="217E74B4"/>
    <w:rsid w:val="21971885"/>
    <w:rsid w:val="21A2DAEF"/>
    <w:rsid w:val="21A452F8"/>
    <w:rsid w:val="21B719E6"/>
    <w:rsid w:val="21B86D64"/>
    <w:rsid w:val="21C49F88"/>
    <w:rsid w:val="21DA84A2"/>
    <w:rsid w:val="21E24942"/>
    <w:rsid w:val="21F5211C"/>
    <w:rsid w:val="21F810CE"/>
    <w:rsid w:val="22343DDD"/>
    <w:rsid w:val="2244DB14"/>
    <w:rsid w:val="225142E4"/>
    <w:rsid w:val="226142E2"/>
    <w:rsid w:val="22624679"/>
    <w:rsid w:val="226F6CFA"/>
    <w:rsid w:val="22701920"/>
    <w:rsid w:val="228FDD8C"/>
    <w:rsid w:val="22966EB5"/>
    <w:rsid w:val="229E4481"/>
    <w:rsid w:val="22A6ACA4"/>
    <w:rsid w:val="22B4E7F7"/>
    <w:rsid w:val="22C1D648"/>
    <w:rsid w:val="22DB2FB2"/>
    <w:rsid w:val="22E65AE1"/>
    <w:rsid w:val="2309359E"/>
    <w:rsid w:val="23135500"/>
    <w:rsid w:val="23180057"/>
    <w:rsid w:val="23196269"/>
    <w:rsid w:val="231B662E"/>
    <w:rsid w:val="231F8CE1"/>
    <w:rsid w:val="2334531A"/>
    <w:rsid w:val="2352445A"/>
    <w:rsid w:val="23561896"/>
    <w:rsid w:val="235A6ACA"/>
    <w:rsid w:val="236101B7"/>
    <w:rsid w:val="23676408"/>
    <w:rsid w:val="2371277B"/>
    <w:rsid w:val="23765AFE"/>
    <w:rsid w:val="23771760"/>
    <w:rsid w:val="2388E644"/>
    <w:rsid w:val="238954F7"/>
    <w:rsid w:val="23983DDC"/>
    <w:rsid w:val="23B7697C"/>
    <w:rsid w:val="23BAF696"/>
    <w:rsid w:val="23D7D787"/>
    <w:rsid w:val="23D9CD7E"/>
    <w:rsid w:val="23E4F884"/>
    <w:rsid w:val="23F1386D"/>
    <w:rsid w:val="23F24935"/>
    <w:rsid w:val="2403650A"/>
    <w:rsid w:val="240D9A40"/>
    <w:rsid w:val="2415334E"/>
    <w:rsid w:val="242205D0"/>
    <w:rsid w:val="242732DE"/>
    <w:rsid w:val="2432170B"/>
    <w:rsid w:val="243A4F86"/>
    <w:rsid w:val="244FCD9B"/>
    <w:rsid w:val="2453E656"/>
    <w:rsid w:val="245C3A30"/>
    <w:rsid w:val="245E2A91"/>
    <w:rsid w:val="246199AF"/>
    <w:rsid w:val="24632F64"/>
    <w:rsid w:val="246B8BE2"/>
    <w:rsid w:val="24900F69"/>
    <w:rsid w:val="24B480B6"/>
    <w:rsid w:val="24C5EA82"/>
    <w:rsid w:val="24D2130B"/>
    <w:rsid w:val="24EC1F05"/>
    <w:rsid w:val="25001292"/>
    <w:rsid w:val="2501E166"/>
    <w:rsid w:val="2548EFA8"/>
    <w:rsid w:val="2554DBDB"/>
    <w:rsid w:val="25675EFD"/>
    <w:rsid w:val="2574F5E8"/>
    <w:rsid w:val="259D116D"/>
    <w:rsid w:val="25A2BB5D"/>
    <w:rsid w:val="25BB8509"/>
    <w:rsid w:val="25BEE747"/>
    <w:rsid w:val="25C99FCC"/>
    <w:rsid w:val="25CF4DD4"/>
    <w:rsid w:val="25CF8E78"/>
    <w:rsid w:val="25DDCC38"/>
    <w:rsid w:val="25E4EF0C"/>
    <w:rsid w:val="26234DFA"/>
    <w:rsid w:val="26267E08"/>
    <w:rsid w:val="262A8F82"/>
    <w:rsid w:val="262B9628"/>
    <w:rsid w:val="263A25DF"/>
    <w:rsid w:val="263C5352"/>
    <w:rsid w:val="26614AD8"/>
    <w:rsid w:val="2662A324"/>
    <w:rsid w:val="266DD857"/>
    <w:rsid w:val="267898B8"/>
    <w:rsid w:val="268FC044"/>
    <w:rsid w:val="2698298F"/>
    <w:rsid w:val="269B77DC"/>
    <w:rsid w:val="26AC59BE"/>
    <w:rsid w:val="26ADCFE6"/>
    <w:rsid w:val="26B23CD1"/>
    <w:rsid w:val="26B5A6B8"/>
    <w:rsid w:val="26C068B9"/>
    <w:rsid w:val="26C14619"/>
    <w:rsid w:val="26C8CD87"/>
    <w:rsid w:val="26C98356"/>
    <w:rsid w:val="26CB10AD"/>
    <w:rsid w:val="26D03DF4"/>
    <w:rsid w:val="26E6A19B"/>
    <w:rsid w:val="26E9D349"/>
    <w:rsid w:val="26FDDA4B"/>
    <w:rsid w:val="272CB66F"/>
    <w:rsid w:val="272FA477"/>
    <w:rsid w:val="273D7515"/>
    <w:rsid w:val="274E72DF"/>
    <w:rsid w:val="27541A1C"/>
    <w:rsid w:val="27637AF9"/>
    <w:rsid w:val="276F0D10"/>
    <w:rsid w:val="278D3091"/>
    <w:rsid w:val="27A057A6"/>
    <w:rsid w:val="27A0EF8B"/>
    <w:rsid w:val="27ABB40C"/>
    <w:rsid w:val="27B8DE5D"/>
    <w:rsid w:val="27BE924B"/>
    <w:rsid w:val="27CA3D48"/>
    <w:rsid w:val="27DC103E"/>
    <w:rsid w:val="27DC7083"/>
    <w:rsid w:val="27E31F0D"/>
    <w:rsid w:val="27FA65EE"/>
    <w:rsid w:val="27FF90ED"/>
    <w:rsid w:val="282FDD2B"/>
    <w:rsid w:val="2849FB73"/>
    <w:rsid w:val="284B94A3"/>
    <w:rsid w:val="2857A4DE"/>
    <w:rsid w:val="288C52B9"/>
    <w:rsid w:val="2893C4CB"/>
    <w:rsid w:val="28963C5B"/>
    <w:rsid w:val="28B4AB41"/>
    <w:rsid w:val="28C16B6B"/>
    <w:rsid w:val="28CD6D82"/>
    <w:rsid w:val="28DC3A2F"/>
    <w:rsid w:val="28EC6322"/>
    <w:rsid w:val="28EF5AEA"/>
    <w:rsid w:val="28FEE2AE"/>
    <w:rsid w:val="28FF25F4"/>
    <w:rsid w:val="29000EAD"/>
    <w:rsid w:val="29230761"/>
    <w:rsid w:val="292F0477"/>
    <w:rsid w:val="2938C54A"/>
    <w:rsid w:val="2939E37F"/>
    <w:rsid w:val="293AE138"/>
    <w:rsid w:val="2942FA09"/>
    <w:rsid w:val="29505141"/>
    <w:rsid w:val="29776781"/>
    <w:rsid w:val="29859F76"/>
    <w:rsid w:val="29903FEF"/>
    <w:rsid w:val="29A9F1DB"/>
    <w:rsid w:val="29AAD845"/>
    <w:rsid w:val="29E5F870"/>
    <w:rsid w:val="29EFD059"/>
    <w:rsid w:val="2A01CA88"/>
    <w:rsid w:val="2A0D4521"/>
    <w:rsid w:val="2A1A5BBD"/>
    <w:rsid w:val="2A25E5DB"/>
    <w:rsid w:val="2A2ADC15"/>
    <w:rsid w:val="2A30236C"/>
    <w:rsid w:val="2A3CAE80"/>
    <w:rsid w:val="2A4C660A"/>
    <w:rsid w:val="2A5A0460"/>
    <w:rsid w:val="2A6B57AD"/>
    <w:rsid w:val="2A7FDA64"/>
    <w:rsid w:val="2A8346DD"/>
    <w:rsid w:val="2A864D10"/>
    <w:rsid w:val="2A874210"/>
    <w:rsid w:val="2A91D03C"/>
    <w:rsid w:val="2A95D02B"/>
    <w:rsid w:val="2A978ADD"/>
    <w:rsid w:val="2AA46AF7"/>
    <w:rsid w:val="2AA86C83"/>
    <w:rsid w:val="2AAA1A7D"/>
    <w:rsid w:val="2AAC20B7"/>
    <w:rsid w:val="2AC2F999"/>
    <w:rsid w:val="2ADEE832"/>
    <w:rsid w:val="2AE4C8E5"/>
    <w:rsid w:val="2AE9B168"/>
    <w:rsid w:val="2AEC5BF2"/>
    <w:rsid w:val="2B07729A"/>
    <w:rsid w:val="2B10BF8F"/>
    <w:rsid w:val="2B1DCBE3"/>
    <w:rsid w:val="2B2281D5"/>
    <w:rsid w:val="2B358661"/>
    <w:rsid w:val="2B59A711"/>
    <w:rsid w:val="2B64BA3C"/>
    <w:rsid w:val="2B7778B4"/>
    <w:rsid w:val="2B7984A1"/>
    <w:rsid w:val="2B7BA217"/>
    <w:rsid w:val="2B887891"/>
    <w:rsid w:val="2B8CDD1A"/>
    <w:rsid w:val="2B94472B"/>
    <w:rsid w:val="2BA800B7"/>
    <w:rsid w:val="2BB0E995"/>
    <w:rsid w:val="2BB3090F"/>
    <w:rsid w:val="2BC42E69"/>
    <w:rsid w:val="2BEC08C0"/>
    <w:rsid w:val="2BEE0EB3"/>
    <w:rsid w:val="2BEE2C44"/>
    <w:rsid w:val="2BEF65DC"/>
    <w:rsid w:val="2BFA527C"/>
    <w:rsid w:val="2BFC3E39"/>
    <w:rsid w:val="2BFE65E9"/>
    <w:rsid w:val="2BFF1820"/>
    <w:rsid w:val="2BFF3432"/>
    <w:rsid w:val="2C080262"/>
    <w:rsid w:val="2C11C0E7"/>
    <w:rsid w:val="2C19CCC4"/>
    <w:rsid w:val="2C322C70"/>
    <w:rsid w:val="2C4F1455"/>
    <w:rsid w:val="2C701334"/>
    <w:rsid w:val="2C74D6C8"/>
    <w:rsid w:val="2C7CA91A"/>
    <w:rsid w:val="2C84D5B1"/>
    <w:rsid w:val="2C86A639"/>
    <w:rsid w:val="2CA1C776"/>
    <w:rsid w:val="2CA53A45"/>
    <w:rsid w:val="2CA8A212"/>
    <w:rsid w:val="2CAEC56C"/>
    <w:rsid w:val="2CC644D8"/>
    <w:rsid w:val="2CD30210"/>
    <w:rsid w:val="2CE119B8"/>
    <w:rsid w:val="2CE40441"/>
    <w:rsid w:val="2CED7A44"/>
    <w:rsid w:val="2CFE9F9D"/>
    <w:rsid w:val="2D286546"/>
    <w:rsid w:val="2D2FEFCB"/>
    <w:rsid w:val="2D3862F7"/>
    <w:rsid w:val="2D3F6B14"/>
    <w:rsid w:val="2D469DC7"/>
    <w:rsid w:val="2D4C8A43"/>
    <w:rsid w:val="2D4E8B20"/>
    <w:rsid w:val="2D5A3C27"/>
    <w:rsid w:val="2D5E85EC"/>
    <w:rsid w:val="2D5E8A51"/>
    <w:rsid w:val="2D5F5051"/>
    <w:rsid w:val="2D819981"/>
    <w:rsid w:val="2D830BA4"/>
    <w:rsid w:val="2D8847A8"/>
    <w:rsid w:val="2DA35092"/>
    <w:rsid w:val="2DC4B5C3"/>
    <w:rsid w:val="2DDE804F"/>
    <w:rsid w:val="2DE59BFA"/>
    <w:rsid w:val="2DEA23E8"/>
    <w:rsid w:val="2DEAEE7E"/>
    <w:rsid w:val="2DECA74E"/>
    <w:rsid w:val="2E019181"/>
    <w:rsid w:val="2E0F7C0F"/>
    <w:rsid w:val="2E205091"/>
    <w:rsid w:val="2E29B1A0"/>
    <w:rsid w:val="2E4C0D14"/>
    <w:rsid w:val="2E547847"/>
    <w:rsid w:val="2E5780E0"/>
    <w:rsid w:val="2E5E9ED3"/>
    <w:rsid w:val="2E787B99"/>
    <w:rsid w:val="2E7C9B17"/>
    <w:rsid w:val="2E81AE2C"/>
    <w:rsid w:val="2E8A7C12"/>
    <w:rsid w:val="2E90AD8A"/>
    <w:rsid w:val="2E9B5C77"/>
    <w:rsid w:val="2E9D4541"/>
    <w:rsid w:val="2EA200F3"/>
    <w:rsid w:val="2EABBED2"/>
    <w:rsid w:val="2EC4DD72"/>
    <w:rsid w:val="2ECA351D"/>
    <w:rsid w:val="2EF54E7C"/>
    <w:rsid w:val="2EF70B66"/>
    <w:rsid w:val="2F15B25A"/>
    <w:rsid w:val="2F285840"/>
    <w:rsid w:val="2F4166DF"/>
    <w:rsid w:val="2F43B37F"/>
    <w:rsid w:val="2F518508"/>
    <w:rsid w:val="2F631DB0"/>
    <w:rsid w:val="2F6905D2"/>
    <w:rsid w:val="2F6BF3E8"/>
    <w:rsid w:val="2F8236B9"/>
    <w:rsid w:val="2F8662C6"/>
    <w:rsid w:val="2FA23BB9"/>
    <w:rsid w:val="2FACEEC2"/>
    <w:rsid w:val="2FC5F023"/>
    <w:rsid w:val="2FC75F3A"/>
    <w:rsid w:val="2FC8ABCD"/>
    <w:rsid w:val="2FCAEEA2"/>
    <w:rsid w:val="2FE476F3"/>
    <w:rsid w:val="2FEE9105"/>
    <w:rsid w:val="2FF19076"/>
    <w:rsid w:val="300164DA"/>
    <w:rsid w:val="3007EFE5"/>
    <w:rsid w:val="30141B59"/>
    <w:rsid w:val="3016EF94"/>
    <w:rsid w:val="3028FB41"/>
    <w:rsid w:val="30314E6F"/>
    <w:rsid w:val="303F961E"/>
    <w:rsid w:val="30422B25"/>
    <w:rsid w:val="3055D243"/>
    <w:rsid w:val="306A0681"/>
    <w:rsid w:val="3097B396"/>
    <w:rsid w:val="30A178D0"/>
    <w:rsid w:val="30A1C4B0"/>
    <w:rsid w:val="30A4C880"/>
    <w:rsid w:val="30B7885C"/>
    <w:rsid w:val="30BA2DCF"/>
    <w:rsid w:val="30BE329F"/>
    <w:rsid w:val="30C2C84B"/>
    <w:rsid w:val="30CBBF93"/>
    <w:rsid w:val="30D1190F"/>
    <w:rsid w:val="30D294FD"/>
    <w:rsid w:val="30D8F95B"/>
    <w:rsid w:val="30DA5B73"/>
    <w:rsid w:val="30E609C9"/>
    <w:rsid w:val="30F26EF4"/>
    <w:rsid w:val="3109CD58"/>
    <w:rsid w:val="310EF507"/>
    <w:rsid w:val="310F86D0"/>
    <w:rsid w:val="311A76A6"/>
    <w:rsid w:val="311D6DE9"/>
    <w:rsid w:val="312F38CB"/>
    <w:rsid w:val="3133AA24"/>
    <w:rsid w:val="314551B2"/>
    <w:rsid w:val="314D090A"/>
    <w:rsid w:val="315DB5A4"/>
    <w:rsid w:val="31636620"/>
    <w:rsid w:val="3198FD31"/>
    <w:rsid w:val="31AB9B23"/>
    <w:rsid w:val="31C20EE3"/>
    <w:rsid w:val="31C7E1A4"/>
    <w:rsid w:val="31CE26BD"/>
    <w:rsid w:val="31D23576"/>
    <w:rsid w:val="31E6BA38"/>
    <w:rsid w:val="321E65E0"/>
    <w:rsid w:val="32247729"/>
    <w:rsid w:val="3231A696"/>
    <w:rsid w:val="324546AF"/>
    <w:rsid w:val="3249A493"/>
    <w:rsid w:val="324E3F05"/>
    <w:rsid w:val="3258A20C"/>
    <w:rsid w:val="326133E0"/>
    <w:rsid w:val="326423DF"/>
    <w:rsid w:val="3274914E"/>
    <w:rsid w:val="3274CDED"/>
    <w:rsid w:val="328035B3"/>
    <w:rsid w:val="32861FF9"/>
    <w:rsid w:val="32980288"/>
    <w:rsid w:val="329B5F1E"/>
    <w:rsid w:val="32AC566B"/>
    <w:rsid w:val="32BB7B22"/>
    <w:rsid w:val="32C836D0"/>
    <w:rsid w:val="32E5747F"/>
    <w:rsid w:val="32E58EC6"/>
    <w:rsid w:val="32ED8BC4"/>
    <w:rsid w:val="32EF607D"/>
    <w:rsid w:val="32F7FE72"/>
    <w:rsid w:val="331B682C"/>
    <w:rsid w:val="33248F0B"/>
    <w:rsid w:val="332575FF"/>
    <w:rsid w:val="332E5111"/>
    <w:rsid w:val="33351F9A"/>
    <w:rsid w:val="3340E2B2"/>
    <w:rsid w:val="334FF564"/>
    <w:rsid w:val="3356ED8D"/>
    <w:rsid w:val="33673421"/>
    <w:rsid w:val="336C6396"/>
    <w:rsid w:val="337B8FFE"/>
    <w:rsid w:val="337CD2EA"/>
    <w:rsid w:val="338DEED4"/>
    <w:rsid w:val="338F4AA6"/>
    <w:rsid w:val="339C57AF"/>
    <w:rsid w:val="33A60889"/>
    <w:rsid w:val="33AA69F4"/>
    <w:rsid w:val="33AB7AB4"/>
    <w:rsid w:val="33B6BFBB"/>
    <w:rsid w:val="33BFED53"/>
    <w:rsid w:val="33CEAC3D"/>
    <w:rsid w:val="33D341D8"/>
    <w:rsid w:val="33DF13AA"/>
    <w:rsid w:val="33FA8887"/>
    <w:rsid w:val="3400E093"/>
    <w:rsid w:val="340CDEE8"/>
    <w:rsid w:val="34117815"/>
    <w:rsid w:val="341A0080"/>
    <w:rsid w:val="3433A6E5"/>
    <w:rsid w:val="344F150F"/>
    <w:rsid w:val="345F3C98"/>
    <w:rsid w:val="34677EC1"/>
    <w:rsid w:val="3469AF0F"/>
    <w:rsid w:val="346EBCE2"/>
    <w:rsid w:val="3472A02B"/>
    <w:rsid w:val="3476AC65"/>
    <w:rsid w:val="348FF569"/>
    <w:rsid w:val="3494447B"/>
    <w:rsid w:val="34B6CBDB"/>
    <w:rsid w:val="34BD730A"/>
    <w:rsid w:val="34C3C396"/>
    <w:rsid w:val="34CDCAA2"/>
    <w:rsid w:val="34D692BE"/>
    <w:rsid w:val="34DC86AB"/>
    <w:rsid w:val="34E3C395"/>
    <w:rsid w:val="34EEE457"/>
    <w:rsid w:val="352EC9BD"/>
    <w:rsid w:val="35330986"/>
    <w:rsid w:val="35407DC8"/>
    <w:rsid w:val="3542D7B2"/>
    <w:rsid w:val="3556A0E8"/>
    <w:rsid w:val="35589A8D"/>
    <w:rsid w:val="35619331"/>
    <w:rsid w:val="357CA942"/>
    <w:rsid w:val="3587610B"/>
    <w:rsid w:val="35905611"/>
    <w:rsid w:val="3596025E"/>
    <w:rsid w:val="359CC113"/>
    <w:rsid w:val="35A1FA45"/>
    <w:rsid w:val="35A30603"/>
    <w:rsid w:val="35AAF1FF"/>
    <w:rsid w:val="35AE0A54"/>
    <w:rsid w:val="35B0038D"/>
    <w:rsid w:val="35B91CF0"/>
    <w:rsid w:val="35C6CBF4"/>
    <w:rsid w:val="35CBD62D"/>
    <w:rsid w:val="35E2B022"/>
    <w:rsid w:val="35E3CBC9"/>
    <w:rsid w:val="35FE6FC3"/>
    <w:rsid w:val="35FF29B6"/>
    <w:rsid w:val="3608894C"/>
    <w:rsid w:val="360DA8CC"/>
    <w:rsid w:val="361446DE"/>
    <w:rsid w:val="364CD41C"/>
    <w:rsid w:val="365E6C8A"/>
    <w:rsid w:val="366762BB"/>
    <w:rsid w:val="366DAC88"/>
    <w:rsid w:val="366F124E"/>
    <w:rsid w:val="36727F7D"/>
    <w:rsid w:val="36ADAE5A"/>
    <w:rsid w:val="36B37A3E"/>
    <w:rsid w:val="36BA39F0"/>
    <w:rsid w:val="36C3AEC7"/>
    <w:rsid w:val="36CF6852"/>
    <w:rsid w:val="36D31C5F"/>
    <w:rsid w:val="36D51720"/>
    <w:rsid w:val="36DFB80C"/>
    <w:rsid w:val="36ED00B6"/>
    <w:rsid w:val="36F46A9B"/>
    <w:rsid w:val="370092EC"/>
    <w:rsid w:val="3709271A"/>
    <w:rsid w:val="371E7018"/>
    <w:rsid w:val="37251730"/>
    <w:rsid w:val="372C1E73"/>
    <w:rsid w:val="373A3375"/>
    <w:rsid w:val="374E4903"/>
    <w:rsid w:val="37547E04"/>
    <w:rsid w:val="375F847E"/>
    <w:rsid w:val="37670681"/>
    <w:rsid w:val="37687C4A"/>
    <w:rsid w:val="377110DC"/>
    <w:rsid w:val="3777B7E2"/>
    <w:rsid w:val="3778DBDA"/>
    <w:rsid w:val="377A7551"/>
    <w:rsid w:val="3786B999"/>
    <w:rsid w:val="3787BBFF"/>
    <w:rsid w:val="379CE7C0"/>
    <w:rsid w:val="37B6DA0B"/>
    <w:rsid w:val="37C6B6BB"/>
    <w:rsid w:val="37CB3B4B"/>
    <w:rsid w:val="37D69BA4"/>
    <w:rsid w:val="3806A734"/>
    <w:rsid w:val="381087C0"/>
    <w:rsid w:val="382A2218"/>
    <w:rsid w:val="383454D1"/>
    <w:rsid w:val="3837B4FF"/>
    <w:rsid w:val="386E3083"/>
    <w:rsid w:val="387F63FA"/>
    <w:rsid w:val="388E37F6"/>
    <w:rsid w:val="388EDBD3"/>
    <w:rsid w:val="389A6125"/>
    <w:rsid w:val="389F850E"/>
    <w:rsid w:val="38A3F4B0"/>
    <w:rsid w:val="38A635EF"/>
    <w:rsid w:val="38AF7FFA"/>
    <w:rsid w:val="38B730CE"/>
    <w:rsid w:val="38BC846A"/>
    <w:rsid w:val="38E687DD"/>
    <w:rsid w:val="38EBAFA9"/>
    <w:rsid w:val="38EED69B"/>
    <w:rsid w:val="390312DF"/>
    <w:rsid w:val="390CE13D"/>
    <w:rsid w:val="391F857C"/>
    <w:rsid w:val="392C071F"/>
    <w:rsid w:val="392DA426"/>
    <w:rsid w:val="39468885"/>
    <w:rsid w:val="3946A020"/>
    <w:rsid w:val="39561677"/>
    <w:rsid w:val="39674CD2"/>
    <w:rsid w:val="396CBE59"/>
    <w:rsid w:val="397370E9"/>
    <w:rsid w:val="3978289C"/>
    <w:rsid w:val="397F4978"/>
    <w:rsid w:val="39980738"/>
    <w:rsid w:val="39A122D1"/>
    <w:rsid w:val="39B71FF4"/>
    <w:rsid w:val="39C4BB5C"/>
    <w:rsid w:val="39CECDB0"/>
    <w:rsid w:val="39D372CA"/>
    <w:rsid w:val="39E5D19B"/>
    <w:rsid w:val="39EB17D8"/>
    <w:rsid w:val="39F0BB15"/>
    <w:rsid w:val="39FA29EE"/>
    <w:rsid w:val="39FC472B"/>
    <w:rsid w:val="3A00118B"/>
    <w:rsid w:val="3A019A41"/>
    <w:rsid w:val="3A246FF9"/>
    <w:rsid w:val="3A2F2992"/>
    <w:rsid w:val="3A39C8B0"/>
    <w:rsid w:val="3A427308"/>
    <w:rsid w:val="3A4C9281"/>
    <w:rsid w:val="3A5B08CD"/>
    <w:rsid w:val="3A6C9E5D"/>
    <w:rsid w:val="3A957E1D"/>
    <w:rsid w:val="3AAA50C6"/>
    <w:rsid w:val="3AAE13E3"/>
    <w:rsid w:val="3ACCEF1D"/>
    <w:rsid w:val="3AD36C7E"/>
    <w:rsid w:val="3AD96423"/>
    <w:rsid w:val="3AE0CE1E"/>
    <w:rsid w:val="3AE38793"/>
    <w:rsid w:val="3AF479D2"/>
    <w:rsid w:val="3B02EEDE"/>
    <w:rsid w:val="3B0B04AE"/>
    <w:rsid w:val="3B14FE4B"/>
    <w:rsid w:val="3B1CEC1C"/>
    <w:rsid w:val="3B31176B"/>
    <w:rsid w:val="3B342D1C"/>
    <w:rsid w:val="3B6A2FE8"/>
    <w:rsid w:val="3B6C6B60"/>
    <w:rsid w:val="3B6CE0D4"/>
    <w:rsid w:val="3B6E59AC"/>
    <w:rsid w:val="3B71A516"/>
    <w:rsid w:val="3B73E462"/>
    <w:rsid w:val="3B74D394"/>
    <w:rsid w:val="3B7969CC"/>
    <w:rsid w:val="3B84D6ED"/>
    <w:rsid w:val="3B8CA97E"/>
    <w:rsid w:val="3BA22F72"/>
    <w:rsid w:val="3BB023B0"/>
    <w:rsid w:val="3BCABA45"/>
    <w:rsid w:val="3BE15DFF"/>
    <w:rsid w:val="3BE65BF5"/>
    <w:rsid w:val="3BE7D11B"/>
    <w:rsid w:val="3BF297FE"/>
    <w:rsid w:val="3BF33D2F"/>
    <w:rsid w:val="3BFFBCD7"/>
    <w:rsid w:val="3C01B7C8"/>
    <w:rsid w:val="3C03425A"/>
    <w:rsid w:val="3C25226A"/>
    <w:rsid w:val="3C31CAC9"/>
    <w:rsid w:val="3C3200A8"/>
    <w:rsid w:val="3C495FF1"/>
    <w:rsid w:val="3C4B5497"/>
    <w:rsid w:val="3C539A8A"/>
    <w:rsid w:val="3C6380DE"/>
    <w:rsid w:val="3C683C6F"/>
    <w:rsid w:val="3C715C2B"/>
    <w:rsid w:val="3C7591FC"/>
    <w:rsid w:val="3C7DE4AF"/>
    <w:rsid w:val="3C8E55E5"/>
    <w:rsid w:val="3C991726"/>
    <w:rsid w:val="3C9EBF3F"/>
    <w:rsid w:val="3CA4C858"/>
    <w:rsid w:val="3CAF42CA"/>
    <w:rsid w:val="3CCFC3AD"/>
    <w:rsid w:val="3CD4216E"/>
    <w:rsid w:val="3CD86357"/>
    <w:rsid w:val="3CF98F67"/>
    <w:rsid w:val="3CFE501F"/>
    <w:rsid w:val="3D014E56"/>
    <w:rsid w:val="3D04EE2D"/>
    <w:rsid w:val="3D060C25"/>
    <w:rsid w:val="3D08D3E9"/>
    <w:rsid w:val="3D0D14B0"/>
    <w:rsid w:val="3D32EB15"/>
    <w:rsid w:val="3D379383"/>
    <w:rsid w:val="3D3B83E5"/>
    <w:rsid w:val="3D4B9F40"/>
    <w:rsid w:val="3D502542"/>
    <w:rsid w:val="3D5AE2D7"/>
    <w:rsid w:val="3D83B0B7"/>
    <w:rsid w:val="3D8ECAC1"/>
    <w:rsid w:val="3D8F1720"/>
    <w:rsid w:val="3DA2181C"/>
    <w:rsid w:val="3DA98C2E"/>
    <w:rsid w:val="3DB4015C"/>
    <w:rsid w:val="3DB73193"/>
    <w:rsid w:val="3DC12490"/>
    <w:rsid w:val="3DCDD109"/>
    <w:rsid w:val="3DE056ED"/>
    <w:rsid w:val="3DEDC169"/>
    <w:rsid w:val="3DFE48F2"/>
    <w:rsid w:val="3E04A7AD"/>
    <w:rsid w:val="3E053E5B"/>
    <w:rsid w:val="3E0F462C"/>
    <w:rsid w:val="3E14A12C"/>
    <w:rsid w:val="3E1520C0"/>
    <w:rsid w:val="3E15A7EE"/>
    <w:rsid w:val="3E16D19A"/>
    <w:rsid w:val="3E1AB5EE"/>
    <w:rsid w:val="3E258FEE"/>
    <w:rsid w:val="3E2FAE41"/>
    <w:rsid w:val="3E329D8B"/>
    <w:rsid w:val="3E50CCAB"/>
    <w:rsid w:val="3E54F5D2"/>
    <w:rsid w:val="3E6349B5"/>
    <w:rsid w:val="3E666A8A"/>
    <w:rsid w:val="3E6A624D"/>
    <w:rsid w:val="3E700799"/>
    <w:rsid w:val="3E74E2BD"/>
    <w:rsid w:val="3E798BA7"/>
    <w:rsid w:val="3E7AACED"/>
    <w:rsid w:val="3E7C3DEB"/>
    <w:rsid w:val="3E7D8789"/>
    <w:rsid w:val="3E7EAF53"/>
    <w:rsid w:val="3EAA45B5"/>
    <w:rsid w:val="3EB2FB68"/>
    <w:rsid w:val="3EC88DF8"/>
    <w:rsid w:val="3ED15E87"/>
    <w:rsid w:val="3EDCF107"/>
    <w:rsid w:val="3EE295C3"/>
    <w:rsid w:val="3EE3F543"/>
    <w:rsid w:val="3EE413A2"/>
    <w:rsid w:val="3EE76E41"/>
    <w:rsid w:val="3EED0326"/>
    <w:rsid w:val="3EEEA947"/>
    <w:rsid w:val="3EF0B945"/>
    <w:rsid w:val="3EF93A55"/>
    <w:rsid w:val="3F05AC9C"/>
    <w:rsid w:val="3F2E3DB5"/>
    <w:rsid w:val="3F49C330"/>
    <w:rsid w:val="3F4A5928"/>
    <w:rsid w:val="3F531A07"/>
    <w:rsid w:val="3F66081B"/>
    <w:rsid w:val="3F6A24A9"/>
    <w:rsid w:val="3F72CB46"/>
    <w:rsid w:val="3F743628"/>
    <w:rsid w:val="3F74AFE3"/>
    <w:rsid w:val="3F78B92E"/>
    <w:rsid w:val="3F865650"/>
    <w:rsid w:val="3FA17A94"/>
    <w:rsid w:val="3FB41197"/>
    <w:rsid w:val="3FB9D285"/>
    <w:rsid w:val="3FC639A9"/>
    <w:rsid w:val="3FE2D391"/>
    <w:rsid w:val="3FE7C351"/>
    <w:rsid w:val="3FEB0095"/>
    <w:rsid w:val="3FF75843"/>
    <w:rsid w:val="3FF82137"/>
    <w:rsid w:val="4001241D"/>
    <w:rsid w:val="400E7C1E"/>
    <w:rsid w:val="4034607E"/>
    <w:rsid w:val="404765CD"/>
    <w:rsid w:val="40644F9F"/>
    <w:rsid w:val="406BAB41"/>
    <w:rsid w:val="408175AE"/>
    <w:rsid w:val="408FCACC"/>
    <w:rsid w:val="409DB753"/>
    <w:rsid w:val="40D05199"/>
    <w:rsid w:val="40F1D51A"/>
    <w:rsid w:val="410398C3"/>
    <w:rsid w:val="410410C2"/>
    <w:rsid w:val="410AE5CB"/>
    <w:rsid w:val="41185D50"/>
    <w:rsid w:val="412DBEF3"/>
    <w:rsid w:val="413DF6AA"/>
    <w:rsid w:val="4141F0B4"/>
    <w:rsid w:val="414AA8B4"/>
    <w:rsid w:val="415D30F1"/>
    <w:rsid w:val="4163580B"/>
    <w:rsid w:val="41729528"/>
    <w:rsid w:val="41819B45"/>
    <w:rsid w:val="418544AC"/>
    <w:rsid w:val="41A5263D"/>
    <w:rsid w:val="41C67F53"/>
    <w:rsid w:val="42060F3B"/>
    <w:rsid w:val="42158717"/>
    <w:rsid w:val="421C8738"/>
    <w:rsid w:val="4221D2BA"/>
    <w:rsid w:val="42230ED9"/>
    <w:rsid w:val="42259D4F"/>
    <w:rsid w:val="426C7BE3"/>
    <w:rsid w:val="428A0FB4"/>
    <w:rsid w:val="42A6EF70"/>
    <w:rsid w:val="42AB128E"/>
    <w:rsid w:val="42B8F8C1"/>
    <w:rsid w:val="42B90E98"/>
    <w:rsid w:val="42BB09C4"/>
    <w:rsid w:val="42CF10BC"/>
    <w:rsid w:val="42D253D2"/>
    <w:rsid w:val="42DA10CD"/>
    <w:rsid w:val="42DE8626"/>
    <w:rsid w:val="4315DF96"/>
    <w:rsid w:val="4323D98C"/>
    <w:rsid w:val="432792F0"/>
    <w:rsid w:val="432982D4"/>
    <w:rsid w:val="432B1964"/>
    <w:rsid w:val="432B3A9A"/>
    <w:rsid w:val="4339E7DE"/>
    <w:rsid w:val="4344DB4B"/>
    <w:rsid w:val="434E82D2"/>
    <w:rsid w:val="4353C389"/>
    <w:rsid w:val="4361E0E9"/>
    <w:rsid w:val="43785A34"/>
    <w:rsid w:val="438A940F"/>
    <w:rsid w:val="4391AB09"/>
    <w:rsid w:val="439C99A8"/>
    <w:rsid w:val="43AC3982"/>
    <w:rsid w:val="43B32CC5"/>
    <w:rsid w:val="43C3557B"/>
    <w:rsid w:val="43CD5440"/>
    <w:rsid w:val="43DE6A73"/>
    <w:rsid w:val="43E0C573"/>
    <w:rsid w:val="43E17C28"/>
    <w:rsid w:val="43E64ECA"/>
    <w:rsid w:val="43ED9A49"/>
    <w:rsid w:val="4400EBCC"/>
    <w:rsid w:val="440EA8FF"/>
    <w:rsid w:val="44121E18"/>
    <w:rsid w:val="441BB531"/>
    <w:rsid w:val="442C8516"/>
    <w:rsid w:val="442E7612"/>
    <w:rsid w:val="442ED03A"/>
    <w:rsid w:val="444EF98A"/>
    <w:rsid w:val="4459DC21"/>
    <w:rsid w:val="445E6046"/>
    <w:rsid w:val="446695A5"/>
    <w:rsid w:val="447FDB19"/>
    <w:rsid w:val="4483A8A6"/>
    <w:rsid w:val="44A234BD"/>
    <w:rsid w:val="44A5DFFF"/>
    <w:rsid w:val="44A8C36E"/>
    <w:rsid w:val="44A9684F"/>
    <w:rsid w:val="44A9BA52"/>
    <w:rsid w:val="44AB6A56"/>
    <w:rsid w:val="44BA151B"/>
    <w:rsid w:val="44BB52BA"/>
    <w:rsid w:val="44C0310A"/>
    <w:rsid w:val="44D77AFE"/>
    <w:rsid w:val="44ED9923"/>
    <w:rsid w:val="44F33416"/>
    <w:rsid w:val="44F81C3D"/>
    <w:rsid w:val="44FAC96D"/>
    <w:rsid w:val="45099937"/>
    <w:rsid w:val="452DEC74"/>
    <w:rsid w:val="4534E61F"/>
    <w:rsid w:val="453E9A71"/>
    <w:rsid w:val="455877CA"/>
    <w:rsid w:val="45627CA6"/>
    <w:rsid w:val="4566E25A"/>
    <w:rsid w:val="457BAF33"/>
    <w:rsid w:val="4587F9FC"/>
    <w:rsid w:val="4589528B"/>
    <w:rsid w:val="458F8641"/>
    <w:rsid w:val="459C40D2"/>
    <w:rsid w:val="459DD3E2"/>
    <w:rsid w:val="45A941D8"/>
    <w:rsid w:val="45B40440"/>
    <w:rsid w:val="45B7A7C2"/>
    <w:rsid w:val="45BB76D2"/>
    <w:rsid w:val="45CA4360"/>
    <w:rsid w:val="45D1392E"/>
    <w:rsid w:val="45D3B432"/>
    <w:rsid w:val="45E6671B"/>
    <w:rsid w:val="45E7B916"/>
    <w:rsid w:val="45F067D4"/>
    <w:rsid w:val="45FCC9B2"/>
    <w:rsid w:val="4612FF73"/>
    <w:rsid w:val="4651C3AE"/>
    <w:rsid w:val="46578695"/>
    <w:rsid w:val="466BB3EA"/>
    <w:rsid w:val="4678AA3B"/>
    <w:rsid w:val="4680A9FF"/>
    <w:rsid w:val="468C8B73"/>
    <w:rsid w:val="4691216A"/>
    <w:rsid w:val="4694438F"/>
    <w:rsid w:val="46A3E6E1"/>
    <w:rsid w:val="46ACD27D"/>
    <w:rsid w:val="46ADDF3A"/>
    <w:rsid w:val="46BEF69C"/>
    <w:rsid w:val="46C4122E"/>
    <w:rsid w:val="46CE9790"/>
    <w:rsid w:val="46D60578"/>
    <w:rsid w:val="46EAA281"/>
    <w:rsid w:val="46F1016C"/>
    <w:rsid w:val="46FB7136"/>
    <w:rsid w:val="472DA4F3"/>
    <w:rsid w:val="4734904B"/>
    <w:rsid w:val="473CB103"/>
    <w:rsid w:val="475A2168"/>
    <w:rsid w:val="475FEFEF"/>
    <w:rsid w:val="476A5049"/>
    <w:rsid w:val="4777BF47"/>
    <w:rsid w:val="477E9F8E"/>
    <w:rsid w:val="4795054B"/>
    <w:rsid w:val="47B24CD3"/>
    <w:rsid w:val="47BA9737"/>
    <w:rsid w:val="47CBA923"/>
    <w:rsid w:val="47D4ECD2"/>
    <w:rsid w:val="47DBE34C"/>
    <w:rsid w:val="47DE45A0"/>
    <w:rsid w:val="47E1F23A"/>
    <w:rsid w:val="47F53A04"/>
    <w:rsid w:val="47FFB977"/>
    <w:rsid w:val="4805580F"/>
    <w:rsid w:val="4810B5DC"/>
    <w:rsid w:val="48238201"/>
    <w:rsid w:val="482E3C3D"/>
    <w:rsid w:val="4835B384"/>
    <w:rsid w:val="4836FFC1"/>
    <w:rsid w:val="483F5A71"/>
    <w:rsid w:val="4844EC9F"/>
    <w:rsid w:val="4847B74B"/>
    <w:rsid w:val="484CDE96"/>
    <w:rsid w:val="48550C3F"/>
    <w:rsid w:val="485A0331"/>
    <w:rsid w:val="485A5F45"/>
    <w:rsid w:val="485E35B9"/>
    <w:rsid w:val="48604297"/>
    <w:rsid w:val="48687642"/>
    <w:rsid w:val="48777EDC"/>
    <w:rsid w:val="487D004E"/>
    <w:rsid w:val="488A876E"/>
    <w:rsid w:val="48ABAC27"/>
    <w:rsid w:val="48AE8EDD"/>
    <w:rsid w:val="48B68951"/>
    <w:rsid w:val="48BD8EB5"/>
    <w:rsid w:val="48C2AB18"/>
    <w:rsid w:val="48C372A4"/>
    <w:rsid w:val="48C5D4D8"/>
    <w:rsid w:val="48CFF003"/>
    <w:rsid w:val="48D72278"/>
    <w:rsid w:val="48D9B740"/>
    <w:rsid w:val="48EDDD77"/>
    <w:rsid w:val="4901A609"/>
    <w:rsid w:val="490F585D"/>
    <w:rsid w:val="49171538"/>
    <w:rsid w:val="492C182D"/>
    <w:rsid w:val="494CA106"/>
    <w:rsid w:val="4957DBEB"/>
    <w:rsid w:val="495F54E8"/>
    <w:rsid w:val="49685051"/>
    <w:rsid w:val="496D7391"/>
    <w:rsid w:val="496E27E7"/>
    <w:rsid w:val="49728F94"/>
    <w:rsid w:val="4974E68E"/>
    <w:rsid w:val="497E1728"/>
    <w:rsid w:val="49880785"/>
    <w:rsid w:val="49AFD596"/>
    <w:rsid w:val="49C2583C"/>
    <w:rsid w:val="49C32BD2"/>
    <w:rsid w:val="49C77F8C"/>
    <w:rsid w:val="49C9E6F1"/>
    <w:rsid w:val="49D49B0B"/>
    <w:rsid w:val="49D6080C"/>
    <w:rsid w:val="49DC9A0F"/>
    <w:rsid w:val="49DE2AFF"/>
    <w:rsid w:val="49E039C7"/>
    <w:rsid w:val="49F12C63"/>
    <w:rsid w:val="49F379A8"/>
    <w:rsid w:val="4A0F8480"/>
    <w:rsid w:val="4A358808"/>
    <w:rsid w:val="4A560326"/>
    <w:rsid w:val="4A82B569"/>
    <w:rsid w:val="4A93257A"/>
    <w:rsid w:val="4AAF7BD0"/>
    <w:rsid w:val="4AB1DF9A"/>
    <w:rsid w:val="4AB9A479"/>
    <w:rsid w:val="4ABECEC4"/>
    <w:rsid w:val="4AD8CA0B"/>
    <w:rsid w:val="4ADBEBFA"/>
    <w:rsid w:val="4ADDFE08"/>
    <w:rsid w:val="4ADEA1A4"/>
    <w:rsid w:val="4ADF44DE"/>
    <w:rsid w:val="4AF337D9"/>
    <w:rsid w:val="4AF9BE09"/>
    <w:rsid w:val="4B00E7EC"/>
    <w:rsid w:val="4B253E49"/>
    <w:rsid w:val="4B27FFCB"/>
    <w:rsid w:val="4B316730"/>
    <w:rsid w:val="4B482A64"/>
    <w:rsid w:val="4B54B85B"/>
    <w:rsid w:val="4B9482D8"/>
    <w:rsid w:val="4BA25D01"/>
    <w:rsid w:val="4BA86DA5"/>
    <w:rsid w:val="4BACDC37"/>
    <w:rsid w:val="4BB3E14E"/>
    <w:rsid w:val="4BC06306"/>
    <w:rsid w:val="4BC8B968"/>
    <w:rsid w:val="4BD4BFEF"/>
    <w:rsid w:val="4BE605F4"/>
    <w:rsid w:val="4C136600"/>
    <w:rsid w:val="4C137E51"/>
    <w:rsid w:val="4C139C87"/>
    <w:rsid w:val="4C26599D"/>
    <w:rsid w:val="4C29F94F"/>
    <w:rsid w:val="4C2B1076"/>
    <w:rsid w:val="4C4763AC"/>
    <w:rsid w:val="4C479B5C"/>
    <w:rsid w:val="4C4F4A4C"/>
    <w:rsid w:val="4C6032DF"/>
    <w:rsid w:val="4C622318"/>
    <w:rsid w:val="4C643072"/>
    <w:rsid w:val="4C6BF803"/>
    <w:rsid w:val="4C6F2772"/>
    <w:rsid w:val="4C7A452C"/>
    <w:rsid w:val="4C802BBC"/>
    <w:rsid w:val="4C8828F5"/>
    <w:rsid w:val="4C8C80DB"/>
    <w:rsid w:val="4C9F6B2E"/>
    <w:rsid w:val="4CA0DC1F"/>
    <w:rsid w:val="4CB09BB1"/>
    <w:rsid w:val="4CBBCF9B"/>
    <w:rsid w:val="4CBEC711"/>
    <w:rsid w:val="4D0D5A97"/>
    <w:rsid w:val="4D15645F"/>
    <w:rsid w:val="4D1BF9A3"/>
    <w:rsid w:val="4D217A86"/>
    <w:rsid w:val="4D477F79"/>
    <w:rsid w:val="4D49848F"/>
    <w:rsid w:val="4D657B8B"/>
    <w:rsid w:val="4D66D747"/>
    <w:rsid w:val="4D6EA777"/>
    <w:rsid w:val="4D776A2F"/>
    <w:rsid w:val="4D78664E"/>
    <w:rsid w:val="4D79B6DC"/>
    <w:rsid w:val="4D7A3181"/>
    <w:rsid w:val="4D878B90"/>
    <w:rsid w:val="4D93DCD6"/>
    <w:rsid w:val="4D9B07AB"/>
    <w:rsid w:val="4D9E6427"/>
    <w:rsid w:val="4DAA11B3"/>
    <w:rsid w:val="4DAAA5CE"/>
    <w:rsid w:val="4DAD251C"/>
    <w:rsid w:val="4DAE253C"/>
    <w:rsid w:val="4DB4DEE7"/>
    <w:rsid w:val="4DB58D6F"/>
    <w:rsid w:val="4DBCBE38"/>
    <w:rsid w:val="4DC338F5"/>
    <w:rsid w:val="4DC3F1A4"/>
    <w:rsid w:val="4DE30301"/>
    <w:rsid w:val="4DFDCCD1"/>
    <w:rsid w:val="4DFF8B32"/>
    <w:rsid w:val="4E0B3DCF"/>
    <w:rsid w:val="4E0CAA73"/>
    <w:rsid w:val="4E0DF9DB"/>
    <w:rsid w:val="4E262BA5"/>
    <w:rsid w:val="4E2ACF99"/>
    <w:rsid w:val="4E2D8D48"/>
    <w:rsid w:val="4E30F26E"/>
    <w:rsid w:val="4E32D402"/>
    <w:rsid w:val="4E51545A"/>
    <w:rsid w:val="4E5A1127"/>
    <w:rsid w:val="4E5E381D"/>
    <w:rsid w:val="4E626638"/>
    <w:rsid w:val="4E7A7787"/>
    <w:rsid w:val="4E7F0ED3"/>
    <w:rsid w:val="4EA2D851"/>
    <w:rsid w:val="4EA6F1F5"/>
    <w:rsid w:val="4EAC00A9"/>
    <w:rsid w:val="4EC8752D"/>
    <w:rsid w:val="4ECF99BD"/>
    <w:rsid w:val="4ED06594"/>
    <w:rsid w:val="4ED110C0"/>
    <w:rsid w:val="4ED17533"/>
    <w:rsid w:val="4EE03FC9"/>
    <w:rsid w:val="4EE9F23E"/>
    <w:rsid w:val="4EF2F8C7"/>
    <w:rsid w:val="4EFCB72D"/>
    <w:rsid w:val="4EFE0F5D"/>
    <w:rsid w:val="4F1057B6"/>
    <w:rsid w:val="4F16E821"/>
    <w:rsid w:val="4F2C204F"/>
    <w:rsid w:val="4F2DF3E1"/>
    <w:rsid w:val="4F373A3A"/>
    <w:rsid w:val="4F57FD49"/>
    <w:rsid w:val="4F5D610B"/>
    <w:rsid w:val="4F80ED8A"/>
    <w:rsid w:val="4F815C7B"/>
    <w:rsid w:val="4F897A80"/>
    <w:rsid w:val="4F9E8079"/>
    <w:rsid w:val="4FBA8EEE"/>
    <w:rsid w:val="4FC569AB"/>
    <w:rsid w:val="4FCD3EDD"/>
    <w:rsid w:val="4FDBDF4C"/>
    <w:rsid w:val="4FDC5FC8"/>
    <w:rsid w:val="4FED6EE8"/>
    <w:rsid w:val="50087F9D"/>
    <w:rsid w:val="5015F889"/>
    <w:rsid w:val="501715C2"/>
    <w:rsid w:val="501A4CC4"/>
    <w:rsid w:val="50225F28"/>
    <w:rsid w:val="5028F29B"/>
    <w:rsid w:val="502A5247"/>
    <w:rsid w:val="503E00E2"/>
    <w:rsid w:val="504D440F"/>
    <w:rsid w:val="5053C5D0"/>
    <w:rsid w:val="505A5800"/>
    <w:rsid w:val="50655A3B"/>
    <w:rsid w:val="506D5ACE"/>
    <w:rsid w:val="5081F7E6"/>
    <w:rsid w:val="508395CE"/>
    <w:rsid w:val="5085D2F7"/>
    <w:rsid w:val="50863007"/>
    <w:rsid w:val="508E434B"/>
    <w:rsid w:val="509A5E8B"/>
    <w:rsid w:val="50A0BFFA"/>
    <w:rsid w:val="50B1C2B4"/>
    <w:rsid w:val="50B20ADA"/>
    <w:rsid w:val="50B57D5B"/>
    <w:rsid w:val="50D25452"/>
    <w:rsid w:val="50DAF88F"/>
    <w:rsid w:val="50EB11B4"/>
    <w:rsid w:val="50EDFD2A"/>
    <w:rsid w:val="50F99A00"/>
    <w:rsid w:val="50FE3D37"/>
    <w:rsid w:val="50FF05C3"/>
    <w:rsid w:val="5100F917"/>
    <w:rsid w:val="510D9F5B"/>
    <w:rsid w:val="5114FF5B"/>
    <w:rsid w:val="511FC01B"/>
    <w:rsid w:val="51394C61"/>
    <w:rsid w:val="514238B4"/>
    <w:rsid w:val="5148E792"/>
    <w:rsid w:val="51491E4C"/>
    <w:rsid w:val="515A7113"/>
    <w:rsid w:val="516691CB"/>
    <w:rsid w:val="5166C19F"/>
    <w:rsid w:val="517C795C"/>
    <w:rsid w:val="519E86C4"/>
    <w:rsid w:val="51A209A6"/>
    <w:rsid w:val="51A8C88E"/>
    <w:rsid w:val="51B9C55E"/>
    <w:rsid w:val="51BFEC59"/>
    <w:rsid w:val="51CA2BCB"/>
    <w:rsid w:val="51CF7736"/>
    <w:rsid w:val="51DE6982"/>
    <w:rsid w:val="51E20BFC"/>
    <w:rsid w:val="51F11C46"/>
    <w:rsid w:val="520596AE"/>
    <w:rsid w:val="520EA082"/>
    <w:rsid w:val="52197FDF"/>
    <w:rsid w:val="5242BBBB"/>
    <w:rsid w:val="5248760F"/>
    <w:rsid w:val="52592366"/>
    <w:rsid w:val="5264B86F"/>
    <w:rsid w:val="5276D208"/>
    <w:rsid w:val="527B0287"/>
    <w:rsid w:val="527D9FA1"/>
    <w:rsid w:val="52A1F0F7"/>
    <w:rsid w:val="52B2BE08"/>
    <w:rsid w:val="52DAC279"/>
    <w:rsid w:val="52E891E7"/>
    <w:rsid w:val="52F86041"/>
    <w:rsid w:val="530739DF"/>
    <w:rsid w:val="530F86F4"/>
    <w:rsid w:val="531350D1"/>
    <w:rsid w:val="531CE1E5"/>
    <w:rsid w:val="53280285"/>
    <w:rsid w:val="532EA7AB"/>
    <w:rsid w:val="533B842F"/>
    <w:rsid w:val="5345D922"/>
    <w:rsid w:val="5364FFF2"/>
    <w:rsid w:val="536E8D59"/>
    <w:rsid w:val="5386E23B"/>
    <w:rsid w:val="538B8C2D"/>
    <w:rsid w:val="539D73D1"/>
    <w:rsid w:val="53A24989"/>
    <w:rsid w:val="53AC3F8B"/>
    <w:rsid w:val="53C3F8F4"/>
    <w:rsid w:val="53DB1B81"/>
    <w:rsid w:val="53DB9DD9"/>
    <w:rsid w:val="53E84507"/>
    <w:rsid w:val="53ECB9DD"/>
    <w:rsid w:val="53F8BBDF"/>
    <w:rsid w:val="53FCD31B"/>
    <w:rsid w:val="5400FD03"/>
    <w:rsid w:val="54022879"/>
    <w:rsid w:val="54082046"/>
    <w:rsid w:val="540A82C5"/>
    <w:rsid w:val="5424642A"/>
    <w:rsid w:val="542E726C"/>
    <w:rsid w:val="5435660C"/>
    <w:rsid w:val="5437866B"/>
    <w:rsid w:val="54415A81"/>
    <w:rsid w:val="545817F8"/>
    <w:rsid w:val="5468C223"/>
    <w:rsid w:val="54776CE8"/>
    <w:rsid w:val="549982C4"/>
    <w:rsid w:val="54A732EB"/>
    <w:rsid w:val="54ADC648"/>
    <w:rsid w:val="54BB41B0"/>
    <w:rsid w:val="54C0D57E"/>
    <w:rsid w:val="54C37B6F"/>
    <w:rsid w:val="54C72364"/>
    <w:rsid w:val="54C7CE16"/>
    <w:rsid w:val="54D843C9"/>
    <w:rsid w:val="54F7EC80"/>
    <w:rsid w:val="54F920B2"/>
    <w:rsid w:val="54FA3576"/>
    <w:rsid w:val="551F5DDC"/>
    <w:rsid w:val="552FAD61"/>
    <w:rsid w:val="55377CC9"/>
    <w:rsid w:val="553CF2FA"/>
    <w:rsid w:val="5551947E"/>
    <w:rsid w:val="555A421A"/>
    <w:rsid w:val="555C9A32"/>
    <w:rsid w:val="555E1ED0"/>
    <w:rsid w:val="555FE7F5"/>
    <w:rsid w:val="55739C24"/>
    <w:rsid w:val="558F7EDC"/>
    <w:rsid w:val="559A572B"/>
    <w:rsid w:val="55A114DB"/>
    <w:rsid w:val="55A64489"/>
    <w:rsid w:val="55B29AAE"/>
    <w:rsid w:val="55C73ECD"/>
    <w:rsid w:val="55D6DEFD"/>
    <w:rsid w:val="55D87E9A"/>
    <w:rsid w:val="55D9ADF9"/>
    <w:rsid w:val="55DE6BFA"/>
    <w:rsid w:val="55DF7406"/>
    <w:rsid w:val="55E08CD1"/>
    <w:rsid w:val="55ED2462"/>
    <w:rsid w:val="55ED303A"/>
    <w:rsid w:val="5616D9F3"/>
    <w:rsid w:val="5627033A"/>
    <w:rsid w:val="5627471C"/>
    <w:rsid w:val="562BB320"/>
    <w:rsid w:val="56338292"/>
    <w:rsid w:val="563927CD"/>
    <w:rsid w:val="5640E7BB"/>
    <w:rsid w:val="564DDEFC"/>
    <w:rsid w:val="564F7522"/>
    <w:rsid w:val="5657398A"/>
    <w:rsid w:val="5659570B"/>
    <w:rsid w:val="5661571C"/>
    <w:rsid w:val="566AD125"/>
    <w:rsid w:val="566B8028"/>
    <w:rsid w:val="566DA0DE"/>
    <w:rsid w:val="56748437"/>
    <w:rsid w:val="567732D4"/>
    <w:rsid w:val="5697FBDE"/>
    <w:rsid w:val="5699616D"/>
    <w:rsid w:val="56A86D67"/>
    <w:rsid w:val="56B445B9"/>
    <w:rsid w:val="56B84FB2"/>
    <w:rsid w:val="5707759F"/>
    <w:rsid w:val="573365B5"/>
    <w:rsid w:val="57342410"/>
    <w:rsid w:val="5749C3A8"/>
    <w:rsid w:val="574A6F05"/>
    <w:rsid w:val="575B44BB"/>
    <w:rsid w:val="5761E481"/>
    <w:rsid w:val="576A23BF"/>
    <w:rsid w:val="576E2937"/>
    <w:rsid w:val="57915138"/>
    <w:rsid w:val="57A87731"/>
    <w:rsid w:val="57ABBB3C"/>
    <w:rsid w:val="57D5089A"/>
    <w:rsid w:val="57F6C2D0"/>
    <w:rsid w:val="57FF3F34"/>
    <w:rsid w:val="5809E9E6"/>
    <w:rsid w:val="580E77DD"/>
    <w:rsid w:val="5813266C"/>
    <w:rsid w:val="58135AFE"/>
    <w:rsid w:val="5818DD9B"/>
    <w:rsid w:val="5819CD15"/>
    <w:rsid w:val="5845289D"/>
    <w:rsid w:val="584AF935"/>
    <w:rsid w:val="585A8CAA"/>
    <w:rsid w:val="5862A0AF"/>
    <w:rsid w:val="586E4BF2"/>
    <w:rsid w:val="58A83879"/>
    <w:rsid w:val="58B2622B"/>
    <w:rsid w:val="58D9C0AC"/>
    <w:rsid w:val="58E79BA0"/>
    <w:rsid w:val="58E7E72D"/>
    <w:rsid w:val="58EE1204"/>
    <w:rsid w:val="58FCC6D8"/>
    <w:rsid w:val="58FDE4D5"/>
    <w:rsid w:val="58FE93F0"/>
    <w:rsid w:val="5909185E"/>
    <w:rsid w:val="590E4C5F"/>
    <w:rsid w:val="591C2387"/>
    <w:rsid w:val="591C96E1"/>
    <w:rsid w:val="591F5968"/>
    <w:rsid w:val="5924C524"/>
    <w:rsid w:val="5928B244"/>
    <w:rsid w:val="5939B907"/>
    <w:rsid w:val="5946FA4F"/>
    <w:rsid w:val="594A12DE"/>
    <w:rsid w:val="594EE8C4"/>
    <w:rsid w:val="595D1FDE"/>
    <w:rsid w:val="595D3351"/>
    <w:rsid w:val="596B02F3"/>
    <w:rsid w:val="596BE735"/>
    <w:rsid w:val="59740E05"/>
    <w:rsid w:val="597C48FF"/>
    <w:rsid w:val="5984B506"/>
    <w:rsid w:val="5985BA34"/>
    <w:rsid w:val="59989D63"/>
    <w:rsid w:val="59A19402"/>
    <w:rsid w:val="59B84FFD"/>
    <w:rsid w:val="59E5B724"/>
    <w:rsid w:val="59E6EEE3"/>
    <w:rsid w:val="59E92A91"/>
    <w:rsid w:val="5A01476B"/>
    <w:rsid w:val="5A080DDA"/>
    <w:rsid w:val="5A10A667"/>
    <w:rsid w:val="5A1E3A68"/>
    <w:rsid w:val="5A23FB3D"/>
    <w:rsid w:val="5A2CE347"/>
    <w:rsid w:val="5A48D239"/>
    <w:rsid w:val="5A4DAC77"/>
    <w:rsid w:val="5A657456"/>
    <w:rsid w:val="5A6656F9"/>
    <w:rsid w:val="5A72CC78"/>
    <w:rsid w:val="5A7C1A7F"/>
    <w:rsid w:val="5AAB6553"/>
    <w:rsid w:val="5AB183BE"/>
    <w:rsid w:val="5AB489DD"/>
    <w:rsid w:val="5AB9B6FD"/>
    <w:rsid w:val="5AC20B6B"/>
    <w:rsid w:val="5AD84087"/>
    <w:rsid w:val="5AEB831B"/>
    <w:rsid w:val="5AF2962A"/>
    <w:rsid w:val="5B01B865"/>
    <w:rsid w:val="5B062EAC"/>
    <w:rsid w:val="5B0C64C4"/>
    <w:rsid w:val="5B221981"/>
    <w:rsid w:val="5B3F7636"/>
    <w:rsid w:val="5B433E12"/>
    <w:rsid w:val="5B47AF3F"/>
    <w:rsid w:val="5B4FCF8F"/>
    <w:rsid w:val="5B55B0F3"/>
    <w:rsid w:val="5B584E2F"/>
    <w:rsid w:val="5B597E8F"/>
    <w:rsid w:val="5B5B1023"/>
    <w:rsid w:val="5B5DC897"/>
    <w:rsid w:val="5B66DCDD"/>
    <w:rsid w:val="5B88AD88"/>
    <w:rsid w:val="5B902D6A"/>
    <w:rsid w:val="5B93AD15"/>
    <w:rsid w:val="5B9C3973"/>
    <w:rsid w:val="5BA41364"/>
    <w:rsid w:val="5BC70C8F"/>
    <w:rsid w:val="5BFD04CA"/>
    <w:rsid w:val="5C00DED2"/>
    <w:rsid w:val="5C12CAFF"/>
    <w:rsid w:val="5C16D6A0"/>
    <w:rsid w:val="5C209A94"/>
    <w:rsid w:val="5C23D8F7"/>
    <w:rsid w:val="5C274003"/>
    <w:rsid w:val="5C2EDFF6"/>
    <w:rsid w:val="5C3CEBCF"/>
    <w:rsid w:val="5C474E82"/>
    <w:rsid w:val="5C4AF22F"/>
    <w:rsid w:val="5C550C20"/>
    <w:rsid w:val="5C826BCD"/>
    <w:rsid w:val="5C8DE685"/>
    <w:rsid w:val="5CA10031"/>
    <w:rsid w:val="5CA29240"/>
    <w:rsid w:val="5CA5A386"/>
    <w:rsid w:val="5CAC19CF"/>
    <w:rsid w:val="5CBD9FEA"/>
    <w:rsid w:val="5CBE11B4"/>
    <w:rsid w:val="5CC2B13B"/>
    <w:rsid w:val="5CCA74F6"/>
    <w:rsid w:val="5CCE442C"/>
    <w:rsid w:val="5CF16C1D"/>
    <w:rsid w:val="5CF7F977"/>
    <w:rsid w:val="5D02829D"/>
    <w:rsid w:val="5D0EF817"/>
    <w:rsid w:val="5D13D925"/>
    <w:rsid w:val="5D1C3B98"/>
    <w:rsid w:val="5D22DF4A"/>
    <w:rsid w:val="5D2C6739"/>
    <w:rsid w:val="5D2DC481"/>
    <w:rsid w:val="5D2ED239"/>
    <w:rsid w:val="5D3CDAC4"/>
    <w:rsid w:val="5D449CA5"/>
    <w:rsid w:val="5D4CC9D7"/>
    <w:rsid w:val="5D52E261"/>
    <w:rsid w:val="5D619D0D"/>
    <w:rsid w:val="5D6FE4A3"/>
    <w:rsid w:val="5D7F744E"/>
    <w:rsid w:val="5D8A9F7B"/>
    <w:rsid w:val="5DA3D4B6"/>
    <w:rsid w:val="5DA47E0C"/>
    <w:rsid w:val="5DAC3243"/>
    <w:rsid w:val="5DB82D9B"/>
    <w:rsid w:val="5DB92B24"/>
    <w:rsid w:val="5DC48E75"/>
    <w:rsid w:val="5DC8FB27"/>
    <w:rsid w:val="5DD52B45"/>
    <w:rsid w:val="5DDDCF4C"/>
    <w:rsid w:val="5DF2CA8B"/>
    <w:rsid w:val="5E105B5D"/>
    <w:rsid w:val="5E1A3EEE"/>
    <w:rsid w:val="5E2145E5"/>
    <w:rsid w:val="5E224487"/>
    <w:rsid w:val="5E3E4D7E"/>
    <w:rsid w:val="5E43DA28"/>
    <w:rsid w:val="5E44F233"/>
    <w:rsid w:val="5E57A3A6"/>
    <w:rsid w:val="5E7552CD"/>
    <w:rsid w:val="5E76F642"/>
    <w:rsid w:val="5E86DA9B"/>
    <w:rsid w:val="5E8AE174"/>
    <w:rsid w:val="5E94EA83"/>
    <w:rsid w:val="5E94F797"/>
    <w:rsid w:val="5E9C7712"/>
    <w:rsid w:val="5EBF2E73"/>
    <w:rsid w:val="5EBF80A0"/>
    <w:rsid w:val="5ECE6F61"/>
    <w:rsid w:val="5ECECA36"/>
    <w:rsid w:val="5EDC8F45"/>
    <w:rsid w:val="5EE48CE9"/>
    <w:rsid w:val="5EEF198F"/>
    <w:rsid w:val="5EF08BED"/>
    <w:rsid w:val="5EF7025B"/>
    <w:rsid w:val="5EFF06B9"/>
    <w:rsid w:val="5F1426C6"/>
    <w:rsid w:val="5F1F9394"/>
    <w:rsid w:val="5F34BFE2"/>
    <w:rsid w:val="5F359381"/>
    <w:rsid w:val="5F38E6E1"/>
    <w:rsid w:val="5F3EF544"/>
    <w:rsid w:val="5F4142A7"/>
    <w:rsid w:val="5F45F8CF"/>
    <w:rsid w:val="5F6D7753"/>
    <w:rsid w:val="5F6EA4FF"/>
    <w:rsid w:val="5F8B4311"/>
    <w:rsid w:val="5F98850D"/>
    <w:rsid w:val="5F9AF129"/>
    <w:rsid w:val="5FB1DDD9"/>
    <w:rsid w:val="5FCB2DD2"/>
    <w:rsid w:val="5FCFB6D2"/>
    <w:rsid w:val="5FD1BDB9"/>
    <w:rsid w:val="5FD2C5D0"/>
    <w:rsid w:val="5FE47A16"/>
    <w:rsid w:val="5FED0CD6"/>
    <w:rsid w:val="601D89F4"/>
    <w:rsid w:val="6026B1D5"/>
    <w:rsid w:val="6029C3E6"/>
    <w:rsid w:val="60470CA7"/>
    <w:rsid w:val="6049FD70"/>
    <w:rsid w:val="605536AD"/>
    <w:rsid w:val="606E7BBA"/>
    <w:rsid w:val="6072AC5A"/>
    <w:rsid w:val="6092DA01"/>
    <w:rsid w:val="60A19BA0"/>
    <w:rsid w:val="60A1D33C"/>
    <w:rsid w:val="60C31BCB"/>
    <w:rsid w:val="60DA0B9F"/>
    <w:rsid w:val="60DE170C"/>
    <w:rsid w:val="60E2135E"/>
    <w:rsid w:val="60E588B8"/>
    <w:rsid w:val="60F26735"/>
    <w:rsid w:val="61038212"/>
    <w:rsid w:val="61097EAB"/>
    <w:rsid w:val="612CA66B"/>
    <w:rsid w:val="6138D661"/>
    <w:rsid w:val="613A6A4A"/>
    <w:rsid w:val="613C7E59"/>
    <w:rsid w:val="614039AB"/>
    <w:rsid w:val="615294FB"/>
    <w:rsid w:val="6154950A"/>
    <w:rsid w:val="615719B7"/>
    <w:rsid w:val="61606006"/>
    <w:rsid w:val="61634BC0"/>
    <w:rsid w:val="617AB6B2"/>
    <w:rsid w:val="617C2715"/>
    <w:rsid w:val="618AE6E3"/>
    <w:rsid w:val="61D8557B"/>
    <w:rsid w:val="61DA2230"/>
    <w:rsid w:val="61DAC926"/>
    <w:rsid w:val="61EEFEAE"/>
    <w:rsid w:val="61F35B15"/>
    <w:rsid w:val="620A66EC"/>
    <w:rsid w:val="620D3315"/>
    <w:rsid w:val="6216337E"/>
    <w:rsid w:val="622A910D"/>
    <w:rsid w:val="622D7EF4"/>
    <w:rsid w:val="624F34CD"/>
    <w:rsid w:val="625B4069"/>
    <w:rsid w:val="626A1C09"/>
    <w:rsid w:val="626DA4E7"/>
    <w:rsid w:val="627093C9"/>
    <w:rsid w:val="62860145"/>
    <w:rsid w:val="62869772"/>
    <w:rsid w:val="62874084"/>
    <w:rsid w:val="628E24A8"/>
    <w:rsid w:val="62A07921"/>
    <w:rsid w:val="62B93B76"/>
    <w:rsid w:val="62C90F6F"/>
    <w:rsid w:val="62E52F91"/>
    <w:rsid w:val="62E613A6"/>
    <w:rsid w:val="62FD11B8"/>
    <w:rsid w:val="6304B687"/>
    <w:rsid w:val="630C00C7"/>
    <w:rsid w:val="6316796A"/>
    <w:rsid w:val="63174B4B"/>
    <w:rsid w:val="6322A50E"/>
    <w:rsid w:val="63360510"/>
    <w:rsid w:val="633754B1"/>
    <w:rsid w:val="6339C1C6"/>
    <w:rsid w:val="6388A28A"/>
    <w:rsid w:val="638C2852"/>
    <w:rsid w:val="638EEFB1"/>
    <w:rsid w:val="63937A9D"/>
    <w:rsid w:val="63A2EA0B"/>
    <w:rsid w:val="63A3D58E"/>
    <w:rsid w:val="63AF976E"/>
    <w:rsid w:val="63B11C39"/>
    <w:rsid w:val="63B3505F"/>
    <w:rsid w:val="63C5EA91"/>
    <w:rsid w:val="63CBCE62"/>
    <w:rsid w:val="63CD681E"/>
    <w:rsid w:val="63D9B58F"/>
    <w:rsid w:val="63ED682A"/>
    <w:rsid w:val="63F549EE"/>
    <w:rsid w:val="6403144D"/>
    <w:rsid w:val="64063833"/>
    <w:rsid w:val="6428A46C"/>
    <w:rsid w:val="64296AC9"/>
    <w:rsid w:val="642DD4FB"/>
    <w:rsid w:val="6436AF8A"/>
    <w:rsid w:val="6437D90B"/>
    <w:rsid w:val="643A7DA5"/>
    <w:rsid w:val="6455052B"/>
    <w:rsid w:val="645CCC55"/>
    <w:rsid w:val="6465DE3C"/>
    <w:rsid w:val="64683C03"/>
    <w:rsid w:val="646B7769"/>
    <w:rsid w:val="647775F5"/>
    <w:rsid w:val="647ADA85"/>
    <w:rsid w:val="649469A4"/>
    <w:rsid w:val="6494D2F3"/>
    <w:rsid w:val="64BFEA13"/>
    <w:rsid w:val="64C58403"/>
    <w:rsid w:val="64EFF35B"/>
    <w:rsid w:val="65025C5E"/>
    <w:rsid w:val="651E2196"/>
    <w:rsid w:val="65340CFD"/>
    <w:rsid w:val="654156BE"/>
    <w:rsid w:val="654B0C9A"/>
    <w:rsid w:val="6555C801"/>
    <w:rsid w:val="6562BD60"/>
    <w:rsid w:val="6566502D"/>
    <w:rsid w:val="6569387F"/>
    <w:rsid w:val="656BA732"/>
    <w:rsid w:val="6571AFF5"/>
    <w:rsid w:val="657A9735"/>
    <w:rsid w:val="657B513F"/>
    <w:rsid w:val="658A40BF"/>
    <w:rsid w:val="658DADA0"/>
    <w:rsid w:val="65904412"/>
    <w:rsid w:val="659C48B4"/>
    <w:rsid w:val="65B84D83"/>
    <w:rsid w:val="65C33BA3"/>
    <w:rsid w:val="65CCD008"/>
    <w:rsid w:val="65D3B7D2"/>
    <w:rsid w:val="65DB6A16"/>
    <w:rsid w:val="65DBF4ED"/>
    <w:rsid w:val="65E2F7DA"/>
    <w:rsid w:val="65EA6488"/>
    <w:rsid w:val="65F1C1C5"/>
    <w:rsid w:val="65FD5F85"/>
    <w:rsid w:val="661868E7"/>
    <w:rsid w:val="661B647A"/>
    <w:rsid w:val="661D5F17"/>
    <w:rsid w:val="66215102"/>
    <w:rsid w:val="66340D1E"/>
    <w:rsid w:val="66455101"/>
    <w:rsid w:val="664D72F6"/>
    <w:rsid w:val="6653D136"/>
    <w:rsid w:val="66861466"/>
    <w:rsid w:val="66991596"/>
    <w:rsid w:val="66A34FD3"/>
    <w:rsid w:val="66A79119"/>
    <w:rsid w:val="66AE6836"/>
    <w:rsid w:val="66B1655D"/>
    <w:rsid w:val="66B68C52"/>
    <w:rsid w:val="66BF5794"/>
    <w:rsid w:val="66C6F207"/>
    <w:rsid w:val="66CA30FA"/>
    <w:rsid w:val="66E71173"/>
    <w:rsid w:val="66E80B02"/>
    <w:rsid w:val="66EA3449"/>
    <w:rsid w:val="66F14AAD"/>
    <w:rsid w:val="66F7F817"/>
    <w:rsid w:val="670AC0CF"/>
    <w:rsid w:val="6716E634"/>
    <w:rsid w:val="67176664"/>
    <w:rsid w:val="6721B248"/>
    <w:rsid w:val="6724C44E"/>
    <w:rsid w:val="6736068F"/>
    <w:rsid w:val="673D0972"/>
    <w:rsid w:val="674F9944"/>
    <w:rsid w:val="67560F64"/>
    <w:rsid w:val="6757F495"/>
    <w:rsid w:val="676122C4"/>
    <w:rsid w:val="6767FD60"/>
    <w:rsid w:val="6773749B"/>
    <w:rsid w:val="677F6FD7"/>
    <w:rsid w:val="679D1A3E"/>
    <w:rsid w:val="679ED7D0"/>
    <w:rsid w:val="67A2D122"/>
    <w:rsid w:val="67AAFDA2"/>
    <w:rsid w:val="67CEDF82"/>
    <w:rsid w:val="67D38209"/>
    <w:rsid w:val="67DEB85A"/>
    <w:rsid w:val="67E31511"/>
    <w:rsid w:val="6824F272"/>
    <w:rsid w:val="68271EB6"/>
    <w:rsid w:val="68350EC9"/>
    <w:rsid w:val="683C1871"/>
    <w:rsid w:val="6855FDF5"/>
    <w:rsid w:val="6880A4A8"/>
    <w:rsid w:val="68844136"/>
    <w:rsid w:val="6895C9CC"/>
    <w:rsid w:val="68A2FBE1"/>
    <w:rsid w:val="68B261B8"/>
    <w:rsid w:val="68B4CB5D"/>
    <w:rsid w:val="68CB1E29"/>
    <w:rsid w:val="68D2A68C"/>
    <w:rsid w:val="68DA635B"/>
    <w:rsid w:val="68E40D09"/>
    <w:rsid w:val="68FFB610"/>
    <w:rsid w:val="690ADCD8"/>
    <w:rsid w:val="69192A03"/>
    <w:rsid w:val="691CF0DF"/>
    <w:rsid w:val="6922B5BB"/>
    <w:rsid w:val="69257710"/>
    <w:rsid w:val="6929202B"/>
    <w:rsid w:val="6945CECF"/>
    <w:rsid w:val="6945EEA4"/>
    <w:rsid w:val="6947BCFE"/>
    <w:rsid w:val="694D5A3C"/>
    <w:rsid w:val="6950275B"/>
    <w:rsid w:val="69580667"/>
    <w:rsid w:val="695DA90D"/>
    <w:rsid w:val="697F00E0"/>
    <w:rsid w:val="698D8D56"/>
    <w:rsid w:val="69904B59"/>
    <w:rsid w:val="6998198E"/>
    <w:rsid w:val="69A4C9A3"/>
    <w:rsid w:val="69D3C673"/>
    <w:rsid w:val="69DCBC63"/>
    <w:rsid w:val="69FADB3A"/>
    <w:rsid w:val="6A04E4ED"/>
    <w:rsid w:val="6A099B50"/>
    <w:rsid w:val="6A261829"/>
    <w:rsid w:val="6A276CD4"/>
    <w:rsid w:val="6A2C1559"/>
    <w:rsid w:val="6A303CE7"/>
    <w:rsid w:val="6A3052FE"/>
    <w:rsid w:val="6A3B7DF1"/>
    <w:rsid w:val="6A4496D5"/>
    <w:rsid w:val="6A47A539"/>
    <w:rsid w:val="6A50A1A8"/>
    <w:rsid w:val="6A521A2C"/>
    <w:rsid w:val="6A52597E"/>
    <w:rsid w:val="6A5F5221"/>
    <w:rsid w:val="6A8706DA"/>
    <w:rsid w:val="6A9B393C"/>
    <w:rsid w:val="6AAC11F9"/>
    <w:rsid w:val="6ABC04B8"/>
    <w:rsid w:val="6AC8A563"/>
    <w:rsid w:val="6ACAE351"/>
    <w:rsid w:val="6AD67892"/>
    <w:rsid w:val="6AE0D505"/>
    <w:rsid w:val="6AFBE634"/>
    <w:rsid w:val="6B013FB5"/>
    <w:rsid w:val="6B023774"/>
    <w:rsid w:val="6B45C1F6"/>
    <w:rsid w:val="6B4BF9F4"/>
    <w:rsid w:val="6B4F5F67"/>
    <w:rsid w:val="6B4FCA8F"/>
    <w:rsid w:val="6B534CA9"/>
    <w:rsid w:val="6B69F6FC"/>
    <w:rsid w:val="6B6BDFA7"/>
    <w:rsid w:val="6B708EA5"/>
    <w:rsid w:val="6B77586E"/>
    <w:rsid w:val="6B784F6B"/>
    <w:rsid w:val="6B804C87"/>
    <w:rsid w:val="6B89E8AA"/>
    <w:rsid w:val="6B94902A"/>
    <w:rsid w:val="6B958593"/>
    <w:rsid w:val="6B977148"/>
    <w:rsid w:val="6BBA31B6"/>
    <w:rsid w:val="6BD634AC"/>
    <w:rsid w:val="6BE32DD1"/>
    <w:rsid w:val="6BEF064F"/>
    <w:rsid w:val="6BFC2628"/>
    <w:rsid w:val="6BFC8BFA"/>
    <w:rsid w:val="6BFD7598"/>
    <w:rsid w:val="6C00099A"/>
    <w:rsid w:val="6C01F38C"/>
    <w:rsid w:val="6C15E542"/>
    <w:rsid w:val="6C273CA9"/>
    <w:rsid w:val="6C380B82"/>
    <w:rsid w:val="6C411F9F"/>
    <w:rsid w:val="6C51454B"/>
    <w:rsid w:val="6C578CFF"/>
    <w:rsid w:val="6C57BF04"/>
    <w:rsid w:val="6C58410C"/>
    <w:rsid w:val="6C6ABBA4"/>
    <w:rsid w:val="6C7034BA"/>
    <w:rsid w:val="6C73940D"/>
    <w:rsid w:val="6C7B1735"/>
    <w:rsid w:val="6C920F14"/>
    <w:rsid w:val="6C9245FE"/>
    <w:rsid w:val="6C934E34"/>
    <w:rsid w:val="6C9AD772"/>
    <w:rsid w:val="6C9E4D2E"/>
    <w:rsid w:val="6CB18711"/>
    <w:rsid w:val="6CBB9269"/>
    <w:rsid w:val="6CC11D67"/>
    <w:rsid w:val="6CCA5614"/>
    <w:rsid w:val="6CD05F7C"/>
    <w:rsid w:val="6CE22786"/>
    <w:rsid w:val="6CF83A0A"/>
    <w:rsid w:val="6CFDE88D"/>
    <w:rsid w:val="6CFF8224"/>
    <w:rsid w:val="6D00E6FA"/>
    <w:rsid w:val="6D0E79C8"/>
    <w:rsid w:val="6D1550F7"/>
    <w:rsid w:val="6D1E23AA"/>
    <w:rsid w:val="6D31A611"/>
    <w:rsid w:val="6D355869"/>
    <w:rsid w:val="6D382A70"/>
    <w:rsid w:val="6D40DE52"/>
    <w:rsid w:val="6D54459D"/>
    <w:rsid w:val="6D59735F"/>
    <w:rsid w:val="6D61F374"/>
    <w:rsid w:val="6D68F307"/>
    <w:rsid w:val="6D758B6A"/>
    <w:rsid w:val="6D8FA29A"/>
    <w:rsid w:val="6D926690"/>
    <w:rsid w:val="6D93DD05"/>
    <w:rsid w:val="6D9BB73B"/>
    <w:rsid w:val="6D9D2FFF"/>
    <w:rsid w:val="6DA55C4D"/>
    <w:rsid w:val="6DCC9603"/>
    <w:rsid w:val="6DD1CB02"/>
    <w:rsid w:val="6DE40B80"/>
    <w:rsid w:val="6DF40B00"/>
    <w:rsid w:val="6E135675"/>
    <w:rsid w:val="6E20A771"/>
    <w:rsid w:val="6E34187E"/>
    <w:rsid w:val="6E4F3646"/>
    <w:rsid w:val="6E525F09"/>
    <w:rsid w:val="6E643E69"/>
    <w:rsid w:val="6E6C7761"/>
    <w:rsid w:val="6E785E10"/>
    <w:rsid w:val="6E7FD279"/>
    <w:rsid w:val="6E90E6CE"/>
    <w:rsid w:val="6E911D63"/>
    <w:rsid w:val="6E92BFD0"/>
    <w:rsid w:val="6E97E2D2"/>
    <w:rsid w:val="6EC68A53"/>
    <w:rsid w:val="6EDA3EEE"/>
    <w:rsid w:val="6EE4E6B6"/>
    <w:rsid w:val="6EF0192F"/>
    <w:rsid w:val="6EF89CF1"/>
    <w:rsid w:val="6EFAAAD3"/>
    <w:rsid w:val="6F0ECD52"/>
    <w:rsid w:val="6F27B3DB"/>
    <w:rsid w:val="6F2B7FCA"/>
    <w:rsid w:val="6F402A13"/>
    <w:rsid w:val="6F46323D"/>
    <w:rsid w:val="6F4B7021"/>
    <w:rsid w:val="6F5A8F4C"/>
    <w:rsid w:val="6F5C4ADC"/>
    <w:rsid w:val="6F62618F"/>
    <w:rsid w:val="6F72A52D"/>
    <w:rsid w:val="6F7371E8"/>
    <w:rsid w:val="6F85B87A"/>
    <w:rsid w:val="6F8E10C4"/>
    <w:rsid w:val="6F90FFE5"/>
    <w:rsid w:val="6FD69DB5"/>
    <w:rsid w:val="6FE0AF9D"/>
    <w:rsid w:val="6FE35B76"/>
    <w:rsid w:val="6FE45F77"/>
    <w:rsid w:val="6FE6065A"/>
    <w:rsid w:val="6FE78C3C"/>
    <w:rsid w:val="6FFE1B41"/>
    <w:rsid w:val="70011569"/>
    <w:rsid w:val="70042471"/>
    <w:rsid w:val="700ABA35"/>
    <w:rsid w:val="700BCE1D"/>
    <w:rsid w:val="701A1B33"/>
    <w:rsid w:val="701BC763"/>
    <w:rsid w:val="70261FCF"/>
    <w:rsid w:val="702E5808"/>
    <w:rsid w:val="703265F7"/>
    <w:rsid w:val="7035B028"/>
    <w:rsid w:val="70461DCD"/>
    <w:rsid w:val="704A2FDC"/>
    <w:rsid w:val="704B4EFB"/>
    <w:rsid w:val="704C86CB"/>
    <w:rsid w:val="7050461D"/>
    <w:rsid w:val="706FB2FD"/>
    <w:rsid w:val="7084C508"/>
    <w:rsid w:val="70898C55"/>
    <w:rsid w:val="70949FC6"/>
    <w:rsid w:val="709B6F82"/>
    <w:rsid w:val="70A301F0"/>
    <w:rsid w:val="70B0C8D6"/>
    <w:rsid w:val="70B2DB4F"/>
    <w:rsid w:val="70CB32EA"/>
    <w:rsid w:val="70D63FF9"/>
    <w:rsid w:val="70F57B7E"/>
    <w:rsid w:val="70F5A74D"/>
    <w:rsid w:val="70F65FAD"/>
    <w:rsid w:val="7101991A"/>
    <w:rsid w:val="710C62B9"/>
    <w:rsid w:val="71104154"/>
    <w:rsid w:val="71121EDF"/>
    <w:rsid w:val="71444167"/>
    <w:rsid w:val="7150DA2F"/>
    <w:rsid w:val="715E5350"/>
    <w:rsid w:val="715F8F5E"/>
    <w:rsid w:val="71672669"/>
    <w:rsid w:val="7173E203"/>
    <w:rsid w:val="717AA2F8"/>
    <w:rsid w:val="71818F29"/>
    <w:rsid w:val="718317F6"/>
    <w:rsid w:val="71A18AEF"/>
    <w:rsid w:val="71AF51E8"/>
    <w:rsid w:val="71B91637"/>
    <w:rsid w:val="71BDB12D"/>
    <w:rsid w:val="71BF583D"/>
    <w:rsid w:val="71DA0F1E"/>
    <w:rsid w:val="71DA3D9D"/>
    <w:rsid w:val="71E173CF"/>
    <w:rsid w:val="7202C9D7"/>
    <w:rsid w:val="7212D48A"/>
    <w:rsid w:val="7215C1BA"/>
    <w:rsid w:val="72174ACD"/>
    <w:rsid w:val="72175E21"/>
    <w:rsid w:val="721A4666"/>
    <w:rsid w:val="7247EE16"/>
    <w:rsid w:val="7248D6BF"/>
    <w:rsid w:val="7249FD9D"/>
    <w:rsid w:val="72513BA9"/>
    <w:rsid w:val="726CCBB9"/>
    <w:rsid w:val="726FB322"/>
    <w:rsid w:val="727B2ADA"/>
    <w:rsid w:val="72802C29"/>
    <w:rsid w:val="7287B62B"/>
    <w:rsid w:val="72A8B6FA"/>
    <w:rsid w:val="72AB029F"/>
    <w:rsid w:val="72AF7445"/>
    <w:rsid w:val="72B04710"/>
    <w:rsid w:val="72B17F66"/>
    <w:rsid w:val="72B2B50C"/>
    <w:rsid w:val="72BB9A29"/>
    <w:rsid w:val="72E8BAF5"/>
    <w:rsid w:val="72EBC87F"/>
    <w:rsid w:val="730D6D97"/>
    <w:rsid w:val="7330EBDC"/>
    <w:rsid w:val="73345759"/>
    <w:rsid w:val="73479330"/>
    <w:rsid w:val="7352D0BF"/>
    <w:rsid w:val="735A02C2"/>
    <w:rsid w:val="735E4480"/>
    <w:rsid w:val="7387CA17"/>
    <w:rsid w:val="7389E029"/>
    <w:rsid w:val="738CFB63"/>
    <w:rsid w:val="7392C9CE"/>
    <w:rsid w:val="7396682E"/>
    <w:rsid w:val="73966BA5"/>
    <w:rsid w:val="73A1602B"/>
    <w:rsid w:val="73A5C80D"/>
    <w:rsid w:val="73AEE3A1"/>
    <w:rsid w:val="73B1254E"/>
    <w:rsid w:val="73BAAD62"/>
    <w:rsid w:val="73C33884"/>
    <w:rsid w:val="73CAF7AF"/>
    <w:rsid w:val="73E26237"/>
    <w:rsid w:val="73E5F0C9"/>
    <w:rsid w:val="74116A0A"/>
    <w:rsid w:val="7413C182"/>
    <w:rsid w:val="741C5F62"/>
    <w:rsid w:val="7439A84C"/>
    <w:rsid w:val="7452D8BD"/>
    <w:rsid w:val="7463947D"/>
    <w:rsid w:val="74736DC4"/>
    <w:rsid w:val="7473FE2B"/>
    <w:rsid w:val="7475449B"/>
    <w:rsid w:val="74755A0E"/>
    <w:rsid w:val="7478A5AA"/>
    <w:rsid w:val="747C0557"/>
    <w:rsid w:val="7488CC4F"/>
    <w:rsid w:val="7497E42A"/>
    <w:rsid w:val="74A2607F"/>
    <w:rsid w:val="74B14F18"/>
    <w:rsid w:val="74C5D82E"/>
    <w:rsid w:val="74C6AA81"/>
    <w:rsid w:val="74D74EDB"/>
    <w:rsid w:val="74DD3B7E"/>
    <w:rsid w:val="74DF142B"/>
    <w:rsid w:val="74FFB29B"/>
    <w:rsid w:val="75149E72"/>
    <w:rsid w:val="751BE278"/>
    <w:rsid w:val="75313C78"/>
    <w:rsid w:val="753628A0"/>
    <w:rsid w:val="753BE38F"/>
    <w:rsid w:val="75433EA1"/>
    <w:rsid w:val="7544BD00"/>
    <w:rsid w:val="75506AE9"/>
    <w:rsid w:val="75560455"/>
    <w:rsid w:val="75857F5D"/>
    <w:rsid w:val="7587D538"/>
    <w:rsid w:val="7588CE96"/>
    <w:rsid w:val="758AC155"/>
    <w:rsid w:val="75A293C4"/>
    <w:rsid w:val="75AF6569"/>
    <w:rsid w:val="75B3D90E"/>
    <w:rsid w:val="75B5F160"/>
    <w:rsid w:val="75B67C7F"/>
    <w:rsid w:val="75BC2A7D"/>
    <w:rsid w:val="75D2BC78"/>
    <w:rsid w:val="75D63FE4"/>
    <w:rsid w:val="760590C0"/>
    <w:rsid w:val="760A921C"/>
    <w:rsid w:val="760AED7F"/>
    <w:rsid w:val="7613BFFE"/>
    <w:rsid w:val="76328975"/>
    <w:rsid w:val="763B98F4"/>
    <w:rsid w:val="76549910"/>
    <w:rsid w:val="765FE56C"/>
    <w:rsid w:val="76682E21"/>
    <w:rsid w:val="766C3933"/>
    <w:rsid w:val="76764781"/>
    <w:rsid w:val="7689937E"/>
    <w:rsid w:val="76ACF2CD"/>
    <w:rsid w:val="76B9FEBE"/>
    <w:rsid w:val="76C0AA37"/>
    <w:rsid w:val="76C24C40"/>
    <w:rsid w:val="76D8D183"/>
    <w:rsid w:val="76DD1A5B"/>
    <w:rsid w:val="76E9A6DB"/>
    <w:rsid w:val="76EA6FFA"/>
    <w:rsid w:val="76ECB6DC"/>
    <w:rsid w:val="7734E767"/>
    <w:rsid w:val="773CEEEF"/>
    <w:rsid w:val="7741ECC4"/>
    <w:rsid w:val="776189EF"/>
    <w:rsid w:val="777D8F56"/>
    <w:rsid w:val="778F532B"/>
    <w:rsid w:val="77924355"/>
    <w:rsid w:val="77932F45"/>
    <w:rsid w:val="779F444C"/>
    <w:rsid w:val="77BCE3DB"/>
    <w:rsid w:val="77C15F49"/>
    <w:rsid w:val="77C9F035"/>
    <w:rsid w:val="77DC14AC"/>
    <w:rsid w:val="77EFE696"/>
    <w:rsid w:val="77F6D2B0"/>
    <w:rsid w:val="77F7C550"/>
    <w:rsid w:val="7807D6CF"/>
    <w:rsid w:val="78176F89"/>
    <w:rsid w:val="7832F151"/>
    <w:rsid w:val="7851F994"/>
    <w:rsid w:val="785293D2"/>
    <w:rsid w:val="7866D269"/>
    <w:rsid w:val="78691923"/>
    <w:rsid w:val="78807E6C"/>
    <w:rsid w:val="788D2052"/>
    <w:rsid w:val="78A9FAED"/>
    <w:rsid w:val="78AC0BE6"/>
    <w:rsid w:val="78B7E923"/>
    <w:rsid w:val="78C48F9D"/>
    <w:rsid w:val="78C65C9A"/>
    <w:rsid w:val="78D240C7"/>
    <w:rsid w:val="78D3AAC2"/>
    <w:rsid w:val="78E1F870"/>
    <w:rsid w:val="78F34F49"/>
    <w:rsid w:val="78F40D26"/>
    <w:rsid w:val="78F9B1D0"/>
    <w:rsid w:val="79155CF4"/>
    <w:rsid w:val="79159C9D"/>
    <w:rsid w:val="791E1161"/>
    <w:rsid w:val="79348E3F"/>
    <w:rsid w:val="793B26E2"/>
    <w:rsid w:val="795F99B5"/>
    <w:rsid w:val="79610822"/>
    <w:rsid w:val="79638B38"/>
    <w:rsid w:val="79648975"/>
    <w:rsid w:val="7974B74B"/>
    <w:rsid w:val="79A51AF6"/>
    <w:rsid w:val="79AA149F"/>
    <w:rsid w:val="79B2689D"/>
    <w:rsid w:val="79C1974E"/>
    <w:rsid w:val="79C44BF5"/>
    <w:rsid w:val="79D298B6"/>
    <w:rsid w:val="79DE0006"/>
    <w:rsid w:val="79E146BB"/>
    <w:rsid w:val="79E7EFDA"/>
    <w:rsid w:val="7A02032B"/>
    <w:rsid w:val="7A24DC3F"/>
    <w:rsid w:val="7A323B32"/>
    <w:rsid w:val="7A83D8CB"/>
    <w:rsid w:val="7A868535"/>
    <w:rsid w:val="7AA14464"/>
    <w:rsid w:val="7ACD0166"/>
    <w:rsid w:val="7AD36A08"/>
    <w:rsid w:val="7AE00C8B"/>
    <w:rsid w:val="7AE2139C"/>
    <w:rsid w:val="7AEB5242"/>
    <w:rsid w:val="7AF0C7A0"/>
    <w:rsid w:val="7B0E1C26"/>
    <w:rsid w:val="7B12515D"/>
    <w:rsid w:val="7B55DD6E"/>
    <w:rsid w:val="7B625E05"/>
    <w:rsid w:val="7B6AF47C"/>
    <w:rsid w:val="7B70AF3C"/>
    <w:rsid w:val="7B832191"/>
    <w:rsid w:val="7B8A03E7"/>
    <w:rsid w:val="7B92FE30"/>
    <w:rsid w:val="7B9D443B"/>
    <w:rsid w:val="7BA735AE"/>
    <w:rsid w:val="7BA76CDC"/>
    <w:rsid w:val="7BAB57E4"/>
    <w:rsid w:val="7BC83B4A"/>
    <w:rsid w:val="7BCB8A96"/>
    <w:rsid w:val="7BEB26D4"/>
    <w:rsid w:val="7BF0BF1E"/>
    <w:rsid w:val="7C01D2D8"/>
    <w:rsid w:val="7C0636D7"/>
    <w:rsid w:val="7C06EC47"/>
    <w:rsid w:val="7C124539"/>
    <w:rsid w:val="7C3A8F42"/>
    <w:rsid w:val="7C46536B"/>
    <w:rsid w:val="7C509320"/>
    <w:rsid w:val="7C591689"/>
    <w:rsid w:val="7C5C77D7"/>
    <w:rsid w:val="7C6415B1"/>
    <w:rsid w:val="7C835932"/>
    <w:rsid w:val="7C840B4F"/>
    <w:rsid w:val="7C8D2AD6"/>
    <w:rsid w:val="7C971E0E"/>
    <w:rsid w:val="7CA4C794"/>
    <w:rsid w:val="7CA8D96E"/>
    <w:rsid w:val="7CAB8475"/>
    <w:rsid w:val="7CB1E7A1"/>
    <w:rsid w:val="7CB7713D"/>
    <w:rsid w:val="7CD1B40C"/>
    <w:rsid w:val="7CD34148"/>
    <w:rsid w:val="7CD48481"/>
    <w:rsid w:val="7CDA2C14"/>
    <w:rsid w:val="7CDB6002"/>
    <w:rsid w:val="7CE662C9"/>
    <w:rsid w:val="7CFB4BEC"/>
    <w:rsid w:val="7D197EF7"/>
    <w:rsid w:val="7D221DE9"/>
    <w:rsid w:val="7D29B9BA"/>
    <w:rsid w:val="7D2E6E0A"/>
    <w:rsid w:val="7D32AF37"/>
    <w:rsid w:val="7D3A6B50"/>
    <w:rsid w:val="7D4A6560"/>
    <w:rsid w:val="7D59EF01"/>
    <w:rsid w:val="7D65EBC4"/>
    <w:rsid w:val="7D6D4C09"/>
    <w:rsid w:val="7D7B0381"/>
    <w:rsid w:val="7D7DB6C8"/>
    <w:rsid w:val="7D7F31F9"/>
    <w:rsid w:val="7D8F6109"/>
    <w:rsid w:val="7DBCD73C"/>
    <w:rsid w:val="7DBD3938"/>
    <w:rsid w:val="7DC58089"/>
    <w:rsid w:val="7DC680D3"/>
    <w:rsid w:val="7DFF3E84"/>
    <w:rsid w:val="7E0A8D69"/>
    <w:rsid w:val="7E1303D1"/>
    <w:rsid w:val="7E2D256E"/>
    <w:rsid w:val="7E2DE7C6"/>
    <w:rsid w:val="7E343BC9"/>
    <w:rsid w:val="7E4D2AB9"/>
    <w:rsid w:val="7E517F3C"/>
    <w:rsid w:val="7E5349C2"/>
    <w:rsid w:val="7E561646"/>
    <w:rsid w:val="7E56C476"/>
    <w:rsid w:val="7E74F704"/>
    <w:rsid w:val="7E885223"/>
    <w:rsid w:val="7E942273"/>
    <w:rsid w:val="7E988F77"/>
    <w:rsid w:val="7EABBE51"/>
    <w:rsid w:val="7EAD3CC9"/>
    <w:rsid w:val="7EB04B28"/>
    <w:rsid w:val="7EBE313C"/>
    <w:rsid w:val="7EBF0A5E"/>
    <w:rsid w:val="7EC09E57"/>
    <w:rsid w:val="7ECB852C"/>
    <w:rsid w:val="7EE4FDD0"/>
    <w:rsid w:val="7EE5FA12"/>
    <w:rsid w:val="7EFFA337"/>
    <w:rsid w:val="7F0992C6"/>
    <w:rsid w:val="7F0CC17B"/>
    <w:rsid w:val="7F0E4688"/>
    <w:rsid w:val="7F12FC3F"/>
    <w:rsid w:val="7F216405"/>
    <w:rsid w:val="7F297F1A"/>
    <w:rsid w:val="7F3EBC23"/>
    <w:rsid w:val="7F3FB741"/>
    <w:rsid w:val="7F3FEED2"/>
    <w:rsid w:val="7F42EC46"/>
    <w:rsid w:val="7F466F55"/>
    <w:rsid w:val="7F546225"/>
    <w:rsid w:val="7F5A2926"/>
    <w:rsid w:val="7F5C8F9C"/>
    <w:rsid w:val="7F624B4E"/>
    <w:rsid w:val="7F743F44"/>
    <w:rsid w:val="7F94BD8A"/>
    <w:rsid w:val="7FAA69B3"/>
    <w:rsid w:val="7FB01B98"/>
    <w:rsid w:val="7FC0065A"/>
    <w:rsid w:val="7FDB086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C6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cs="Times New Roman" w:eastAsiaTheme="minorHAnsi"/>
        <w:lang w:val="en-US"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uiPriority="0" w:semiHidden="1" w:unhideWhenUsed="1"/>
    <w:lsdException w:name="envelope return" w:uiPriority="0" w:semiHidden="1" w:unhideWhenUsed="1"/>
    <w:lsdException w:name="footnote reference" w:semiHidden="1" w:unhideWhenUsed="1"/>
    <w:lsdException w:name="annotation reference" w:semiHidden="1" w:unhideWhenUsed="1"/>
    <w:lsdException w:name="line number" w:semiHidden="1" w:unhideWhenUsed="1"/>
    <w:lsdException w:name="page number" w:uiPriority="94" w:semiHidden="1" w:unhideWhenUsed="1"/>
    <w:lsdException w:name="endnote reference" w:uiPriority="0" w:semiHidden="1" w:unhideWhenUsed="1"/>
    <w:lsdException w:name="endnote text" w:uiPriority="0" w:semiHidden="1" w:unhideWhenUsed="1"/>
    <w:lsdException w:name="table of authorities" w:semiHidden="1" w:unhideWhenUsed="1"/>
    <w:lsdException w:name="macro" w:semiHidden="1" w:unhideWhenUsed="1"/>
    <w:lsdException w:name="toa heading" w:uiPriority="0"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uiPriority="0" w:semiHidden="1" w:unhideWhenUsed="1" w:qFormat="1"/>
    <w:lsdException w:name="List Bullet 4" w:semiHidden="1" w:unhideWhenUsed="1"/>
    <w:lsdException w:name="List Bullet 5" w:semiHidden="1" w:unhideWhenUsed="1"/>
    <w:lsdException w:name="List Number 2" w:semiHidden="1" w:unhideWhenUsed="1"/>
    <w:lsdException w:name="List Number 3" w:uiPriority="0"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uiPriority="0" w:semiHidden="1" w:unhideWhenUsed="1"/>
    <w:lsdException w:name="Default Paragraph Font" w:uiPriority="1" w:semiHidden="1" w:unhideWhenUsed="1"/>
    <w:lsdException w:name="Body Text" w:uiPriority="0" w:semiHidden="1" w:qFormat="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uiPriority="94" w:semiHidden="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uiPriority="0" w:semiHidden="1" w:unhideWhenUsed="1" w:qFormat="1"/>
    <w:lsdException w:name="Body Text First Indent 2" w:uiPriority="0" w:semiHidden="1" w:unhideWhenUsed="1" w:qFormat="1"/>
    <w:lsdException w:name="Note Heading" w:semiHidden="1"/>
    <w:lsdException w:name="Body Text 2" w:uiPriority="0" w:semiHidden="1" w:unhideWhenUsed="1" w:qFormat="1"/>
    <w:lsdException w:name="Body Text 3" w:uiPriority="0" w:semiHidden="1" w:unhideWhenUsed="1" w:qFormat="1"/>
    <w:lsdException w:name="Body Text Indent 2" w:uiPriority="0" w:semiHidden="1" w:unhideWhenUsed="1"/>
    <w:lsdException w:name="Body Text Indent 3" w:uiPriority="0" w:semiHidden="1" w:unhideWhenUsed="1"/>
    <w:lsdException w:name="Block Text" w:semiHidden="1" w:qFormat="1"/>
    <w:lsdException w:name="Hyperlink" w:semiHidden="1" w:unhideWhenUsed="1"/>
    <w:lsdException w:name="FollowedHyperlink" w:uiPriority="0" w:semiHidden="1" w:unhideWhenUsed="1"/>
    <w:lsdException w:name="Strong" w:uiPriority="22" w:semiHidden="1" w:qFormat="1"/>
    <w:lsdException w:name="Emphasis" w:uiPriority="20" w:semiHidden="1"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qFormat="1"/>
    <w:lsdException w:name="Quote" w:uiPriority="29" w:semiHidden="1" w:qFormat="1"/>
    <w:lsdException w:name="Intense Quote" w:uiPriority="30"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qFormat="1"/>
    <w:lsdException w:name="Intense Emphasis" w:uiPriority="21" w:semiHidden="1" w:qFormat="1"/>
    <w:lsdException w:name="Subtle Reference" w:uiPriority="31" w:semiHidden="1" w:qFormat="1"/>
    <w:lsdException w:name="Intense Reference" w:uiPriority="32" w:semiHidden="1" w:qFormat="1"/>
    <w:lsdException w:name="Book Title" w:uiPriority="33" w:semiHidden="1" w:qFormat="1"/>
    <w:lsdException w:name="Bibliography" w:uiPriority="37" w:semiHidden="1" w:unhideWhenUsed="1"/>
    <w:lsdException w:name="TOC Heading" w:uiPriority="39" w:semiHidden="1" w:unhideWhenUsed="1" w:qFormat="1"/>
    <w:lsdException w:name="Grid Table 3" w:uiPriority="48"/>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59"/>
    <w:semiHidden/>
    <w:qFormat/>
    <w:rsid w:val="00C2097B"/>
  </w:style>
  <w:style w:type="paragraph" w:styleId="Heading1">
    <w:name w:val="heading 1"/>
    <w:basedOn w:val="Normal"/>
    <w:next w:val="Normal"/>
    <w:link w:val="Heading1Char"/>
    <w:qFormat/>
    <w:rsid w:val="006A5048"/>
    <w:pPr>
      <w:keepNext/>
      <w:tabs>
        <w:tab w:val="left" w:pos="432"/>
      </w:tabs>
      <w:spacing w:before="480" w:after="240"/>
      <w:outlineLvl w:val="0"/>
    </w:pPr>
    <w:rPr>
      <w:rFonts w:ascii="Arial Bold" w:hAnsi="Arial Bold"/>
      <w:b/>
      <w:caps/>
      <w:u w:val="thick"/>
    </w:rPr>
  </w:style>
  <w:style w:type="paragraph" w:styleId="Heading2">
    <w:name w:val="heading 2"/>
    <w:basedOn w:val="Normal"/>
    <w:link w:val="Heading2Char"/>
    <w:qFormat/>
    <w:rsid w:val="00064E55"/>
    <w:pPr>
      <w:keepNext/>
      <w:spacing w:before="240"/>
      <w:outlineLvl w:val="1"/>
    </w:pPr>
    <w:rPr>
      <w:b/>
    </w:rPr>
  </w:style>
  <w:style w:type="paragraph" w:styleId="Heading3">
    <w:name w:val="heading 3"/>
    <w:basedOn w:val="Normal"/>
    <w:link w:val="Heading3Char"/>
    <w:qFormat/>
    <w:rsid w:val="00EE115B"/>
    <w:pPr>
      <w:keepNext/>
      <w:spacing w:after="240"/>
      <w:outlineLvl w:val="2"/>
    </w:pPr>
    <w:rPr>
      <w:iCs/>
    </w:rPr>
  </w:style>
  <w:style w:type="paragraph" w:styleId="Heading4">
    <w:name w:val="heading 4"/>
    <w:basedOn w:val="Normal"/>
    <w:link w:val="Heading4Char"/>
    <w:qFormat/>
    <w:rsid w:val="0006058F"/>
    <w:pPr>
      <w:spacing w:after="240"/>
      <w:outlineLvl w:val="3"/>
    </w:pPr>
  </w:style>
  <w:style w:type="paragraph" w:styleId="Heading5">
    <w:name w:val="heading 5"/>
    <w:basedOn w:val="Normal"/>
    <w:link w:val="Heading5Char"/>
    <w:qFormat/>
    <w:rsid w:val="0006058F"/>
    <w:pPr>
      <w:spacing w:after="240"/>
      <w:outlineLvl w:val="4"/>
    </w:pPr>
  </w:style>
  <w:style w:type="paragraph" w:styleId="Heading6">
    <w:name w:val="heading 6"/>
    <w:basedOn w:val="Normal"/>
    <w:link w:val="Heading6Char"/>
    <w:qFormat/>
    <w:rsid w:val="0006058F"/>
    <w:pPr>
      <w:spacing w:after="240"/>
      <w:outlineLvl w:val="5"/>
    </w:pPr>
    <w:rPr>
      <w:rFonts w:eastAsia="Times New Roman"/>
    </w:rPr>
  </w:style>
  <w:style w:type="paragraph" w:styleId="Heading7">
    <w:name w:val="heading 7"/>
    <w:basedOn w:val="Normal"/>
    <w:link w:val="Heading7Char"/>
    <w:qFormat/>
    <w:rsid w:val="0006058F"/>
    <w:pPr>
      <w:spacing w:after="240"/>
      <w:outlineLvl w:val="6"/>
    </w:pPr>
    <w:rPr>
      <w:rFonts w:eastAsia="Times New Roman"/>
      <w:iCs/>
    </w:rPr>
  </w:style>
  <w:style w:type="paragraph" w:styleId="Heading8">
    <w:name w:val="heading 8"/>
    <w:basedOn w:val="Normal"/>
    <w:link w:val="Heading8Char"/>
    <w:qFormat/>
    <w:rsid w:val="0006058F"/>
    <w:pPr>
      <w:spacing w:after="240"/>
      <w:outlineLvl w:val="7"/>
    </w:pPr>
    <w:rPr>
      <w:rFonts w:eastAsia="Times New Roman"/>
      <w:iCs/>
    </w:rPr>
  </w:style>
  <w:style w:type="paragraph" w:styleId="Heading9">
    <w:name w:val="heading 9"/>
    <w:basedOn w:val="Normal"/>
    <w:next w:val="Normal"/>
    <w:link w:val="Heading9Char"/>
    <w:qFormat/>
    <w:rsid w:val="0006058F"/>
    <w:pPr>
      <w:spacing w:after="240"/>
      <w:outlineLvl w:val="8"/>
    </w:pPr>
    <w:rPr>
      <w:rFonts w:eastAsia="Times New Roman"/>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FirstIndent">
    <w:name w:val="Body Text First Indent"/>
    <w:basedOn w:val="Normal"/>
    <w:link w:val="BodyTextFirstIndentChar"/>
    <w:uiPriority w:val="14"/>
    <w:semiHidden/>
    <w:qFormat/>
    <w:rsid w:val="0006058F"/>
    <w:pPr>
      <w:spacing w:after="240"/>
      <w:ind w:firstLine="1440"/>
    </w:pPr>
  </w:style>
  <w:style w:type="character" w:styleId="Heading3Char" w:customStyle="1">
    <w:name w:val="Heading 3 Char"/>
    <w:basedOn w:val="DefaultParagraphFont"/>
    <w:link w:val="Heading3"/>
    <w:rsid w:val="00BF25EB"/>
    <w:rPr>
      <w:iCs/>
    </w:rPr>
  </w:style>
  <w:style w:type="character" w:styleId="BodyTextFirstIndentChar" w:customStyle="1">
    <w:name w:val="Body Text First Indent Char"/>
    <w:basedOn w:val="DefaultParagraphFont"/>
    <w:link w:val="BodyTextFirstIndent"/>
    <w:uiPriority w:val="14"/>
    <w:semiHidden/>
    <w:rsid w:val="00D14B06"/>
  </w:style>
  <w:style w:type="character" w:styleId="Heading9Char" w:customStyle="1">
    <w:name w:val="Heading 9 Char"/>
    <w:basedOn w:val="DefaultParagraphFont"/>
    <w:link w:val="Heading9"/>
    <w:rsid w:val="00BF25EB"/>
    <w:rPr>
      <w:rFonts w:eastAsia="Times New Roman"/>
      <w:szCs w:val="22"/>
    </w:rPr>
  </w:style>
  <w:style w:type="character" w:styleId="DeltaViewMoveSource" w:customStyle="1">
    <w:name w:val="DeltaView Move Source"/>
    <w:rsid w:val="00960870"/>
    <w:rPr>
      <w:strike/>
      <w:color w:val="00C000"/>
      <w:spacing w:val="0"/>
    </w:rPr>
  </w:style>
  <w:style w:type="character" w:styleId="BodyTextIndentChar" w:customStyle="1">
    <w:name w:val="Body Text Indent Char"/>
    <w:basedOn w:val="DefaultParagraphFont"/>
    <w:link w:val="BodyTextIndent"/>
    <w:rsid w:val="0060056B"/>
  </w:style>
  <w:style w:type="paragraph" w:styleId="BodyTextFirstIndent2">
    <w:name w:val="Body Text First Indent 2"/>
    <w:basedOn w:val="Normal"/>
    <w:link w:val="BodyTextFirstIndent2Char"/>
    <w:uiPriority w:val="14"/>
    <w:semiHidden/>
    <w:qFormat/>
    <w:rsid w:val="0006058F"/>
    <w:pPr>
      <w:spacing w:line="480" w:lineRule="auto"/>
      <w:ind w:firstLine="1440"/>
    </w:pPr>
  </w:style>
  <w:style w:type="paragraph" w:styleId="Signature">
    <w:name w:val="Signature"/>
    <w:basedOn w:val="Normal"/>
    <w:link w:val="SignatureChar"/>
    <w:uiPriority w:val="94"/>
    <w:semiHidden/>
    <w:rsid w:val="0006058F"/>
    <w:pPr>
      <w:ind w:left="4320"/>
    </w:pPr>
  </w:style>
  <w:style w:type="character" w:styleId="IntenseEmphasis">
    <w:name w:val="Intense Emphasis"/>
    <w:basedOn w:val="DefaultParagraphFont"/>
    <w:uiPriority w:val="21"/>
    <w:qFormat/>
    <w:rsid w:val="007C2163"/>
    <w:rPr>
      <w:b/>
      <w:bCs/>
      <w:i/>
      <w:iCs/>
      <w:color w:val="auto"/>
    </w:rPr>
  </w:style>
  <w:style w:type="paragraph" w:styleId="BodyTextSingleSpaceNoIndent" w:customStyle="1">
    <w:name w:val="Body Text Single Space No Indent"/>
    <w:basedOn w:val="Normal"/>
    <w:rsid w:val="00960870"/>
    <w:pPr>
      <w:spacing w:before="0" w:after="240"/>
    </w:pPr>
    <w:rPr>
      <w:rFonts w:ascii="Times New Roman" w:hAnsi="Times New Roman" w:eastAsia="Times New Roman"/>
      <w:sz w:val="24"/>
      <w:szCs w:val="24"/>
    </w:rPr>
  </w:style>
  <w:style w:type="paragraph" w:styleId="FootnoteText">
    <w:name w:val="footnote text"/>
    <w:basedOn w:val="Normal"/>
    <w:link w:val="FootnoteTextChar"/>
    <w:uiPriority w:val="99"/>
    <w:semiHidden/>
    <w:unhideWhenUsed/>
    <w:rsid w:val="00D14B06"/>
    <w:pPr>
      <w:spacing w:after="240"/>
    </w:pPr>
    <w:rPr>
      <w:sz w:val="18"/>
    </w:rPr>
  </w:style>
  <w:style w:type="paragraph" w:styleId="BodyTextIndent">
    <w:name w:val="Body Text Indent"/>
    <w:basedOn w:val="Normal"/>
    <w:link w:val="BodyTextIndentChar"/>
    <w:rsid w:val="0006058F"/>
    <w:pPr>
      <w:spacing w:after="240"/>
      <w:ind w:left="1440"/>
    </w:pPr>
  </w:style>
  <w:style w:type="character" w:styleId="Heading6Char" w:customStyle="1">
    <w:name w:val="Heading 6 Char"/>
    <w:basedOn w:val="DefaultParagraphFont"/>
    <w:link w:val="Heading6"/>
    <w:rsid w:val="00BF25EB"/>
    <w:rPr>
      <w:rFonts w:eastAsia="Times New Roman"/>
    </w:rPr>
  </w:style>
  <w:style w:type="paragraph" w:styleId="BodyTextHangingIndent" w:customStyle="1">
    <w:name w:val="Body Text Hanging Indent"/>
    <w:basedOn w:val="Normal"/>
    <w:uiPriority w:val="14"/>
    <w:semiHidden/>
    <w:qFormat/>
    <w:rsid w:val="0006058F"/>
    <w:pPr>
      <w:spacing w:after="240"/>
      <w:ind w:left="720" w:hanging="720"/>
    </w:pPr>
  </w:style>
  <w:style w:type="character" w:styleId="BodyTextFirstIndent2Char" w:customStyle="1">
    <w:name w:val="Body Text First Indent 2 Char"/>
    <w:basedOn w:val="BodyTextIndentChar"/>
    <w:link w:val="BodyTextFirstIndent2"/>
    <w:uiPriority w:val="14"/>
    <w:semiHidden/>
    <w:rsid w:val="0060056B"/>
  </w:style>
  <w:style w:type="paragraph" w:styleId="zGListNum" w:customStyle="1">
    <w:name w:val="zGListNum"/>
    <w:uiPriority w:val="6"/>
    <w:rsid w:val="00322FD8"/>
    <w:pPr>
      <w:widowControl w:val="0"/>
      <w:numPr>
        <w:numId w:val="10"/>
      </w:numPr>
      <w:tabs>
        <w:tab w:val="left" w:pos="360"/>
      </w:tabs>
      <w:autoSpaceDE w:val="0"/>
      <w:autoSpaceDN w:val="0"/>
      <w:adjustRightInd w:val="0"/>
      <w:spacing w:after="0"/>
      <w:ind w:left="720"/>
    </w:pPr>
    <w:rPr>
      <w:rFonts w:cs="Arial" w:eastAsiaTheme="minorEastAsia"/>
      <w:spacing w:val="-6"/>
      <w:kern w:val="14"/>
    </w:rPr>
  </w:style>
  <w:style w:type="character" w:styleId="Heading1Char" w:customStyle="1">
    <w:name w:val="Heading 1 Char"/>
    <w:basedOn w:val="DefaultParagraphFont"/>
    <w:link w:val="Heading1"/>
    <w:rsid w:val="00BF25EB"/>
    <w:rPr>
      <w:rFonts w:ascii="Arial Bold" w:hAnsi="Arial Bold"/>
      <w:b/>
      <w:caps/>
      <w:u w:val="thick"/>
    </w:rPr>
  </w:style>
  <w:style w:type="character" w:styleId="Heading2Char" w:customStyle="1">
    <w:name w:val="Heading 2 Char"/>
    <w:basedOn w:val="DefaultParagraphFont"/>
    <w:link w:val="Heading2"/>
    <w:rsid w:val="00BF25EB"/>
    <w:rPr>
      <w:b/>
    </w:rPr>
  </w:style>
  <w:style w:type="character" w:styleId="SignatureChar" w:customStyle="1">
    <w:name w:val="Signature Char"/>
    <w:basedOn w:val="DefaultParagraphFont"/>
    <w:link w:val="Signature"/>
    <w:uiPriority w:val="94"/>
    <w:semiHidden/>
    <w:rsid w:val="00D14B06"/>
  </w:style>
  <w:style w:type="character" w:styleId="Heading4Char" w:customStyle="1">
    <w:name w:val="Heading 4 Char"/>
    <w:basedOn w:val="DefaultParagraphFont"/>
    <w:link w:val="Heading4"/>
    <w:rsid w:val="00BF25EB"/>
  </w:style>
  <w:style w:type="character" w:styleId="Heading5Char" w:customStyle="1">
    <w:name w:val="Heading 5 Char"/>
    <w:basedOn w:val="DefaultParagraphFont"/>
    <w:link w:val="Heading5"/>
    <w:rsid w:val="00BF25EB"/>
  </w:style>
  <w:style w:type="character" w:styleId="FootnoteTextChar" w:customStyle="1">
    <w:name w:val="Footnote Text Char"/>
    <w:basedOn w:val="DefaultParagraphFont"/>
    <w:link w:val="FootnoteText"/>
    <w:uiPriority w:val="99"/>
    <w:semiHidden/>
    <w:rsid w:val="00EC6D53"/>
    <w:rPr>
      <w:sz w:val="18"/>
    </w:rPr>
  </w:style>
  <w:style w:type="character" w:styleId="Heading7Char" w:customStyle="1">
    <w:name w:val="Heading 7 Char"/>
    <w:basedOn w:val="DefaultParagraphFont"/>
    <w:link w:val="Heading7"/>
    <w:rsid w:val="00BF25EB"/>
    <w:rPr>
      <w:rFonts w:eastAsia="Times New Roman"/>
      <w:iCs/>
    </w:rPr>
  </w:style>
  <w:style w:type="character" w:styleId="BalloonTextChar" w:customStyle="1">
    <w:name w:val="Balloon Text Char"/>
    <w:basedOn w:val="DefaultParagraphFont"/>
    <w:link w:val="BalloonText"/>
    <w:semiHidden/>
    <w:rsid w:val="00960870"/>
    <w:rPr>
      <w:rFonts w:ascii="Tahoma" w:hAnsi="Tahoma" w:eastAsia="Times New Roman" w:cs="Tahoma"/>
      <w:sz w:val="16"/>
      <w:szCs w:val="16"/>
    </w:rPr>
  </w:style>
  <w:style w:type="paragraph" w:styleId="Title">
    <w:name w:val="Title"/>
    <w:basedOn w:val="Normal"/>
    <w:next w:val="BodyTextFirstIndent"/>
    <w:link w:val="TitleChar"/>
    <w:qFormat/>
    <w:rsid w:val="0006058F"/>
    <w:pPr>
      <w:keepNext/>
      <w:spacing w:after="240"/>
      <w:jc w:val="center"/>
    </w:pPr>
    <w:rPr>
      <w:caps/>
    </w:rPr>
  </w:style>
  <w:style w:type="paragraph" w:styleId="EnvelopeAddress">
    <w:name w:val="envelope address"/>
    <w:basedOn w:val="Normal"/>
    <w:uiPriority w:val="94"/>
    <w:semiHidden/>
    <w:rsid w:val="0006058F"/>
    <w:pPr>
      <w:framePr w:w="7920" w:h="1980" w:hSpace="180" w:wrap="auto" w:hAnchor="page" w:xAlign="center" w:yAlign="bottom" w:hRule="exact"/>
      <w:ind w:left="2880"/>
    </w:pPr>
    <w:rPr>
      <w:rFonts w:cs="Arial"/>
      <w:smallCaps/>
    </w:rPr>
  </w:style>
  <w:style w:type="paragraph" w:styleId="FooterDocID" w:customStyle="1">
    <w:name w:val="Footer DocID"/>
    <w:basedOn w:val="Normal"/>
    <w:uiPriority w:val="74"/>
    <w:semiHidden/>
    <w:rsid w:val="0006058F"/>
    <w:pPr>
      <w:tabs>
        <w:tab w:val="right" w:pos="9360"/>
      </w:tabs>
    </w:pPr>
    <w:rPr>
      <w:sz w:val="14"/>
    </w:rPr>
  </w:style>
  <w:style w:type="paragraph" w:styleId="TOCHeading">
    <w:name w:val="TOC Heading"/>
    <w:basedOn w:val="Heading1"/>
    <w:next w:val="Normal"/>
    <w:uiPriority w:val="39"/>
    <w:semiHidden/>
    <w:unhideWhenUsed/>
    <w:qFormat/>
    <w:rsid w:val="007C2163"/>
    <w:pPr>
      <w:keepLines/>
      <w:tabs>
        <w:tab w:val="clear" w:pos="432"/>
      </w:tabs>
      <w:spacing w:after="120"/>
      <w:outlineLvl w:val="9"/>
    </w:pPr>
    <w:rPr>
      <w:rFonts w:ascii="Arial" w:hAnsi="Arial" w:eastAsiaTheme="majorEastAsia" w:cstheme="majorBidi"/>
      <w:bCs/>
      <w:caps w:val="0"/>
      <w:sz w:val="28"/>
      <w:szCs w:val="28"/>
      <w:u w:val="none"/>
    </w:rPr>
  </w:style>
  <w:style w:type="numbering" w:styleId="zGzListStyle2" w:customStyle="1">
    <w:name w:val="zGzListStyle2"/>
    <w:uiPriority w:val="99"/>
    <w:rsid w:val="00322FD8"/>
    <w:pPr>
      <w:numPr>
        <w:numId w:val="33"/>
      </w:numPr>
    </w:pPr>
  </w:style>
  <w:style w:type="character" w:styleId="Heading8Char" w:customStyle="1">
    <w:name w:val="Heading 8 Char"/>
    <w:basedOn w:val="DefaultParagraphFont"/>
    <w:link w:val="Heading8"/>
    <w:rsid w:val="00BF25EB"/>
    <w:rPr>
      <w:rFonts w:eastAsia="Times New Roman"/>
      <w:iCs/>
    </w:rPr>
  </w:style>
  <w:style w:type="character" w:styleId="zGTitle36CalibriChar" w:customStyle="1">
    <w:name w:val="zGTitle 36 (Calibri) Char"/>
    <w:basedOn w:val="DefaultParagraphFont"/>
    <w:link w:val="zGTitle36Calibri"/>
    <w:uiPriority w:val="4"/>
    <w:rsid w:val="00244458"/>
    <w:rPr>
      <w:rFonts w:ascii="Calibri" w:hAnsi="Calibri" w:eastAsia="Times New Roman" w:cstheme="minorHAnsi"/>
      <w:b/>
      <w:kern w:val="14"/>
      <w:sz w:val="72"/>
      <w:szCs w:val="72"/>
    </w:rPr>
  </w:style>
  <w:style w:type="paragraph" w:styleId="Subtitle3" w:customStyle="1">
    <w:name w:val="Subtitle3"/>
    <w:basedOn w:val="Normal"/>
    <w:next w:val="BodyTextFirstIndent"/>
    <w:uiPriority w:val="94"/>
    <w:semiHidden/>
    <w:rsid w:val="0006058F"/>
    <w:pPr>
      <w:keepNext/>
      <w:spacing w:after="240"/>
    </w:pPr>
    <w:rPr>
      <w:b/>
    </w:rPr>
  </w:style>
  <w:style w:type="character" w:styleId="DeltaViewEditorComment" w:customStyle="1">
    <w:name w:val="DeltaView Editor Comment"/>
    <w:basedOn w:val="DefaultParagraphFont"/>
    <w:rsid w:val="00960870"/>
    <w:rPr>
      <w:color w:val="0000FF"/>
      <w:spacing w:val="0"/>
      <w:u w:val="double"/>
    </w:rPr>
  </w:style>
  <w:style w:type="paragraph" w:styleId="Header">
    <w:name w:val="header"/>
    <w:aliases w:val="zGDRAFTHeader"/>
    <w:basedOn w:val="Normal"/>
    <w:next w:val="zGNormal"/>
    <w:link w:val="HeaderChar"/>
    <w:rsid w:val="00FF6EBF"/>
    <w:pPr>
      <w:tabs>
        <w:tab w:val="center" w:pos="4320"/>
        <w:tab w:val="right" w:pos="8640"/>
      </w:tabs>
      <w:jc w:val="right"/>
    </w:pPr>
    <w:rPr>
      <w:b/>
      <w:i/>
      <w:color w:val="FF0000"/>
    </w:rPr>
  </w:style>
  <w:style w:type="character" w:styleId="normaltextrun" w:customStyle="1">
    <w:name w:val="normaltextrun"/>
    <w:basedOn w:val="DefaultParagraphFont"/>
    <w:rsid w:val="00C82F03"/>
  </w:style>
  <w:style w:type="paragraph" w:styleId="BodyText2">
    <w:name w:val="Body Text 2"/>
    <w:basedOn w:val="Normal"/>
    <w:link w:val="BodyText2Char"/>
    <w:qFormat/>
    <w:rsid w:val="0006058F"/>
    <w:pPr>
      <w:spacing w:line="480" w:lineRule="auto"/>
    </w:pPr>
  </w:style>
  <w:style w:type="character" w:styleId="HeaderChar" w:customStyle="1">
    <w:name w:val="Header Char"/>
    <w:aliases w:val="zGDRAFTHeader Char"/>
    <w:basedOn w:val="DefaultParagraphFont"/>
    <w:link w:val="Header"/>
    <w:rsid w:val="003D466F"/>
    <w:rPr>
      <w:b/>
      <w:i/>
      <w:color w:val="FF0000"/>
    </w:rPr>
  </w:style>
  <w:style w:type="character" w:styleId="BodyText2Char" w:customStyle="1">
    <w:name w:val="Body Text 2 Char"/>
    <w:basedOn w:val="DefaultParagraphFont"/>
    <w:link w:val="BodyText2"/>
    <w:uiPriority w:val="14"/>
    <w:rsid w:val="0060056B"/>
  </w:style>
  <w:style w:type="paragraph" w:styleId="Subtitle2" w:customStyle="1">
    <w:name w:val="Subtitle2"/>
    <w:basedOn w:val="Normal"/>
    <w:next w:val="BodyTextFirstIndent"/>
    <w:uiPriority w:val="94"/>
    <w:semiHidden/>
    <w:qFormat/>
    <w:rsid w:val="0006058F"/>
    <w:pPr>
      <w:keepNext/>
      <w:spacing w:after="240"/>
    </w:pPr>
    <w:rPr>
      <w:u w:val="single"/>
    </w:rPr>
  </w:style>
  <w:style w:type="paragraph" w:styleId="BodyText3">
    <w:name w:val="Body Text 3"/>
    <w:basedOn w:val="Normal"/>
    <w:link w:val="BodyText3Char"/>
    <w:qFormat/>
    <w:rsid w:val="0006058F"/>
  </w:style>
  <w:style w:type="character" w:styleId="BodyText3Char" w:customStyle="1">
    <w:name w:val="Body Text 3 Char"/>
    <w:basedOn w:val="DefaultParagraphFont"/>
    <w:link w:val="BodyText3"/>
    <w:rsid w:val="0060056B"/>
  </w:style>
  <w:style w:type="paragraph" w:styleId="IntenseQuote">
    <w:name w:val="Intense Quote"/>
    <w:basedOn w:val="Normal"/>
    <w:next w:val="Normal"/>
    <w:link w:val="IntenseQuoteChar"/>
    <w:uiPriority w:val="30"/>
    <w:qFormat/>
    <w:rsid w:val="007C2163"/>
    <w:pPr>
      <w:pBdr>
        <w:bottom w:val="single" w:color="auto" w:sz="4" w:space="4"/>
      </w:pBdr>
      <w:spacing w:before="200" w:after="280"/>
      <w:ind w:left="936" w:right="936"/>
    </w:pPr>
    <w:rPr>
      <w:b/>
      <w:bCs/>
      <w:i/>
      <w:iCs/>
    </w:rPr>
  </w:style>
  <w:style w:type="paragraph" w:styleId="EnvelopeReturn">
    <w:name w:val="envelope return"/>
    <w:basedOn w:val="Normal"/>
    <w:uiPriority w:val="94"/>
    <w:rsid w:val="0006058F"/>
    <w:rPr>
      <w:rFonts w:cs="Arial"/>
    </w:rPr>
  </w:style>
  <w:style w:type="paragraph" w:styleId="TOC5">
    <w:name w:val="toc 5"/>
    <w:basedOn w:val="Normal"/>
    <w:next w:val="Normal"/>
    <w:autoRedefine/>
    <w:uiPriority w:val="39"/>
    <w:rsid w:val="0006058F"/>
    <w:pPr>
      <w:tabs>
        <w:tab w:val="left" w:pos="3600"/>
        <w:tab w:val="right" w:leader="dot" w:pos="9350"/>
      </w:tabs>
      <w:ind w:left="3600" w:right="720" w:hanging="720"/>
    </w:pPr>
    <w:rPr>
      <w:rFonts w:eastAsia="Times New Roman"/>
    </w:rPr>
  </w:style>
  <w:style w:type="paragraph" w:styleId="zGTableBullet" w:customStyle="1">
    <w:name w:val="zGTableBullet"/>
    <w:uiPriority w:val="8"/>
    <w:qFormat/>
    <w:rsid w:val="00322FD8"/>
    <w:pPr>
      <w:widowControl w:val="0"/>
      <w:numPr>
        <w:numId w:val="11"/>
      </w:numPr>
      <w:autoSpaceDE w:val="0"/>
      <w:autoSpaceDN w:val="0"/>
      <w:adjustRightInd w:val="0"/>
      <w:spacing w:after="0"/>
    </w:pPr>
    <w:rPr>
      <w:rFonts w:cs="Arial" w:eastAsiaTheme="minorEastAsia"/>
      <w:spacing w:val="-6"/>
      <w:kern w:val="14"/>
      <w:sz w:val="18"/>
    </w:rPr>
  </w:style>
  <w:style w:type="paragraph" w:styleId="Footer">
    <w:name w:val="footer"/>
    <w:basedOn w:val="Normal"/>
    <w:link w:val="FooterChar"/>
    <w:uiPriority w:val="99"/>
    <w:rsid w:val="001E13C4"/>
    <w:pPr>
      <w:jc w:val="center"/>
    </w:pPr>
    <w:rPr>
      <w:sz w:val="18"/>
    </w:rPr>
  </w:style>
  <w:style w:type="character" w:styleId="FooterChar" w:customStyle="1">
    <w:name w:val="Footer Char"/>
    <w:basedOn w:val="DefaultParagraphFont"/>
    <w:link w:val="Footer"/>
    <w:uiPriority w:val="99"/>
    <w:rsid w:val="003D466F"/>
    <w:rPr>
      <w:sz w:val="18"/>
    </w:rPr>
  </w:style>
  <w:style w:type="paragraph" w:styleId="Title2" w:customStyle="1">
    <w:name w:val="Title2"/>
    <w:basedOn w:val="Normal"/>
    <w:next w:val="BodyTextFirstIndent"/>
    <w:uiPriority w:val="94"/>
    <w:semiHidden/>
    <w:qFormat/>
    <w:rsid w:val="0006058F"/>
    <w:pPr>
      <w:keepNext/>
      <w:spacing w:after="240"/>
      <w:jc w:val="center"/>
    </w:pPr>
    <w:rPr>
      <w:b/>
      <w:caps/>
    </w:rPr>
  </w:style>
  <w:style w:type="paragraph" w:styleId="ListNumber3">
    <w:name w:val="List Number 3"/>
    <w:basedOn w:val="Normal"/>
    <w:uiPriority w:val="94"/>
    <w:semiHidden/>
    <w:rsid w:val="0006058F"/>
    <w:pPr>
      <w:numPr>
        <w:numId w:val="4"/>
      </w:numPr>
      <w:spacing w:line="480" w:lineRule="auto"/>
    </w:pPr>
  </w:style>
  <w:style w:type="paragraph" w:styleId="Footnote" w:customStyle="1">
    <w:name w:val="Footnote"/>
    <w:basedOn w:val="Normal"/>
    <w:uiPriority w:val="15"/>
    <w:semiHidden/>
    <w:rsid w:val="0006058F"/>
  </w:style>
  <w:style w:type="paragraph" w:styleId="zGBody4" w:customStyle="1">
    <w:name w:val="zGBody 4"/>
    <w:basedOn w:val="Normal"/>
    <w:link w:val="zGBody4Char"/>
    <w:uiPriority w:val="2"/>
    <w:rsid w:val="00EC6D53"/>
    <w:pPr>
      <w:numPr>
        <w:ilvl w:val="3"/>
        <w:numId w:val="21"/>
      </w:numPr>
      <w:tabs>
        <w:tab w:val="num" w:pos="936"/>
      </w:tabs>
      <w:ind w:left="504"/>
    </w:pPr>
  </w:style>
  <w:style w:type="character" w:styleId="FootnoteReference">
    <w:name w:val="footnote reference"/>
    <w:uiPriority w:val="99"/>
    <w:rsid w:val="0006058F"/>
    <w:rPr>
      <w:vertAlign w:val="superscript"/>
    </w:rPr>
  </w:style>
  <w:style w:type="character" w:styleId="DeltaViewMovedDeletion" w:customStyle="1">
    <w:name w:val="DeltaView Moved Deletion"/>
    <w:rsid w:val="00960870"/>
    <w:rPr>
      <w:strike/>
      <w:color w:val="C08080"/>
      <w:spacing w:val="0"/>
    </w:rPr>
  </w:style>
  <w:style w:type="character" w:styleId="zGBody1Char" w:customStyle="1">
    <w:name w:val="zGBody 1 Char"/>
    <w:basedOn w:val="zGNormalChar"/>
    <w:link w:val="zGBody1"/>
    <w:uiPriority w:val="2"/>
    <w:rsid w:val="00CF352A"/>
    <w:rPr>
      <w:rFonts w:ascii="Arial Bold" w:hAnsi="Arial Bold" w:cs="Arial" w:eastAsiaTheme="minorEastAsia"/>
      <w:b/>
      <w:caps/>
      <w:kern w:val="14"/>
      <w:u w:val="single"/>
    </w:rPr>
  </w:style>
  <w:style w:type="paragraph" w:styleId="ListBullet">
    <w:name w:val="List Bullet"/>
    <w:basedOn w:val="Normal"/>
    <w:uiPriority w:val="94"/>
    <w:semiHidden/>
    <w:rsid w:val="0006058F"/>
    <w:pPr>
      <w:numPr>
        <w:numId w:val="1"/>
      </w:numPr>
      <w:spacing w:after="240"/>
    </w:pPr>
  </w:style>
  <w:style w:type="paragraph" w:styleId="ListBullet2">
    <w:name w:val="List Bullet 2"/>
    <w:basedOn w:val="Normal"/>
    <w:uiPriority w:val="94"/>
    <w:semiHidden/>
    <w:rsid w:val="00500387"/>
    <w:pPr>
      <w:numPr>
        <w:numId w:val="2"/>
      </w:numPr>
      <w:spacing w:after="240"/>
    </w:pPr>
  </w:style>
  <w:style w:type="paragraph" w:styleId="ListBullet3">
    <w:name w:val="List Bullet 3"/>
    <w:basedOn w:val="Normal"/>
    <w:uiPriority w:val="94"/>
    <w:semiHidden/>
    <w:qFormat/>
    <w:rsid w:val="00500387"/>
    <w:pPr>
      <w:numPr>
        <w:numId w:val="3"/>
      </w:numPr>
      <w:spacing w:after="240"/>
      <w:contextualSpacing/>
    </w:pPr>
  </w:style>
  <w:style w:type="paragraph" w:styleId="PHPgNum" w:customStyle="1">
    <w:name w:val="PH PgNum"/>
    <w:basedOn w:val="Normal"/>
    <w:uiPriority w:val="99"/>
    <w:semiHidden/>
    <w:rsid w:val="0006058F"/>
    <w:pPr>
      <w:jc w:val="center"/>
    </w:pPr>
  </w:style>
  <w:style w:type="paragraph" w:styleId="secondsub" w:customStyle="1">
    <w:name w:val="secondsub"/>
    <w:basedOn w:val="Normal"/>
    <w:rsid w:val="00960870"/>
    <w:pPr>
      <w:tabs>
        <w:tab w:val="left" w:pos="-720"/>
      </w:tabs>
      <w:adjustRightInd w:val="0"/>
      <w:spacing w:before="0" w:after="0" w:line="360" w:lineRule="atLeast"/>
      <w:ind w:left="720" w:hanging="720"/>
      <w:textAlignment w:val="baseline"/>
    </w:pPr>
    <w:rPr>
      <w:rFonts w:ascii="Times New Roman" w:hAnsi="Times New Roman" w:eastAsia="Times New Roman"/>
      <w:sz w:val="24"/>
    </w:rPr>
  </w:style>
  <w:style w:type="paragraph" w:styleId="TOC4">
    <w:name w:val="toc 4"/>
    <w:basedOn w:val="Normal"/>
    <w:next w:val="Normal"/>
    <w:autoRedefine/>
    <w:uiPriority w:val="39"/>
    <w:rsid w:val="0006058F"/>
    <w:pPr>
      <w:tabs>
        <w:tab w:val="left" w:pos="1440"/>
        <w:tab w:val="left" w:pos="2880"/>
        <w:tab w:val="right" w:leader="dot" w:pos="9350"/>
      </w:tabs>
      <w:ind w:left="2880" w:right="720" w:hanging="720"/>
    </w:pPr>
    <w:rPr>
      <w:rFonts w:eastAsia="Times New Roman"/>
    </w:rPr>
  </w:style>
  <w:style w:type="paragraph" w:styleId="Subtitle">
    <w:name w:val="Subtitle"/>
    <w:basedOn w:val="Normal"/>
    <w:next w:val="BodyTextFirstIndent"/>
    <w:link w:val="SubtitleChar"/>
    <w:uiPriority w:val="94"/>
    <w:qFormat/>
    <w:rsid w:val="0006058F"/>
    <w:pPr>
      <w:keepNext/>
      <w:spacing w:after="240"/>
      <w:jc w:val="center"/>
    </w:pPr>
    <w:rPr>
      <w:bCs/>
    </w:rPr>
  </w:style>
  <w:style w:type="character" w:styleId="SubtitleChar" w:customStyle="1">
    <w:name w:val="Subtitle Char"/>
    <w:basedOn w:val="DefaultParagraphFont"/>
    <w:link w:val="Subtitle"/>
    <w:uiPriority w:val="94"/>
    <w:rsid w:val="00D14B06"/>
    <w:rPr>
      <w:bCs/>
    </w:rPr>
  </w:style>
  <w:style w:type="character" w:styleId="TitleChar" w:customStyle="1">
    <w:name w:val="Title Char"/>
    <w:basedOn w:val="DefaultParagraphFont"/>
    <w:link w:val="Title"/>
    <w:rsid w:val="00D14B06"/>
    <w:rPr>
      <w:caps/>
    </w:rPr>
  </w:style>
  <w:style w:type="paragraph" w:styleId="TOC1">
    <w:name w:val="toc 1"/>
    <w:aliases w:val="zGTOC 1"/>
    <w:basedOn w:val="zGNormal"/>
    <w:next w:val="zGNormal"/>
    <w:link w:val="TOC1Char"/>
    <w:uiPriority w:val="39"/>
    <w:rsid w:val="008A5227"/>
    <w:pPr>
      <w:tabs>
        <w:tab w:val="left" w:leader="dot" w:pos="576"/>
        <w:tab w:val="left" w:pos="936"/>
        <w:tab w:val="left" w:pos="1152"/>
        <w:tab w:val="right" w:leader="dot" w:pos="9360"/>
      </w:tabs>
      <w:spacing w:before="60" w:after="60"/>
      <w:ind w:left="720" w:right="720" w:hanging="720"/>
    </w:pPr>
    <w:rPr>
      <w:rFonts w:ascii="Arial Bold" w:hAnsi="Arial Bold" w:eastAsia="Times New Roman"/>
      <w:b/>
      <w:caps/>
    </w:rPr>
  </w:style>
  <w:style w:type="character" w:styleId="ArticleL2Char" w:customStyle="1">
    <w:name w:val="Article_L2 Char"/>
    <w:basedOn w:val="DefaultParagraphFont"/>
    <w:link w:val="ArticleL2"/>
    <w:locked/>
    <w:rsid w:val="005F7DD9"/>
    <w:rPr>
      <w:rFonts w:ascii="Times New Roman" w:hAnsi="Times New Roman" w:eastAsia="Times New Roman"/>
    </w:rPr>
  </w:style>
  <w:style w:type="character" w:styleId="BodyTextIndent3Char" w:customStyle="1">
    <w:name w:val="Body Text Indent 3 Char"/>
    <w:basedOn w:val="DefaultParagraphFont"/>
    <w:link w:val="BodyTextIndent3"/>
    <w:rsid w:val="00960870"/>
    <w:rPr>
      <w:rFonts w:ascii="Times New Roman" w:hAnsi="Times New Roman" w:eastAsia="Times New Roman"/>
      <w:sz w:val="24"/>
    </w:rPr>
  </w:style>
  <w:style w:type="character" w:styleId="DeltaViewInsertion" w:customStyle="1">
    <w:name w:val="DeltaView Insertion"/>
    <w:uiPriority w:val="99"/>
    <w:rsid w:val="00D7752B"/>
    <w:rPr>
      <w:color w:val="0000FF"/>
      <w:u w:val="double"/>
    </w:rPr>
  </w:style>
  <w:style w:type="paragraph" w:styleId="TOC2">
    <w:name w:val="toc 2"/>
    <w:aliases w:val="zgTOC 2"/>
    <w:basedOn w:val="Normal"/>
    <w:next w:val="Normal"/>
    <w:link w:val="TOC2Char"/>
    <w:uiPriority w:val="39"/>
    <w:rsid w:val="00CF7342"/>
    <w:pPr>
      <w:tabs>
        <w:tab w:val="left" w:pos="1440"/>
        <w:tab w:val="right" w:leader="dot" w:pos="9360"/>
      </w:tabs>
      <w:spacing w:before="0" w:after="0"/>
      <w:ind w:left="1440" w:right="720" w:hanging="720"/>
    </w:pPr>
    <w:rPr>
      <w:rFonts w:eastAsia="Times New Roman"/>
    </w:rPr>
  </w:style>
  <w:style w:type="paragraph" w:styleId="TOC3">
    <w:name w:val="toc 3"/>
    <w:aliases w:val="zGTOC 3"/>
    <w:basedOn w:val="Normal"/>
    <w:next w:val="Normal"/>
    <w:uiPriority w:val="39"/>
    <w:rsid w:val="006D76D4"/>
    <w:pPr>
      <w:tabs>
        <w:tab w:val="left" w:pos="2160"/>
        <w:tab w:val="right" w:leader="dot" w:pos="9346"/>
      </w:tabs>
      <w:spacing w:after="60"/>
      <w:ind w:left="2160" w:right="720" w:hanging="720"/>
    </w:pPr>
    <w:rPr>
      <w:rFonts w:eastAsia="Times New Roman"/>
    </w:rPr>
  </w:style>
  <w:style w:type="paragraph" w:styleId="TOC6">
    <w:name w:val="toc 6"/>
    <w:basedOn w:val="Normal"/>
    <w:next w:val="Normal"/>
    <w:autoRedefine/>
    <w:uiPriority w:val="39"/>
    <w:rsid w:val="0006058F"/>
    <w:pPr>
      <w:ind w:left="1200"/>
    </w:pPr>
    <w:rPr>
      <w:rFonts w:eastAsia="Times New Roman"/>
    </w:rPr>
  </w:style>
  <w:style w:type="paragraph" w:styleId="TOC7">
    <w:name w:val="toc 7"/>
    <w:basedOn w:val="Normal"/>
    <w:next w:val="Normal"/>
    <w:autoRedefine/>
    <w:uiPriority w:val="39"/>
    <w:rsid w:val="0006058F"/>
    <w:pPr>
      <w:ind w:left="1440"/>
    </w:pPr>
    <w:rPr>
      <w:rFonts w:eastAsia="Times New Roman"/>
    </w:rPr>
  </w:style>
  <w:style w:type="paragraph" w:styleId="zGNormal6" w:customStyle="1">
    <w:name w:val="zGNormal+6"/>
    <w:qFormat/>
    <w:rsid w:val="000247F7"/>
    <w:pPr>
      <w:autoSpaceDE w:val="0"/>
      <w:autoSpaceDN w:val="0"/>
      <w:adjustRightInd w:val="0"/>
    </w:pPr>
    <w:rPr>
      <w:rFonts w:cs="Arial" w:eastAsiaTheme="minorEastAsia"/>
      <w:kern w:val="14"/>
    </w:rPr>
  </w:style>
  <w:style w:type="paragraph" w:styleId="TOC8">
    <w:name w:val="toc 8"/>
    <w:basedOn w:val="Normal"/>
    <w:next w:val="Normal"/>
    <w:autoRedefine/>
    <w:uiPriority w:val="39"/>
    <w:rsid w:val="0006058F"/>
    <w:pPr>
      <w:ind w:left="1680"/>
    </w:pPr>
    <w:rPr>
      <w:rFonts w:eastAsia="Times New Roman"/>
    </w:rPr>
  </w:style>
  <w:style w:type="paragraph" w:styleId="TOC9">
    <w:name w:val="toc 9"/>
    <w:basedOn w:val="Normal"/>
    <w:next w:val="Normal"/>
    <w:autoRedefine/>
    <w:uiPriority w:val="39"/>
    <w:rsid w:val="0006058F"/>
    <w:pPr>
      <w:ind w:left="1920"/>
    </w:pPr>
    <w:rPr>
      <w:rFonts w:eastAsia="Times New Roman"/>
    </w:rPr>
  </w:style>
  <w:style w:type="paragraph" w:styleId="BodyTextFirstIndent25" w:customStyle="1">
    <w:name w:val="Body Text First Indent 2 .5"/>
    <w:basedOn w:val="Normal"/>
    <w:uiPriority w:val="14"/>
    <w:semiHidden/>
    <w:rsid w:val="0006058F"/>
    <w:pPr>
      <w:spacing w:line="480" w:lineRule="auto"/>
      <w:ind w:firstLine="720"/>
    </w:pPr>
    <w:rPr>
      <w:color w:val="000000" w:themeColor="text1"/>
    </w:rPr>
  </w:style>
  <w:style w:type="character" w:styleId="zG01Char" w:customStyle="1">
    <w:name w:val="zG01 Char"/>
    <w:basedOn w:val="DefaultParagraphFont"/>
    <w:uiPriority w:val="49"/>
    <w:semiHidden/>
    <w:rsid w:val="00BD0D61"/>
    <w:rPr>
      <w:rFonts w:cs="Arial"/>
      <w:b/>
      <w:caps/>
    </w:rPr>
  </w:style>
  <w:style w:type="paragraph" w:styleId="Subtitle-Bold" w:customStyle="1">
    <w:name w:val="Subtitle - Bold"/>
    <w:basedOn w:val="Subtitle"/>
    <w:uiPriority w:val="94"/>
    <w:semiHidden/>
    <w:rsid w:val="0006058F"/>
    <w:rPr>
      <w:b/>
    </w:rPr>
  </w:style>
  <w:style w:type="paragraph" w:styleId="Article5L3" w:customStyle="1">
    <w:name w:val="Article5_L3"/>
    <w:basedOn w:val="Article5L2"/>
    <w:next w:val="BodyText"/>
    <w:rsid w:val="00960870"/>
    <w:pPr>
      <w:numPr>
        <w:ilvl w:val="2"/>
      </w:numPr>
      <w:tabs>
        <w:tab w:val="num" w:pos="576"/>
      </w:tabs>
      <w:ind w:left="259" w:hanging="936"/>
      <w:outlineLvl w:val="2"/>
    </w:pPr>
  </w:style>
  <w:style w:type="paragraph" w:styleId="DeltaViewAnnounce" w:customStyle="1">
    <w:name w:val="DeltaView Announce"/>
    <w:rsid w:val="00960870"/>
    <w:pPr>
      <w:widowControl w:val="0"/>
      <w:autoSpaceDE w:val="0"/>
      <w:autoSpaceDN w:val="0"/>
      <w:adjustRightInd w:val="0"/>
      <w:spacing w:before="0" w:after="240" w:line="360" w:lineRule="atLeast"/>
      <w:textAlignment w:val="baseline"/>
    </w:pPr>
    <w:rPr>
      <w:rFonts w:eastAsia="Times New Roman" w:cs="Arial"/>
      <w:sz w:val="24"/>
      <w:szCs w:val="24"/>
    </w:rPr>
  </w:style>
  <w:style w:type="table" w:styleId="TableGrid">
    <w:name w:val="Table Grid"/>
    <w:basedOn w:val="TableNormal"/>
    <w:rsid w:val="0006058F"/>
    <w:pPr>
      <w:spacing w:after="0"/>
    </w:pPr>
    <w:tblPr/>
  </w:style>
  <w:style w:type="paragraph" w:styleId="ListBullet4" w:customStyle="1">
    <w:name w:val="List Bullet4"/>
    <w:basedOn w:val="ListBullet3"/>
    <w:uiPriority w:val="94"/>
    <w:semiHidden/>
    <w:rsid w:val="00500387"/>
    <w:pPr>
      <w:numPr>
        <w:numId w:val="5"/>
      </w:numPr>
    </w:pPr>
  </w:style>
  <w:style w:type="character" w:styleId="DeltaViewDeletion" w:customStyle="1">
    <w:name w:val="DeltaView Deletion"/>
    <w:rsid w:val="00A15AB1"/>
    <w:rPr>
      <w:strike/>
      <w:color w:val="FF0000"/>
    </w:rPr>
  </w:style>
  <w:style w:type="paragraph" w:styleId="zGBorder" w:customStyle="1">
    <w:name w:val="zGBorder"/>
    <w:uiPriority w:val="4"/>
    <w:rsid w:val="00322FD8"/>
    <w:pPr>
      <w:widowControl w:val="0"/>
      <w:pBdr>
        <w:top w:val="single" w:color="auto" w:sz="18" w:space="5"/>
        <w:bottom w:val="single" w:color="auto" w:sz="18" w:space="5"/>
      </w:pBdr>
      <w:tabs>
        <w:tab w:val="right" w:pos="9864"/>
      </w:tabs>
      <w:autoSpaceDE w:val="0"/>
      <w:autoSpaceDN w:val="0"/>
      <w:adjustRightInd w:val="0"/>
    </w:pPr>
    <w:rPr>
      <w:rFonts w:cs="Arial" w:eastAsiaTheme="minorEastAsia"/>
      <w:spacing w:val="-6"/>
      <w:kern w:val="14"/>
      <w:szCs w:val="24"/>
    </w:rPr>
  </w:style>
  <w:style w:type="paragraph" w:styleId="ListBullet5" w:customStyle="1">
    <w:name w:val="List Bullet5"/>
    <w:basedOn w:val="ListBullet2"/>
    <w:uiPriority w:val="94"/>
    <w:semiHidden/>
    <w:rsid w:val="00772385"/>
    <w:pPr>
      <w:numPr>
        <w:numId w:val="6"/>
      </w:numPr>
    </w:pPr>
  </w:style>
  <w:style w:type="paragraph" w:styleId="BodyTextIndent15" w:customStyle="1">
    <w:name w:val="Body Text Indent 1.5"/>
    <w:basedOn w:val="BodyTextIndent"/>
    <w:uiPriority w:val="14"/>
    <w:semiHidden/>
    <w:rsid w:val="00FD3E83"/>
    <w:pPr>
      <w:ind w:left="2160"/>
    </w:pPr>
  </w:style>
  <w:style w:type="character" w:styleId="Hyperlink">
    <w:name w:val="Hyperlink"/>
    <w:aliases w:val="zGHyperlink"/>
    <w:basedOn w:val="DefaultParagraphFont"/>
    <w:uiPriority w:val="99"/>
    <w:rsid w:val="00EC6D53"/>
    <w:rPr>
      <w:rFonts w:ascii="Arial" w:hAnsi="Arial"/>
      <w:color w:val="0563C1" w:themeColor="hyperlink"/>
      <w:sz w:val="20"/>
      <w:u w:val="single"/>
    </w:rPr>
  </w:style>
  <w:style w:type="character" w:styleId="PageNumber">
    <w:name w:val="page number"/>
    <w:basedOn w:val="DefaultParagraphFont"/>
    <w:uiPriority w:val="94"/>
    <w:rsid w:val="009B3EB4"/>
  </w:style>
  <w:style w:type="character" w:styleId="zzmpTrailerItem" w:customStyle="1">
    <w:name w:val="zzmpTrailerItem"/>
    <w:basedOn w:val="DefaultParagraphFont"/>
    <w:rsid w:val="00981F84"/>
    <w:rPr>
      <w:rFonts w:ascii="Arial" w:hAnsi="Arial" w:cs="Arial"/>
      <w:dstrike w:val="0"/>
      <w:noProof/>
      <w:color w:val="auto"/>
      <w:spacing w:val="0"/>
      <w:position w:val="0"/>
      <w:sz w:val="16"/>
      <w:szCs w:val="16"/>
      <w:u w:val="none"/>
      <w:effect w:val="none"/>
      <w:vertAlign w:val="baseline"/>
    </w:rPr>
  </w:style>
  <w:style w:type="character" w:styleId="zGBody5Char" w:customStyle="1">
    <w:name w:val="zGBody 5 Char"/>
    <w:basedOn w:val="DefaultParagraphFont"/>
    <w:link w:val="zGBody5"/>
    <w:uiPriority w:val="2"/>
    <w:rsid w:val="00CF352A"/>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rsid w:val="00D14B06"/>
    <w:rPr>
      <w:sz w:val="18"/>
    </w:rPr>
  </w:style>
  <w:style w:type="paragraph" w:styleId="BodyText21" w:customStyle="1">
    <w:name w:val="BodyText2_1"/>
    <w:rsid w:val="00907346"/>
    <w:pPr>
      <w:widowControl w:val="0"/>
      <w:adjustRightInd w:val="0"/>
      <w:spacing w:before="0" w:after="0" w:line="360" w:lineRule="atLeast"/>
      <w:ind w:left="450" w:hanging="450"/>
      <w:textAlignment w:val="baseline"/>
    </w:pPr>
    <w:rPr>
      <w:rFonts w:ascii="Times New Roman" w:hAnsi="Times New Roman" w:eastAsia="Times New Roman"/>
    </w:rPr>
  </w:style>
  <w:style w:type="character" w:styleId="CommentTextChar" w:customStyle="1">
    <w:name w:val="Comment Text Char"/>
    <w:basedOn w:val="DefaultParagraphFont"/>
    <w:link w:val="CommentText"/>
    <w:uiPriority w:val="99"/>
    <w:rsid w:val="00EC6D53"/>
    <w:rPr>
      <w:sz w:val="18"/>
    </w:rPr>
  </w:style>
  <w:style w:type="paragraph" w:styleId="CommentSubject">
    <w:name w:val="annotation subject"/>
    <w:basedOn w:val="CommentText"/>
    <w:next w:val="CommentText"/>
    <w:link w:val="CommentSubjectChar"/>
    <w:semiHidden/>
    <w:unhideWhenUsed/>
    <w:rsid w:val="00160012"/>
    <w:rPr>
      <w:b/>
      <w:bCs/>
    </w:rPr>
  </w:style>
  <w:style w:type="character" w:styleId="CommentSubjectChar" w:customStyle="1">
    <w:name w:val="Comment Subject Char"/>
    <w:basedOn w:val="CommentTextChar"/>
    <w:link w:val="CommentSubject"/>
    <w:semiHidden/>
    <w:rsid w:val="00160012"/>
    <w:rPr>
      <w:rFonts w:ascii="Arial" w:hAnsi="Arial" w:eastAsia="Calibri" w:cs="Times New Roman"/>
      <w:b/>
      <w:bCs/>
      <w:sz w:val="20"/>
      <w:szCs w:val="20"/>
    </w:rPr>
  </w:style>
  <w:style w:type="paragraph" w:styleId="NoSpacing">
    <w:name w:val="No Spacing"/>
    <w:uiPriority w:val="94"/>
    <w:qFormat/>
    <w:rsid w:val="000906FF"/>
    <w:pPr>
      <w:spacing w:after="0"/>
    </w:pPr>
    <w:rPr>
      <w:rFonts w:eastAsia="Calibri"/>
    </w:rPr>
  </w:style>
  <w:style w:type="character" w:styleId="findhit" w:customStyle="1">
    <w:name w:val="findhit"/>
    <w:basedOn w:val="DefaultParagraphFont"/>
    <w:rsid w:val="00AD1B9A"/>
  </w:style>
  <w:style w:type="character" w:styleId="UnresolvedMention1" w:customStyle="1">
    <w:name w:val="Unresolved Mention1"/>
    <w:basedOn w:val="DefaultParagraphFont"/>
    <w:uiPriority w:val="99"/>
    <w:semiHidden/>
    <w:rsid w:val="00AD4447"/>
    <w:rPr>
      <w:color w:val="605E5C"/>
      <w:shd w:val="clear" w:color="auto" w:fill="E1DFDD"/>
    </w:rPr>
  </w:style>
  <w:style w:type="paragraph" w:styleId="DeltaViewTableHeading" w:customStyle="1">
    <w:name w:val="DeltaView Table Heading"/>
    <w:basedOn w:val="Normal"/>
    <w:rsid w:val="00960870"/>
    <w:pPr>
      <w:autoSpaceDE w:val="0"/>
      <w:autoSpaceDN w:val="0"/>
      <w:adjustRightInd w:val="0"/>
      <w:spacing w:before="0" w:line="360" w:lineRule="atLeast"/>
      <w:textAlignment w:val="baseline"/>
    </w:pPr>
    <w:rPr>
      <w:rFonts w:eastAsia="Times New Roman" w:cs="Arial"/>
      <w:b/>
      <w:bCs/>
      <w:sz w:val="24"/>
      <w:szCs w:val="24"/>
    </w:rPr>
  </w:style>
  <w:style w:type="character" w:styleId="Mention1" w:customStyle="1">
    <w:name w:val="Mention1"/>
    <w:basedOn w:val="DefaultParagraphFont"/>
    <w:uiPriority w:val="99"/>
    <w:semiHidden/>
    <w:rsid w:val="00AD4447"/>
    <w:rPr>
      <w:color w:val="2B579A"/>
      <w:shd w:val="clear" w:color="auto" w:fill="E1DFDD"/>
    </w:rPr>
  </w:style>
  <w:style w:type="character" w:styleId="UnresolvedMention2" w:customStyle="1">
    <w:name w:val="Unresolved Mention2"/>
    <w:basedOn w:val="DefaultParagraphFont"/>
    <w:uiPriority w:val="99"/>
    <w:semiHidden/>
    <w:rsid w:val="00155532"/>
    <w:rPr>
      <w:color w:val="605E5C"/>
      <w:shd w:val="clear" w:color="auto" w:fill="E1DFDD"/>
    </w:rPr>
  </w:style>
  <w:style w:type="paragraph" w:styleId="TableofAuthorities">
    <w:name w:val="table of authorities"/>
    <w:basedOn w:val="Normal"/>
    <w:next w:val="Normal"/>
    <w:uiPriority w:val="99"/>
    <w:semiHidden/>
    <w:unhideWhenUsed/>
    <w:rsid w:val="00960870"/>
    <w:pPr>
      <w:widowControl w:val="0"/>
      <w:adjustRightInd w:val="0"/>
      <w:spacing w:before="0" w:after="0" w:line="360" w:lineRule="atLeast"/>
      <w:ind w:left="240" w:hanging="240"/>
      <w:textAlignment w:val="baseline"/>
    </w:pPr>
    <w:rPr>
      <w:rFonts w:ascii="Times New Roman" w:hAnsi="Times New Roman" w:eastAsia="Times New Roman"/>
      <w:sz w:val="24"/>
    </w:rPr>
  </w:style>
  <w:style w:type="paragraph" w:styleId="zGTitle14" w:customStyle="1">
    <w:name w:val="zGTitle14"/>
    <w:link w:val="zGTitle14Char"/>
    <w:uiPriority w:val="3"/>
    <w:qFormat/>
    <w:rsid w:val="000D703B"/>
    <w:pPr>
      <w:jc w:val="center"/>
    </w:pPr>
    <w:rPr>
      <w:rFonts w:eastAsia="Times New Roman"/>
      <w:b/>
      <w:spacing w:val="-6"/>
      <w:kern w:val="14"/>
      <w:sz w:val="28"/>
      <w:szCs w:val="24"/>
    </w:rPr>
  </w:style>
  <w:style w:type="character" w:styleId="SmartLink1" w:customStyle="1">
    <w:name w:val="SmartLink1"/>
    <w:basedOn w:val="DefaultParagraphFont"/>
    <w:uiPriority w:val="99"/>
    <w:rsid w:val="00D301CD"/>
    <w:rPr>
      <w:color w:val="0000FF"/>
      <w:u w:val="single"/>
      <w:shd w:val="clear" w:color="auto" w:fill="F3F2F1"/>
    </w:rPr>
  </w:style>
  <w:style w:type="character" w:styleId="RightPar" w:customStyle="1">
    <w:name w:val="Right Par"/>
    <w:basedOn w:val="DefaultParagraphFont"/>
    <w:rsid w:val="00960870"/>
  </w:style>
  <w:style w:type="paragraph" w:styleId="Revision">
    <w:name w:val="Revision"/>
    <w:hidden/>
    <w:uiPriority w:val="99"/>
    <w:semiHidden/>
    <w:rsid w:val="006B5000"/>
    <w:pPr>
      <w:spacing w:after="0"/>
    </w:pPr>
    <w:rPr>
      <w:rFonts w:eastAsia="Calibri"/>
    </w:rPr>
  </w:style>
  <w:style w:type="character" w:styleId="eop" w:customStyle="1">
    <w:name w:val="eop"/>
    <w:basedOn w:val="DefaultParagraphFont"/>
    <w:rsid w:val="00C82F03"/>
  </w:style>
  <w:style w:type="character" w:styleId="Mention2" w:customStyle="1">
    <w:name w:val="Mention2"/>
    <w:basedOn w:val="DefaultParagraphFont"/>
    <w:uiPriority w:val="99"/>
    <w:semiHidden/>
    <w:rsid w:val="00771446"/>
    <w:rPr>
      <w:color w:val="2B579A"/>
      <w:shd w:val="clear" w:color="auto" w:fill="E6E6E6"/>
    </w:rPr>
  </w:style>
  <w:style w:type="paragraph" w:styleId="zGTableTxt09" w:customStyle="1">
    <w:name w:val="zGTableTxt09"/>
    <w:uiPriority w:val="7"/>
    <w:qFormat/>
    <w:rsid w:val="00322FD8"/>
    <w:pPr>
      <w:widowControl w:val="0"/>
      <w:autoSpaceDE w:val="0"/>
      <w:autoSpaceDN w:val="0"/>
      <w:adjustRightInd w:val="0"/>
      <w:spacing w:after="0"/>
    </w:pPr>
    <w:rPr>
      <w:rFonts w:cs="Arial" w:eastAsiaTheme="minorEastAsia"/>
      <w:spacing w:val="-6"/>
      <w:kern w:val="14"/>
      <w:sz w:val="18"/>
    </w:rPr>
  </w:style>
  <w:style w:type="character" w:styleId="UnresolvedMention3" w:customStyle="1">
    <w:name w:val="Unresolved Mention3"/>
    <w:basedOn w:val="DefaultParagraphFont"/>
    <w:uiPriority w:val="99"/>
    <w:semiHidden/>
    <w:rsid w:val="00CB392F"/>
    <w:rPr>
      <w:color w:val="605E5C"/>
      <w:shd w:val="clear" w:color="auto" w:fill="E1DFDD"/>
    </w:rPr>
  </w:style>
  <w:style w:type="paragraph" w:styleId="zGTableHeading1" w:customStyle="1">
    <w:name w:val="zGTableHeading1"/>
    <w:uiPriority w:val="7"/>
    <w:rsid w:val="00322FD8"/>
    <w:pPr>
      <w:keepNext/>
      <w:keepLines/>
      <w:widowControl w:val="0"/>
      <w:autoSpaceDE w:val="0"/>
      <w:autoSpaceDN w:val="0"/>
      <w:adjustRightInd w:val="0"/>
      <w:spacing w:after="0"/>
      <w:jc w:val="center"/>
      <w:outlineLvl w:val="0"/>
    </w:pPr>
    <w:rPr>
      <w:rFonts w:cs="Arial" w:eastAsiaTheme="minorEastAsia"/>
      <w:b/>
      <w:smallCaps/>
      <w:color w:val="000000"/>
      <w:spacing w:val="-6"/>
      <w:kern w:val="14"/>
      <w:szCs w:val="24"/>
    </w:rPr>
  </w:style>
  <w:style w:type="paragraph" w:styleId="EndnoteText">
    <w:name w:val="endnote text"/>
    <w:basedOn w:val="Normal"/>
    <w:link w:val="EndnoteTextChar"/>
    <w:unhideWhenUsed/>
    <w:rsid w:val="00137E82"/>
  </w:style>
  <w:style w:type="paragraph" w:styleId="zG01" w:customStyle="1">
    <w:name w:val="zG01"/>
    <w:basedOn w:val="Normal"/>
    <w:next w:val="Normal"/>
    <w:uiPriority w:val="24"/>
    <w:qFormat/>
    <w:rsid w:val="008C367C"/>
    <w:pPr>
      <w:keepNext/>
      <w:widowControl w:val="0"/>
      <w:numPr>
        <w:numId w:val="32"/>
      </w:numPr>
      <w:autoSpaceDE w:val="0"/>
      <w:autoSpaceDN w:val="0"/>
      <w:adjustRightInd w:val="0"/>
      <w:spacing w:before="240" w:after="60"/>
      <w:outlineLvl w:val="0"/>
    </w:pPr>
    <w:rPr>
      <w:rFonts w:cs="Arial" w:eastAsiaTheme="minorEastAsia"/>
      <w:b/>
      <w:caps/>
      <w:spacing w:val="-6"/>
      <w:kern w:val="14"/>
    </w:rPr>
  </w:style>
  <w:style w:type="paragraph" w:styleId="zG02" w:customStyle="1">
    <w:name w:val="zG02"/>
    <w:basedOn w:val="Normal"/>
    <w:uiPriority w:val="24"/>
    <w:rsid w:val="008C367C"/>
    <w:pPr>
      <w:widowControl w:val="0"/>
      <w:numPr>
        <w:ilvl w:val="1"/>
        <w:numId w:val="32"/>
      </w:numPr>
      <w:tabs>
        <w:tab w:val="left" w:pos="576"/>
      </w:tabs>
      <w:autoSpaceDE w:val="0"/>
      <w:autoSpaceDN w:val="0"/>
      <w:adjustRightInd w:val="0"/>
      <w:outlineLvl w:val="1"/>
    </w:pPr>
    <w:rPr>
      <w:rFonts w:cs="Arial" w:eastAsiaTheme="minorEastAsia"/>
      <w:spacing w:val="-6"/>
      <w:kern w:val="14"/>
    </w:rPr>
  </w:style>
  <w:style w:type="character" w:styleId="zG02Char" w:customStyle="1">
    <w:name w:val="zG02 Char"/>
    <w:basedOn w:val="zG01Char"/>
    <w:uiPriority w:val="49"/>
    <w:semiHidden/>
    <w:rsid w:val="00BD0D61"/>
    <w:rPr>
      <w:rFonts w:cs="Arial"/>
      <w:b w:val="0"/>
      <w:caps w:val="0"/>
    </w:rPr>
  </w:style>
  <w:style w:type="paragraph" w:styleId="zG03" w:customStyle="1">
    <w:name w:val="zG03"/>
    <w:basedOn w:val="Normal"/>
    <w:uiPriority w:val="24"/>
    <w:rsid w:val="008C367C"/>
    <w:pPr>
      <w:widowControl w:val="0"/>
      <w:numPr>
        <w:ilvl w:val="2"/>
        <w:numId w:val="32"/>
      </w:numPr>
      <w:tabs>
        <w:tab w:val="left" w:pos="576"/>
      </w:tabs>
      <w:autoSpaceDE w:val="0"/>
      <w:autoSpaceDN w:val="0"/>
      <w:adjustRightInd w:val="0"/>
      <w:outlineLvl w:val="2"/>
    </w:pPr>
    <w:rPr>
      <w:rFonts w:cs="Arial" w:eastAsiaTheme="minorEastAsia"/>
      <w:spacing w:val="-6"/>
      <w:kern w:val="14"/>
    </w:rPr>
  </w:style>
  <w:style w:type="character" w:styleId="TOC1Char" w:customStyle="1">
    <w:name w:val="TOC 1 Char"/>
    <w:aliases w:val="zGTOC 1 Char"/>
    <w:basedOn w:val="zGNormalChar"/>
    <w:link w:val="TOC1"/>
    <w:uiPriority w:val="7"/>
    <w:rsid w:val="00C2097B"/>
    <w:rPr>
      <w:rFonts w:ascii="Arial Bold" w:hAnsi="Arial Bold" w:eastAsia="Times New Roman" w:cs="Arial"/>
      <w:b/>
      <w:caps/>
      <w:kern w:val="14"/>
    </w:rPr>
  </w:style>
  <w:style w:type="paragraph" w:styleId="zG04" w:customStyle="1">
    <w:name w:val="zG04"/>
    <w:basedOn w:val="Normal"/>
    <w:uiPriority w:val="24"/>
    <w:rsid w:val="008C367C"/>
    <w:pPr>
      <w:widowControl w:val="0"/>
      <w:numPr>
        <w:ilvl w:val="3"/>
        <w:numId w:val="32"/>
      </w:numPr>
      <w:tabs>
        <w:tab w:val="left" w:pos="1008"/>
        <w:tab w:val="left" w:pos="1080"/>
      </w:tabs>
      <w:autoSpaceDE w:val="0"/>
      <w:autoSpaceDN w:val="0"/>
      <w:adjustRightInd w:val="0"/>
      <w:spacing w:before="60"/>
      <w:outlineLvl w:val="3"/>
    </w:pPr>
    <w:rPr>
      <w:rFonts w:cs="Arial" w:eastAsiaTheme="minorEastAsia"/>
      <w:spacing w:val="-6"/>
      <w:kern w:val="14"/>
    </w:rPr>
  </w:style>
  <w:style w:type="paragraph" w:styleId="zGFooter" w:customStyle="1">
    <w:name w:val="zGFooter"/>
    <w:next w:val="Normal"/>
    <w:uiPriority w:val="5"/>
    <w:qFormat/>
    <w:rsid w:val="00322FD8"/>
    <w:pPr>
      <w:widowControl w:val="0"/>
      <w:tabs>
        <w:tab w:val="center" w:pos="5040"/>
        <w:tab w:val="right" w:pos="8630"/>
      </w:tabs>
      <w:autoSpaceDE w:val="0"/>
      <w:autoSpaceDN w:val="0"/>
      <w:adjustRightInd w:val="0"/>
      <w:spacing w:after="0"/>
    </w:pPr>
    <w:rPr>
      <w:rFonts w:cs="Arial" w:eastAsiaTheme="minorEastAsia"/>
      <w:spacing w:val="-6"/>
      <w:kern w:val="14"/>
      <w:sz w:val="16"/>
    </w:rPr>
  </w:style>
  <w:style w:type="paragraph" w:styleId="zG05" w:customStyle="1">
    <w:name w:val="zG05"/>
    <w:basedOn w:val="Normal"/>
    <w:uiPriority w:val="24"/>
    <w:rsid w:val="008C367C"/>
    <w:pPr>
      <w:widowControl w:val="0"/>
      <w:numPr>
        <w:ilvl w:val="4"/>
        <w:numId w:val="32"/>
      </w:numPr>
      <w:tabs>
        <w:tab w:val="left" w:pos="1368"/>
      </w:tabs>
      <w:autoSpaceDE w:val="0"/>
      <w:autoSpaceDN w:val="0"/>
      <w:adjustRightInd w:val="0"/>
      <w:spacing w:before="60"/>
      <w:outlineLvl w:val="4"/>
    </w:pPr>
    <w:rPr>
      <w:rFonts w:cs="Arial" w:eastAsiaTheme="minorEastAsia"/>
      <w:spacing w:val="-6"/>
      <w:kern w:val="14"/>
    </w:rPr>
  </w:style>
  <w:style w:type="paragraph" w:styleId="zGFooterLine" w:customStyle="1">
    <w:name w:val="zGFooterLine"/>
    <w:basedOn w:val="Normal"/>
    <w:uiPriority w:val="5"/>
    <w:rsid w:val="00322FD8"/>
    <w:pPr>
      <w:widowControl w:val="0"/>
      <w:pBdr>
        <w:bottom w:val="single" w:color="auto" w:sz="2" w:space="1"/>
      </w:pBdr>
      <w:tabs>
        <w:tab w:val="center" w:pos="5040"/>
        <w:tab w:val="right" w:pos="8630"/>
      </w:tabs>
      <w:autoSpaceDE w:val="0"/>
      <w:autoSpaceDN w:val="0"/>
      <w:adjustRightInd w:val="0"/>
      <w:spacing w:after="80"/>
    </w:pPr>
    <w:rPr>
      <w:rFonts w:eastAsiaTheme="minorEastAsia"/>
      <w:spacing w:val="-6"/>
      <w:kern w:val="14"/>
      <w:sz w:val="8"/>
      <w:szCs w:val="24"/>
    </w:rPr>
  </w:style>
  <w:style w:type="paragraph" w:styleId="zGHeaderDraft" w:customStyle="1">
    <w:name w:val="zGHeaderDraft"/>
    <w:next w:val="Normal"/>
    <w:uiPriority w:val="99"/>
    <w:semiHidden/>
    <w:qFormat/>
    <w:rsid w:val="00322FD8"/>
    <w:pPr>
      <w:widowControl w:val="0"/>
      <w:tabs>
        <w:tab w:val="right" w:pos="9936"/>
      </w:tabs>
      <w:autoSpaceDE w:val="0"/>
      <w:autoSpaceDN w:val="0"/>
      <w:adjustRightInd w:val="0"/>
      <w:spacing w:after="0"/>
      <w:jc w:val="right"/>
    </w:pPr>
    <w:rPr>
      <w:rFonts w:ascii="Arial Bold" w:hAnsi="Arial Bold" w:cs="Arial" w:eastAsiaTheme="minorEastAsia"/>
      <w:b/>
      <w:i/>
      <w:color w:val="FF0000"/>
      <w:spacing w:val="-6"/>
      <w:kern w:val="14"/>
      <w:sz w:val="18"/>
    </w:rPr>
  </w:style>
  <w:style w:type="paragraph" w:styleId="zGHiddenTitle" w:customStyle="1">
    <w:name w:val="zGHiddenTitle"/>
    <w:uiPriority w:val="9"/>
    <w:semiHidden/>
    <w:rsid w:val="00322FD8"/>
    <w:pPr>
      <w:keepNext/>
      <w:widowControl w:val="0"/>
      <w:autoSpaceDE w:val="0"/>
      <w:autoSpaceDN w:val="0"/>
      <w:adjustRightInd w:val="0"/>
      <w:spacing w:after="0"/>
    </w:pPr>
    <w:rPr>
      <w:rFonts w:cs="Arial" w:eastAsiaTheme="minorEastAsia"/>
      <w:color w:val="FFFFFF"/>
      <w:spacing w:val="-6"/>
      <w:kern w:val="14"/>
      <w:sz w:val="2"/>
    </w:rPr>
  </w:style>
  <w:style w:type="paragraph" w:styleId="zGListi" w:customStyle="1">
    <w:name w:val="zGList(i)"/>
    <w:uiPriority w:val="6"/>
    <w:qFormat/>
    <w:rsid w:val="00322FD8"/>
    <w:pPr>
      <w:widowControl w:val="0"/>
      <w:numPr>
        <w:numId w:val="7"/>
      </w:numPr>
      <w:autoSpaceDE w:val="0"/>
      <w:autoSpaceDN w:val="0"/>
      <w:adjustRightInd w:val="0"/>
      <w:spacing w:after="0"/>
    </w:pPr>
    <w:rPr>
      <w:rFonts w:cs="Arial" w:eastAsiaTheme="minorEastAsia"/>
      <w:spacing w:val="-6"/>
      <w:kern w:val="14"/>
    </w:rPr>
  </w:style>
  <w:style w:type="paragraph" w:styleId="zGListBullet" w:customStyle="1">
    <w:name w:val="zGListBullet"/>
    <w:uiPriority w:val="6"/>
    <w:qFormat/>
    <w:rsid w:val="00322FD8"/>
    <w:pPr>
      <w:widowControl w:val="0"/>
      <w:autoSpaceDE w:val="0"/>
      <w:autoSpaceDN w:val="0"/>
      <w:adjustRightInd w:val="0"/>
      <w:spacing w:before="60" w:after="0"/>
      <w:ind w:left="1872" w:hanging="360"/>
    </w:pPr>
    <w:rPr>
      <w:rFonts w:cs="Arial" w:eastAsiaTheme="minorEastAsia"/>
      <w:spacing w:val="-6"/>
      <w:kern w:val="14"/>
    </w:rPr>
  </w:style>
  <w:style w:type="paragraph" w:styleId="zGBody6" w:customStyle="1">
    <w:name w:val="zGBody 6"/>
    <w:basedOn w:val="Normal"/>
    <w:link w:val="zGBody6Char"/>
    <w:uiPriority w:val="2"/>
    <w:rsid w:val="00A37992"/>
    <w:pPr>
      <w:numPr>
        <w:ilvl w:val="5"/>
        <w:numId w:val="21"/>
      </w:numPr>
      <w:ind w:left="2160" w:hanging="360"/>
    </w:pPr>
  </w:style>
  <w:style w:type="paragraph" w:styleId="zGListBullet2" w:customStyle="1">
    <w:name w:val="zGListBullet2"/>
    <w:uiPriority w:val="6"/>
    <w:qFormat/>
    <w:rsid w:val="00322FD8"/>
    <w:pPr>
      <w:widowControl w:val="0"/>
      <w:numPr>
        <w:numId w:val="9"/>
      </w:numPr>
      <w:autoSpaceDE w:val="0"/>
      <w:autoSpaceDN w:val="0"/>
      <w:adjustRightInd w:val="0"/>
      <w:spacing w:before="60" w:after="0"/>
    </w:pPr>
    <w:rPr>
      <w:rFonts w:cs="Arial" w:eastAsiaTheme="minorEastAsia"/>
      <w:spacing w:val="-6"/>
      <w:kern w:val="14"/>
    </w:rPr>
  </w:style>
  <w:style w:type="paragraph" w:styleId="zGTableHeading2" w:customStyle="1">
    <w:name w:val="zGTableHeading2"/>
    <w:uiPriority w:val="7"/>
    <w:qFormat/>
    <w:rsid w:val="00322FD8"/>
    <w:pPr>
      <w:keepNext/>
      <w:widowControl w:val="0"/>
      <w:autoSpaceDE w:val="0"/>
      <w:autoSpaceDN w:val="0"/>
      <w:adjustRightInd w:val="0"/>
      <w:spacing w:after="0"/>
      <w:jc w:val="center"/>
      <w:outlineLvl w:val="0"/>
    </w:pPr>
    <w:rPr>
      <w:rFonts w:cs="Arial" w:eastAsiaTheme="minorEastAsia"/>
      <w:b/>
      <w:spacing w:val="-6"/>
      <w:kern w:val="14"/>
      <w:sz w:val="18"/>
    </w:rPr>
  </w:style>
  <w:style w:type="paragraph" w:styleId="zGTableHeading3" w:customStyle="1">
    <w:name w:val="zGTableHeading3"/>
    <w:uiPriority w:val="7"/>
    <w:qFormat/>
    <w:rsid w:val="00322FD8"/>
    <w:pPr>
      <w:widowControl w:val="0"/>
      <w:autoSpaceDE w:val="0"/>
      <w:autoSpaceDN w:val="0"/>
      <w:adjustRightInd w:val="0"/>
      <w:spacing w:after="0"/>
      <w:jc w:val="center"/>
      <w:outlineLvl w:val="0"/>
    </w:pPr>
    <w:rPr>
      <w:rFonts w:cs="Arial" w:eastAsiaTheme="minorEastAsia"/>
      <w:b/>
      <w:smallCaps/>
      <w:color w:val="000000"/>
      <w:spacing w:val="-6"/>
      <w:kern w:val="14"/>
      <w:sz w:val="18"/>
    </w:rPr>
  </w:style>
  <w:style w:type="paragraph" w:styleId="zGTableSig12" w:customStyle="1">
    <w:name w:val="zGTableSig12"/>
    <w:uiPriority w:val="7"/>
    <w:rsid w:val="00322FD8"/>
    <w:pPr>
      <w:keepNext/>
      <w:keepLines/>
      <w:widowControl w:val="0"/>
      <w:autoSpaceDE w:val="0"/>
      <w:autoSpaceDN w:val="0"/>
      <w:adjustRightInd w:val="0"/>
      <w:spacing w:after="0"/>
    </w:pPr>
    <w:rPr>
      <w:rFonts w:cs="Arial" w:eastAsiaTheme="minorEastAsia"/>
      <w:b/>
      <w:spacing w:val="-6"/>
      <w:kern w:val="14"/>
      <w:sz w:val="24"/>
    </w:rPr>
  </w:style>
  <w:style w:type="paragraph" w:styleId="TOAHeading">
    <w:name w:val="toa heading"/>
    <w:basedOn w:val="Normal"/>
    <w:next w:val="Normal"/>
    <w:semiHidden/>
    <w:rsid w:val="00960870"/>
    <w:pPr>
      <w:widowControl w:val="0"/>
      <w:tabs>
        <w:tab w:val="right" w:pos="9360"/>
      </w:tabs>
      <w:suppressAutoHyphens/>
      <w:adjustRightInd w:val="0"/>
      <w:spacing w:before="0" w:after="0" w:line="360" w:lineRule="atLeast"/>
      <w:textAlignment w:val="baseline"/>
    </w:pPr>
    <w:rPr>
      <w:rFonts w:ascii="Times New Roman" w:hAnsi="Times New Roman" w:eastAsia="Times New Roman"/>
      <w:sz w:val="24"/>
    </w:rPr>
  </w:style>
  <w:style w:type="character" w:styleId="EndnoteTextChar" w:customStyle="1">
    <w:name w:val="Endnote Text Char"/>
    <w:basedOn w:val="DefaultParagraphFont"/>
    <w:link w:val="EndnoteText"/>
    <w:uiPriority w:val="49"/>
    <w:rsid w:val="00EC6D53"/>
  </w:style>
  <w:style w:type="paragraph" w:styleId="zGTC01" w:customStyle="1">
    <w:name w:val="zGTC01"/>
    <w:basedOn w:val="zGNormal"/>
    <w:next w:val="Normal"/>
    <w:link w:val="zGTC01Char"/>
    <w:uiPriority w:val="1"/>
    <w:qFormat/>
    <w:rsid w:val="00D5327D"/>
    <w:pPr>
      <w:keepNext/>
      <w:numPr>
        <w:numId w:val="22"/>
      </w:numPr>
      <w:autoSpaceDE/>
      <w:autoSpaceDN/>
      <w:adjustRightInd/>
      <w:spacing w:before="360" w:after="120"/>
      <w:outlineLvl w:val="0"/>
    </w:pPr>
    <w:rPr>
      <w:rFonts w:ascii="Arial Bold" w:hAnsi="Arial Bold" w:eastAsia="Times New Roman"/>
      <w:b/>
      <w:caps/>
      <w:szCs w:val="24"/>
    </w:rPr>
  </w:style>
  <w:style w:type="character" w:styleId="zGTC01Char" w:customStyle="1">
    <w:name w:val="zGTC01 Char"/>
    <w:basedOn w:val="DefaultParagraphFont"/>
    <w:link w:val="zGTC01"/>
    <w:uiPriority w:val="1"/>
    <w:rsid w:val="00D5327D"/>
    <w:rPr>
      <w:rFonts w:ascii="Arial Bold" w:hAnsi="Arial Bold" w:eastAsia="Times New Roman" w:cs="Arial"/>
      <w:b/>
      <w:caps/>
      <w:kern w:val="14"/>
      <w:szCs w:val="24"/>
    </w:rPr>
  </w:style>
  <w:style w:type="paragraph" w:styleId="zGTC02" w:customStyle="1">
    <w:name w:val="zGTC02"/>
    <w:basedOn w:val="zGNormal"/>
    <w:link w:val="zGTC02Char"/>
    <w:uiPriority w:val="1"/>
    <w:qFormat/>
    <w:rsid w:val="00CF352A"/>
    <w:pPr>
      <w:numPr>
        <w:ilvl w:val="1"/>
        <w:numId w:val="22"/>
      </w:numPr>
      <w:tabs>
        <w:tab w:val="left" w:pos="576"/>
      </w:tabs>
      <w:autoSpaceDE/>
      <w:autoSpaceDN/>
      <w:adjustRightInd/>
      <w:spacing w:after="120"/>
    </w:pPr>
    <w:rPr>
      <w:rFonts w:ascii="Arial Bold" w:hAnsi="Arial Bold" w:eastAsia="Times New Roman" w:cs="Times New Roman"/>
      <w:b/>
      <w:szCs w:val="24"/>
    </w:rPr>
  </w:style>
  <w:style w:type="paragraph" w:styleId="Article5L5" w:customStyle="1">
    <w:name w:val="Article5_L5"/>
    <w:basedOn w:val="Article5L4"/>
    <w:next w:val="BodyText"/>
    <w:rsid w:val="00960870"/>
    <w:pPr>
      <w:numPr>
        <w:ilvl w:val="4"/>
      </w:numPr>
      <w:tabs>
        <w:tab w:val="num" w:pos="1195"/>
        <w:tab w:val="num" w:pos="2520"/>
      </w:tabs>
      <w:ind w:left="864" w:hanging="936"/>
      <w:jc w:val="left"/>
      <w:outlineLvl w:val="4"/>
    </w:pPr>
  </w:style>
  <w:style w:type="character" w:styleId="zGTC02Char" w:customStyle="1">
    <w:name w:val="zGTC02 Char"/>
    <w:basedOn w:val="DefaultParagraphFont"/>
    <w:link w:val="zGTC02"/>
    <w:uiPriority w:val="1"/>
    <w:rsid w:val="00CF352A"/>
    <w:rPr>
      <w:rFonts w:ascii="Arial Bold" w:hAnsi="Arial Bold" w:eastAsia="Times New Roman"/>
      <w:b/>
      <w:kern w:val="14"/>
      <w:szCs w:val="24"/>
    </w:rPr>
  </w:style>
  <w:style w:type="paragraph" w:styleId="zGTC03" w:customStyle="1">
    <w:name w:val="zGTC03"/>
    <w:basedOn w:val="zGNormal"/>
    <w:link w:val="zGTC03Char"/>
    <w:qFormat/>
    <w:rsid w:val="000247F7"/>
    <w:pPr>
      <w:numPr>
        <w:ilvl w:val="2"/>
        <w:numId w:val="22"/>
      </w:numPr>
      <w:autoSpaceDE/>
      <w:autoSpaceDN/>
      <w:adjustRightInd/>
      <w:spacing w:after="120"/>
    </w:pPr>
    <w:rPr>
      <w:rFonts w:eastAsia="Times New Roman" w:cs="Times New Roman"/>
      <w:szCs w:val="24"/>
    </w:rPr>
  </w:style>
  <w:style w:type="paragraph" w:styleId="zGTC04" w:customStyle="1">
    <w:name w:val="zGTC04"/>
    <w:basedOn w:val="zGNormal"/>
    <w:link w:val="zGTC04Char"/>
    <w:qFormat/>
    <w:rsid w:val="00CF352A"/>
    <w:pPr>
      <w:numPr>
        <w:ilvl w:val="3"/>
        <w:numId w:val="22"/>
      </w:numPr>
      <w:autoSpaceDE/>
      <w:autoSpaceDN/>
      <w:adjustRightInd/>
      <w:spacing w:after="120"/>
    </w:pPr>
    <w:rPr>
      <w:rFonts w:eastAsia="Times New Roman" w:cs="Times New Roman"/>
      <w:szCs w:val="24"/>
    </w:rPr>
  </w:style>
  <w:style w:type="paragraph" w:styleId="zGTC05" w:customStyle="1">
    <w:name w:val="zGTC05"/>
    <w:basedOn w:val="zGNormal"/>
    <w:link w:val="zGTC05Char"/>
    <w:uiPriority w:val="1"/>
    <w:qFormat/>
    <w:rsid w:val="00CF352A"/>
    <w:pPr>
      <w:numPr>
        <w:ilvl w:val="4"/>
        <w:numId w:val="22"/>
      </w:numPr>
      <w:autoSpaceDE/>
      <w:autoSpaceDN/>
      <w:adjustRightInd/>
      <w:spacing w:before="60" w:after="60"/>
    </w:pPr>
    <w:rPr>
      <w:rFonts w:eastAsia="Times New Roman" w:cs="Times New Roman"/>
      <w:szCs w:val="24"/>
    </w:rPr>
  </w:style>
  <w:style w:type="paragraph" w:styleId="zGTitle11" w:customStyle="1">
    <w:name w:val="zGTitle11"/>
    <w:link w:val="zGTitle11Char"/>
    <w:uiPriority w:val="4"/>
    <w:qFormat/>
    <w:rsid w:val="00C96FDF"/>
    <w:pPr>
      <w:spacing w:before="240" w:after="240"/>
      <w:jc w:val="center"/>
    </w:pPr>
    <w:rPr>
      <w:rFonts w:eastAsia="Times New Roman"/>
      <w:b/>
      <w:spacing w:val="-6"/>
      <w:kern w:val="14"/>
      <w:sz w:val="22"/>
    </w:rPr>
  </w:style>
  <w:style w:type="character" w:styleId="zGTitle11Char" w:customStyle="1">
    <w:name w:val="zGTitle11 Char"/>
    <w:basedOn w:val="DefaultParagraphFont"/>
    <w:link w:val="zGTitle11"/>
    <w:uiPriority w:val="4"/>
    <w:rsid w:val="00C96FDF"/>
    <w:rPr>
      <w:rFonts w:eastAsia="Times New Roman"/>
      <w:b/>
      <w:spacing w:val="-6"/>
      <w:kern w:val="14"/>
      <w:sz w:val="22"/>
    </w:rPr>
  </w:style>
  <w:style w:type="paragraph" w:styleId="zGBody1" w:customStyle="1">
    <w:name w:val="zGBody 1"/>
    <w:basedOn w:val="zGNormal"/>
    <w:next w:val="zGBody2"/>
    <w:link w:val="zGBody1Char"/>
    <w:uiPriority w:val="2"/>
    <w:qFormat/>
    <w:rsid w:val="00CF352A"/>
    <w:pPr>
      <w:keepNext/>
      <w:numPr>
        <w:numId w:val="21"/>
      </w:numPr>
      <w:tabs>
        <w:tab w:val="num" w:pos="504"/>
        <w:tab w:val="num" w:pos="936"/>
      </w:tabs>
      <w:spacing w:before="480" w:after="240"/>
      <w:ind w:left="936" w:hanging="936"/>
    </w:pPr>
    <w:rPr>
      <w:rFonts w:ascii="Arial Bold" w:hAnsi="Arial Bold"/>
      <w:b/>
      <w:caps/>
      <w:u w:val="single"/>
    </w:rPr>
  </w:style>
  <w:style w:type="paragraph" w:styleId="zGBody2" w:customStyle="1">
    <w:name w:val="zGBody 2"/>
    <w:basedOn w:val="zGNormal"/>
    <w:link w:val="zGBody2Char"/>
    <w:uiPriority w:val="2"/>
    <w:qFormat/>
    <w:rsid w:val="00E41AF7"/>
    <w:pPr>
      <w:keepNext/>
      <w:numPr>
        <w:ilvl w:val="1"/>
        <w:numId w:val="21"/>
      </w:numPr>
      <w:tabs>
        <w:tab w:val="num" w:pos="576"/>
      </w:tabs>
      <w:spacing w:before="360" w:after="120"/>
      <w:ind w:left="0" w:firstLine="0"/>
    </w:pPr>
    <w:rPr>
      <w:rFonts w:ascii="Arial Bold" w:hAnsi="Arial Bold"/>
      <w:b/>
    </w:rPr>
  </w:style>
  <w:style w:type="paragraph" w:styleId="zGBody3" w:customStyle="1">
    <w:name w:val="zGBody 3"/>
    <w:basedOn w:val="zGNormal"/>
    <w:link w:val="zGBody3Char"/>
    <w:uiPriority w:val="2"/>
    <w:qFormat/>
    <w:rsid w:val="00EC6D53"/>
    <w:pPr>
      <w:numPr>
        <w:ilvl w:val="2"/>
        <w:numId w:val="21"/>
      </w:numPr>
      <w:spacing w:after="240"/>
    </w:pPr>
  </w:style>
  <w:style w:type="paragraph" w:styleId="zGNormal" w:customStyle="1">
    <w:name w:val="zGNormal"/>
    <w:link w:val="zGNormalChar"/>
    <w:qFormat/>
    <w:rsid w:val="000247F7"/>
    <w:pPr>
      <w:autoSpaceDE w:val="0"/>
      <w:autoSpaceDN w:val="0"/>
      <w:adjustRightInd w:val="0"/>
      <w:spacing w:after="0"/>
    </w:pPr>
    <w:rPr>
      <w:rFonts w:cs="Arial" w:eastAsiaTheme="minorEastAsia"/>
      <w:kern w:val="14"/>
    </w:rPr>
  </w:style>
  <w:style w:type="paragraph" w:styleId="zGZ1" w:customStyle="1">
    <w:name w:val="zGZ1"/>
    <w:uiPriority w:val="1"/>
    <w:qFormat/>
    <w:rsid w:val="00322FD8"/>
    <w:pPr>
      <w:numPr>
        <w:numId w:val="12"/>
      </w:numPr>
      <w:tabs>
        <w:tab w:val="left" w:pos="576"/>
      </w:tabs>
    </w:pPr>
    <w:rPr>
      <w:rFonts w:eastAsia="Times New Roman"/>
      <w:szCs w:val="24"/>
    </w:rPr>
  </w:style>
  <w:style w:type="paragraph" w:styleId="zGZ2" w:customStyle="1">
    <w:name w:val="zGZ2"/>
    <w:uiPriority w:val="1"/>
    <w:qFormat/>
    <w:rsid w:val="00322FD8"/>
    <w:pPr>
      <w:numPr>
        <w:ilvl w:val="1"/>
        <w:numId w:val="12"/>
      </w:numPr>
    </w:pPr>
    <w:rPr>
      <w:rFonts w:eastAsia="Times New Roman"/>
      <w:szCs w:val="24"/>
    </w:rPr>
  </w:style>
  <w:style w:type="paragraph" w:styleId="zGZ3" w:customStyle="1">
    <w:name w:val="zGZ3"/>
    <w:basedOn w:val="Normal"/>
    <w:uiPriority w:val="1"/>
    <w:qFormat/>
    <w:rsid w:val="00322FD8"/>
    <w:pPr>
      <w:numPr>
        <w:ilvl w:val="2"/>
        <w:numId w:val="12"/>
      </w:numPr>
      <w:spacing w:before="80"/>
    </w:pPr>
    <w:rPr>
      <w:rFonts w:eastAsia="Times New Roman"/>
      <w:szCs w:val="24"/>
    </w:rPr>
  </w:style>
  <w:style w:type="numbering" w:styleId="zGzListStyle1" w:customStyle="1">
    <w:name w:val="zGzListStyle1"/>
    <w:uiPriority w:val="99"/>
    <w:rsid w:val="00322FD8"/>
    <w:pPr>
      <w:numPr>
        <w:numId w:val="8"/>
      </w:numPr>
    </w:pPr>
  </w:style>
  <w:style w:type="numbering" w:styleId="zGzListStyle3" w:customStyle="1">
    <w:name w:val="zGzListStyle3"/>
    <w:uiPriority w:val="99"/>
    <w:rsid w:val="00322FD8"/>
    <w:pPr>
      <w:numPr>
        <w:numId w:val="31"/>
      </w:numPr>
    </w:pPr>
  </w:style>
  <w:style w:type="character" w:styleId="EndnoteReference">
    <w:name w:val="endnote reference"/>
    <w:basedOn w:val="DefaultParagraphFont"/>
    <w:semiHidden/>
    <w:unhideWhenUsed/>
    <w:rsid w:val="00137E82"/>
    <w:rPr>
      <w:vertAlign w:val="superscript"/>
    </w:rPr>
  </w:style>
  <w:style w:type="paragraph" w:styleId="zGBody5" w:customStyle="1">
    <w:name w:val="zGBody 5"/>
    <w:basedOn w:val="Normal"/>
    <w:link w:val="zGBody5Char"/>
    <w:uiPriority w:val="2"/>
    <w:rsid w:val="00CF352A"/>
    <w:pPr>
      <w:numPr>
        <w:ilvl w:val="4"/>
        <w:numId w:val="21"/>
      </w:numPr>
      <w:tabs>
        <w:tab w:val="num" w:pos="1368"/>
      </w:tabs>
      <w:ind w:left="864"/>
    </w:pPr>
  </w:style>
  <w:style w:type="character" w:styleId="zGNormalChar" w:customStyle="1">
    <w:name w:val="zGNormal Char"/>
    <w:basedOn w:val="DefaultParagraphFont"/>
    <w:link w:val="zGNormal"/>
    <w:rsid w:val="000247F7"/>
    <w:rPr>
      <w:rFonts w:cs="Arial" w:eastAsiaTheme="minorEastAsia"/>
      <w:kern w:val="14"/>
    </w:rPr>
  </w:style>
  <w:style w:type="character" w:styleId="zGBody2Char" w:customStyle="1">
    <w:name w:val="zGBody 2 Char"/>
    <w:basedOn w:val="zGNormalChar"/>
    <w:link w:val="zGBody2"/>
    <w:uiPriority w:val="2"/>
    <w:rsid w:val="00E41AF7"/>
    <w:rPr>
      <w:rFonts w:ascii="Arial Bold" w:hAnsi="Arial Bold" w:cs="Arial" w:eastAsiaTheme="minorEastAsia"/>
      <w:b/>
      <w:kern w:val="14"/>
    </w:rPr>
  </w:style>
  <w:style w:type="paragraph" w:styleId="zGTitleExhibit" w:customStyle="1">
    <w:name w:val="zGTitleExhibit"/>
    <w:next w:val="zGTitle12"/>
    <w:uiPriority w:val="4"/>
    <w:qFormat/>
    <w:rsid w:val="00322FD8"/>
    <w:pPr>
      <w:jc w:val="center"/>
      <w:outlineLvl w:val="0"/>
    </w:pPr>
    <w:rPr>
      <w:rFonts w:eastAsia="Times New Roman"/>
      <w:b/>
      <w:bCs/>
      <w:caps/>
      <w:kern w:val="32"/>
      <w:sz w:val="22"/>
      <w:szCs w:val="32"/>
      <w:u w:val="single"/>
    </w:rPr>
  </w:style>
  <w:style w:type="character" w:styleId="zGBody3Char" w:customStyle="1">
    <w:name w:val="zGBody 3 Char"/>
    <w:basedOn w:val="zGNormalChar"/>
    <w:link w:val="zGBody3"/>
    <w:uiPriority w:val="2"/>
    <w:rsid w:val="00EC6D53"/>
    <w:rPr>
      <w:rFonts w:cs="Arial" w:eastAsiaTheme="minorEastAsia"/>
      <w:kern w:val="14"/>
    </w:rPr>
  </w:style>
  <w:style w:type="paragraph" w:styleId="zGTitle36Calibri" w:customStyle="1">
    <w:name w:val="zGTitle 36 (Calibri)"/>
    <w:link w:val="zGTitle36CalibriChar"/>
    <w:uiPriority w:val="4"/>
    <w:rsid w:val="00244458"/>
    <w:pPr>
      <w:widowControl w:val="0"/>
      <w:spacing w:after="360"/>
      <w:jc w:val="center"/>
    </w:pPr>
    <w:rPr>
      <w:rFonts w:ascii="Calibri" w:hAnsi="Calibri" w:eastAsia="Times New Roman" w:cstheme="minorHAnsi"/>
      <w:b/>
      <w:kern w:val="14"/>
      <w:sz w:val="72"/>
      <w:szCs w:val="72"/>
    </w:rPr>
  </w:style>
  <w:style w:type="character" w:styleId="zGTitle14Char" w:customStyle="1">
    <w:name w:val="zGTitle14 Char"/>
    <w:basedOn w:val="DefaultParagraphFont"/>
    <w:link w:val="zGTitle14"/>
    <w:uiPriority w:val="3"/>
    <w:rsid w:val="000D703B"/>
    <w:rPr>
      <w:rFonts w:eastAsia="Times New Roman"/>
      <w:b/>
      <w:spacing w:val="-6"/>
      <w:kern w:val="14"/>
      <w:sz w:val="28"/>
      <w:szCs w:val="24"/>
    </w:rPr>
  </w:style>
  <w:style w:type="character" w:styleId="zGEditorNote" w:customStyle="1">
    <w:name w:val="zGEditorNote"/>
    <w:uiPriority w:val="5"/>
    <w:rsid w:val="004F4765"/>
    <w:rPr>
      <w:rFonts w:ascii="Arial Bold" w:hAnsi="Arial Bold"/>
      <w:b/>
      <w:i/>
      <w:color w:val="000000" w:themeColor="text1"/>
      <w:sz w:val="22"/>
      <w:bdr w:val="none" w:color="auto" w:sz="0" w:space="0"/>
      <w:shd w:val="clear" w:color="auto" w:fill="CAFCFE"/>
    </w:rPr>
  </w:style>
  <w:style w:type="paragraph" w:styleId="Quote">
    <w:name w:val="Quote"/>
    <w:basedOn w:val="Normal"/>
    <w:next w:val="Normal"/>
    <w:link w:val="QuoteChar"/>
    <w:uiPriority w:val="29"/>
    <w:qFormat/>
    <w:rsid w:val="007C2163"/>
    <w:rPr>
      <w:i/>
      <w:iCs/>
    </w:rPr>
  </w:style>
  <w:style w:type="paragraph" w:styleId="zGTableTxt10" w:customStyle="1">
    <w:name w:val="zGTableTxt10"/>
    <w:uiPriority w:val="7"/>
    <w:qFormat/>
    <w:rsid w:val="00322FD8"/>
    <w:pPr>
      <w:widowControl w:val="0"/>
      <w:autoSpaceDE w:val="0"/>
      <w:autoSpaceDN w:val="0"/>
      <w:adjustRightInd w:val="0"/>
      <w:spacing w:after="0"/>
    </w:pPr>
    <w:rPr>
      <w:rFonts w:cs="Arial" w:eastAsiaTheme="minorEastAsia"/>
      <w:spacing w:val="-6"/>
      <w:kern w:val="14"/>
    </w:rPr>
  </w:style>
  <w:style w:type="paragraph" w:styleId="zGTitle12" w:customStyle="1">
    <w:name w:val="zGTitle12"/>
    <w:uiPriority w:val="4"/>
    <w:rsid w:val="00C96FDF"/>
    <w:pPr>
      <w:spacing w:before="240" w:after="240"/>
      <w:jc w:val="center"/>
    </w:pPr>
    <w:rPr>
      <w:rFonts w:eastAsia="Times New Roman"/>
      <w:b/>
      <w:spacing w:val="-6"/>
      <w:kern w:val="14"/>
      <w:sz w:val="24"/>
      <w:szCs w:val="24"/>
    </w:rPr>
  </w:style>
  <w:style w:type="character" w:styleId="zGTC03Char" w:customStyle="1">
    <w:name w:val="zGTC03 Char"/>
    <w:basedOn w:val="zGNormalChar"/>
    <w:link w:val="zGTC03"/>
    <w:uiPriority w:val="1"/>
    <w:rsid w:val="000247F7"/>
    <w:rPr>
      <w:rFonts w:eastAsia="Times New Roman" w:cs="Arial"/>
      <w:kern w:val="14"/>
      <w:szCs w:val="24"/>
    </w:rPr>
  </w:style>
  <w:style w:type="character" w:styleId="zGTC04Char" w:customStyle="1">
    <w:name w:val="zGTC04 Char"/>
    <w:basedOn w:val="zGNormalChar"/>
    <w:link w:val="zGTC04"/>
    <w:uiPriority w:val="1"/>
    <w:rsid w:val="00CF352A"/>
    <w:rPr>
      <w:rFonts w:eastAsia="Times New Roman" w:cs="Arial"/>
      <w:kern w:val="14"/>
      <w:szCs w:val="24"/>
    </w:rPr>
  </w:style>
  <w:style w:type="character" w:styleId="zGTC05Char" w:customStyle="1">
    <w:name w:val="zGTC05 Char"/>
    <w:basedOn w:val="zGNormalChar"/>
    <w:link w:val="zGTC05"/>
    <w:uiPriority w:val="1"/>
    <w:rsid w:val="00CF352A"/>
    <w:rPr>
      <w:rFonts w:eastAsia="Times New Roman" w:cs="Arial"/>
      <w:kern w:val="14"/>
      <w:szCs w:val="24"/>
    </w:rPr>
  </w:style>
  <w:style w:type="character" w:styleId="zGBody4Char" w:customStyle="1">
    <w:name w:val="zGBody 4 Char"/>
    <w:basedOn w:val="DefaultParagraphFont"/>
    <w:link w:val="zGBody4"/>
    <w:uiPriority w:val="2"/>
    <w:rsid w:val="008F1999"/>
  </w:style>
  <w:style w:type="character" w:styleId="zGBody6Char" w:customStyle="1">
    <w:name w:val="zGBody 6 Char"/>
    <w:basedOn w:val="DefaultParagraphFont"/>
    <w:link w:val="zGBody6"/>
    <w:uiPriority w:val="2"/>
    <w:rsid w:val="008F1999"/>
  </w:style>
  <w:style w:type="character" w:styleId="TOC2Char" w:customStyle="1">
    <w:name w:val="TOC 2 Char"/>
    <w:aliases w:val="zgTOC 2 Char"/>
    <w:basedOn w:val="DefaultParagraphFont"/>
    <w:link w:val="TOC2"/>
    <w:uiPriority w:val="7"/>
    <w:rsid w:val="00C2097B"/>
    <w:rPr>
      <w:rFonts w:eastAsia="Times New Roman"/>
    </w:rPr>
  </w:style>
  <w:style w:type="paragraph" w:styleId="DocID" w:customStyle="1">
    <w:name w:val="DocID"/>
    <w:basedOn w:val="Normal"/>
    <w:rsid w:val="00C82038"/>
    <w:pPr>
      <w:spacing w:before="0" w:after="160" w:line="259" w:lineRule="auto"/>
      <w:jc w:val="right"/>
    </w:pPr>
    <w:rPr>
      <w:rFonts w:ascii="Times New Roman" w:hAnsi="Times New Roman" w:eastAsiaTheme="minorEastAsia" w:cstheme="minorBidi"/>
      <w:sz w:val="16"/>
      <w:szCs w:val="22"/>
      <w:lang w:eastAsia="zh-CN"/>
    </w:rPr>
  </w:style>
  <w:style w:type="paragraph" w:styleId="BodyText">
    <w:name w:val="Body Text"/>
    <w:basedOn w:val="Normal"/>
    <w:link w:val="BodyTextChar"/>
    <w:rsid w:val="00960870"/>
    <w:pPr>
      <w:widowControl w:val="0"/>
      <w:adjustRightInd w:val="0"/>
      <w:spacing w:before="0" w:line="360" w:lineRule="atLeast"/>
      <w:textAlignment w:val="baseline"/>
    </w:pPr>
    <w:rPr>
      <w:rFonts w:ascii="Times New Roman" w:hAnsi="Times New Roman" w:eastAsia="Times New Roman"/>
      <w:sz w:val="24"/>
    </w:rPr>
  </w:style>
  <w:style w:type="character" w:styleId="BodyTextChar" w:customStyle="1">
    <w:name w:val="Body Text Char"/>
    <w:basedOn w:val="DefaultParagraphFont"/>
    <w:link w:val="BodyText"/>
    <w:rsid w:val="00960870"/>
    <w:rPr>
      <w:rFonts w:ascii="Times New Roman" w:hAnsi="Times New Roman" w:eastAsia="Times New Roman"/>
      <w:sz w:val="24"/>
    </w:rPr>
  </w:style>
  <w:style w:type="character" w:styleId="a1" w:customStyle="1">
    <w:name w:val="a1"/>
    <w:basedOn w:val="DefaultParagraphFont"/>
    <w:rsid w:val="00960870"/>
    <w:rPr>
      <w:rFonts w:ascii="Courier New" w:hAnsi="Courier New"/>
      <w:noProof w:val="0"/>
      <w:sz w:val="24"/>
      <w:lang w:val="en-US"/>
    </w:rPr>
  </w:style>
  <w:style w:type="character" w:styleId="Heading" w:customStyle="1">
    <w:name w:val="Heading"/>
    <w:basedOn w:val="DefaultParagraphFont"/>
    <w:rsid w:val="00960870"/>
  </w:style>
  <w:style w:type="character" w:styleId="Bibliogrphy" w:customStyle="1">
    <w:name w:val="Bibliogrphy"/>
    <w:basedOn w:val="DefaultParagraphFont"/>
    <w:rsid w:val="00960870"/>
  </w:style>
  <w:style w:type="character" w:styleId="Subheading" w:customStyle="1">
    <w:name w:val="Subheading"/>
    <w:basedOn w:val="DefaultParagraphFont"/>
    <w:rsid w:val="00960870"/>
  </w:style>
  <w:style w:type="character" w:styleId="DefaultParagraphFo" w:customStyle="1">
    <w:name w:val="Default Paragraph Fo"/>
    <w:basedOn w:val="DefaultParagraphFont"/>
    <w:rsid w:val="00960870"/>
  </w:style>
  <w:style w:type="character" w:styleId="DefaultPara" w:customStyle="1">
    <w:name w:val="Default Para"/>
    <w:basedOn w:val="DefaultParagraphFont"/>
    <w:rsid w:val="00960870"/>
    <w:rPr>
      <w:rFonts w:ascii="Times New Roman" w:hAnsi="Times New Roman"/>
      <w:noProof w:val="0"/>
      <w:sz w:val="20"/>
      <w:lang w:val="en-US"/>
    </w:rPr>
  </w:style>
  <w:style w:type="paragraph" w:styleId="Index1">
    <w:name w:val="index 1"/>
    <w:basedOn w:val="Normal"/>
    <w:next w:val="Normal"/>
    <w:semiHidden/>
    <w:rsid w:val="00960870"/>
    <w:pPr>
      <w:widowControl w:val="0"/>
      <w:tabs>
        <w:tab w:val="right" w:leader="dot" w:pos="9360"/>
      </w:tabs>
      <w:suppressAutoHyphens/>
      <w:adjustRightInd w:val="0"/>
      <w:spacing w:before="0" w:after="0" w:line="360" w:lineRule="atLeast"/>
      <w:ind w:left="1440" w:right="720" w:hanging="1440"/>
      <w:textAlignment w:val="baseline"/>
    </w:pPr>
    <w:rPr>
      <w:rFonts w:ascii="Times New Roman" w:hAnsi="Times New Roman" w:eastAsia="Times New Roman"/>
      <w:sz w:val="24"/>
    </w:rPr>
  </w:style>
  <w:style w:type="paragraph" w:styleId="Index2">
    <w:name w:val="index 2"/>
    <w:basedOn w:val="Normal"/>
    <w:next w:val="Normal"/>
    <w:semiHidden/>
    <w:rsid w:val="00960870"/>
    <w:pPr>
      <w:widowControl w:val="0"/>
      <w:tabs>
        <w:tab w:val="right" w:leader="dot" w:pos="9360"/>
      </w:tabs>
      <w:suppressAutoHyphens/>
      <w:adjustRightInd w:val="0"/>
      <w:spacing w:before="0" w:after="0" w:line="360" w:lineRule="atLeast"/>
      <w:ind w:left="1440" w:right="720" w:hanging="720"/>
      <w:textAlignment w:val="baseline"/>
    </w:pPr>
    <w:rPr>
      <w:rFonts w:ascii="Times New Roman" w:hAnsi="Times New Roman" w:eastAsia="Times New Roman"/>
      <w:sz w:val="24"/>
    </w:rPr>
  </w:style>
  <w:style w:type="paragraph" w:styleId="Caption">
    <w:name w:val="caption"/>
    <w:basedOn w:val="Normal"/>
    <w:next w:val="Normal"/>
    <w:qFormat/>
    <w:rsid w:val="00960870"/>
    <w:pPr>
      <w:widowControl w:val="0"/>
      <w:adjustRightInd w:val="0"/>
      <w:spacing w:before="0" w:after="0" w:line="360" w:lineRule="atLeast"/>
      <w:textAlignment w:val="baseline"/>
    </w:pPr>
    <w:rPr>
      <w:rFonts w:ascii="Times New Roman" w:hAnsi="Times New Roman" w:eastAsia="Times New Roman"/>
      <w:sz w:val="24"/>
    </w:rPr>
  </w:style>
  <w:style w:type="character" w:styleId="EquationCaption" w:customStyle="1">
    <w:name w:val="_Equation Caption"/>
    <w:rsid w:val="00960870"/>
  </w:style>
  <w:style w:type="paragraph" w:styleId="BodyTextIndent2">
    <w:name w:val="Body Text Indent 2"/>
    <w:basedOn w:val="Normal"/>
    <w:link w:val="BodyTextIndent2Char"/>
    <w:rsid w:val="00960870"/>
    <w:pPr>
      <w:widowControl w:val="0"/>
      <w:adjustRightInd w:val="0"/>
      <w:spacing w:before="0" w:after="0" w:line="360" w:lineRule="atLeast"/>
      <w:ind w:left="2160"/>
      <w:textAlignment w:val="baseline"/>
    </w:pPr>
    <w:rPr>
      <w:rFonts w:ascii="Times New Roman" w:hAnsi="Times New Roman" w:eastAsia="Times New Roman"/>
    </w:rPr>
  </w:style>
  <w:style w:type="character" w:styleId="BodyTextIndent2Char" w:customStyle="1">
    <w:name w:val="Body Text Indent 2 Char"/>
    <w:basedOn w:val="DefaultParagraphFont"/>
    <w:link w:val="BodyTextIndent2"/>
    <w:rsid w:val="00960870"/>
    <w:rPr>
      <w:rFonts w:ascii="Times New Roman" w:hAnsi="Times New Roman" w:eastAsia="Times New Roman"/>
    </w:rPr>
  </w:style>
  <w:style w:type="paragraph" w:styleId="ArticleL2" w:customStyle="1">
    <w:name w:val="Article_L2"/>
    <w:basedOn w:val="Normal"/>
    <w:next w:val="BodyText"/>
    <w:link w:val="ArticleL2Char"/>
    <w:rsid w:val="005F7DD9"/>
    <w:pPr>
      <w:spacing w:before="0" w:after="240"/>
      <w:outlineLvl w:val="1"/>
    </w:pPr>
    <w:rPr>
      <w:rFonts w:ascii="Times New Roman" w:hAnsi="Times New Roman" w:eastAsia="Times New Roman"/>
    </w:rPr>
  </w:style>
  <w:style w:type="paragraph" w:styleId="BodyTextIndent3">
    <w:name w:val="Body Text Indent 3"/>
    <w:basedOn w:val="Normal"/>
    <w:link w:val="BodyTextIndent3Char"/>
    <w:rsid w:val="00960870"/>
    <w:pPr>
      <w:keepNext/>
      <w:keepLines/>
      <w:widowControl w:val="0"/>
      <w:tabs>
        <w:tab w:val="left" w:pos="-1440"/>
        <w:tab w:val="left" w:pos="-720"/>
        <w:tab w:val="left" w:pos="0"/>
        <w:tab w:val="left" w:pos="576"/>
        <w:tab w:val="left" w:pos="2160"/>
      </w:tabs>
      <w:suppressAutoHyphens/>
      <w:adjustRightInd w:val="0"/>
      <w:spacing w:before="0" w:after="0" w:line="360" w:lineRule="atLeast"/>
      <w:ind w:left="576" w:hanging="576"/>
      <w:textAlignment w:val="baseline"/>
    </w:pPr>
    <w:rPr>
      <w:rFonts w:ascii="Times New Roman" w:hAnsi="Times New Roman" w:eastAsia="Times New Roman"/>
      <w:sz w:val="24"/>
    </w:rPr>
  </w:style>
  <w:style w:type="paragraph" w:styleId="DocumentMap">
    <w:name w:val="Document Map"/>
    <w:basedOn w:val="Normal"/>
    <w:link w:val="DocumentMapChar"/>
    <w:semiHidden/>
    <w:rsid w:val="00960870"/>
    <w:pPr>
      <w:widowControl w:val="0"/>
      <w:shd w:val="clear" w:color="auto" w:fill="000080"/>
      <w:adjustRightInd w:val="0"/>
      <w:spacing w:before="0" w:after="0" w:line="360" w:lineRule="atLeast"/>
      <w:textAlignment w:val="baseline"/>
    </w:pPr>
    <w:rPr>
      <w:rFonts w:ascii="Tahoma" w:hAnsi="Tahoma" w:eastAsia="Times New Roman"/>
      <w:sz w:val="24"/>
    </w:rPr>
  </w:style>
  <w:style w:type="character" w:styleId="DocumentMapChar" w:customStyle="1">
    <w:name w:val="Document Map Char"/>
    <w:basedOn w:val="DefaultParagraphFont"/>
    <w:link w:val="DocumentMap"/>
    <w:semiHidden/>
    <w:rsid w:val="00960870"/>
    <w:rPr>
      <w:rFonts w:ascii="Tahoma" w:hAnsi="Tahoma" w:eastAsia="Times New Roman"/>
      <w:sz w:val="24"/>
      <w:shd w:val="clear" w:color="auto" w:fill="000080"/>
    </w:rPr>
  </w:style>
  <w:style w:type="character" w:styleId="FollowedHyperlink">
    <w:name w:val="FollowedHyperlink"/>
    <w:basedOn w:val="DefaultParagraphFont"/>
    <w:rsid w:val="00960870"/>
    <w:rPr>
      <w:color w:val="800080"/>
      <w:u w:val="single"/>
    </w:rPr>
  </w:style>
  <w:style w:type="paragraph" w:styleId="BalloonText">
    <w:name w:val="Balloon Text"/>
    <w:basedOn w:val="Normal"/>
    <w:link w:val="BalloonTextChar"/>
    <w:semiHidden/>
    <w:rsid w:val="00960870"/>
    <w:pPr>
      <w:widowControl w:val="0"/>
      <w:adjustRightInd w:val="0"/>
      <w:spacing w:before="0" w:after="0" w:line="360" w:lineRule="atLeast"/>
      <w:textAlignment w:val="baseline"/>
    </w:pPr>
    <w:rPr>
      <w:rFonts w:ascii="Tahoma" w:hAnsi="Tahoma" w:eastAsia="Times New Roman" w:cs="Tahoma"/>
      <w:sz w:val="16"/>
      <w:szCs w:val="16"/>
    </w:rPr>
  </w:style>
  <w:style w:type="paragraph" w:styleId="DeltaViewTableBody" w:customStyle="1">
    <w:name w:val="DeltaView Table Body"/>
    <w:basedOn w:val="Normal"/>
    <w:rsid w:val="00960870"/>
    <w:pPr>
      <w:autoSpaceDE w:val="0"/>
      <w:autoSpaceDN w:val="0"/>
      <w:adjustRightInd w:val="0"/>
      <w:spacing w:before="0" w:after="0" w:line="360" w:lineRule="atLeast"/>
      <w:textAlignment w:val="baseline"/>
    </w:pPr>
    <w:rPr>
      <w:rFonts w:eastAsia="Times New Roman" w:cs="Arial"/>
      <w:sz w:val="24"/>
      <w:szCs w:val="24"/>
    </w:rPr>
  </w:style>
  <w:style w:type="paragraph" w:styleId="zgtc020" w:customStyle="1">
    <w:name w:val="zgtc02"/>
    <w:basedOn w:val="Normal"/>
    <w:rsid w:val="003504F6"/>
    <w:pPr>
      <w:spacing w:before="100" w:beforeAutospacing="1" w:after="100" w:afterAutospacing="1"/>
      <w:jc w:val="left"/>
    </w:pPr>
    <w:rPr>
      <w:rFonts w:ascii="Times New Roman" w:hAnsi="Times New Roman" w:eastAsia="Times New Roman"/>
      <w:sz w:val="24"/>
      <w:szCs w:val="24"/>
    </w:rPr>
  </w:style>
  <w:style w:type="character" w:styleId="DeltaViewMoveDestination" w:customStyle="1">
    <w:name w:val="DeltaView Move Destination"/>
    <w:rsid w:val="00960870"/>
    <w:rPr>
      <w:color w:val="00C000"/>
      <w:spacing w:val="0"/>
      <w:u w:val="double"/>
    </w:rPr>
  </w:style>
  <w:style w:type="character" w:styleId="DeltaViewChangeNumber" w:customStyle="1">
    <w:name w:val="DeltaView Change Number"/>
    <w:rsid w:val="00960870"/>
    <w:rPr>
      <w:color w:val="000000"/>
      <w:spacing w:val="0"/>
      <w:vertAlign w:val="superscript"/>
    </w:rPr>
  </w:style>
  <w:style w:type="character" w:styleId="DeltaViewDelimiter" w:customStyle="1">
    <w:name w:val="DeltaView Delimiter"/>
    <w:rsid w:val="00960870"/>
    <w:rPr>
      <w:spacing w:val="0"/>
    </w:rPr>
  </w:style>
  <w:style w:type="character" w:styleId="DeltaViewFormatChange" w:customStyle="1">
    <w:name w:val="DeltaView Format Change"/>
    <w:rsid w:val="00960870"/>
    <w:rPr>
      <w:color w:val="000000"/>
      <w:spacing w:val="0"/>
    </w:rPr>
  </w:style>
  <w:style w:type="paragraph" w:styleId="5indent" w:customStyle="1">
    <w:name w:val=".5&quot; indent"/>
    <w:basedOn w:val="Normal"/>
    <w:rsid w:val="00960870"/>
    <w:pPr>
      <w:spacing w:before="0" w:after="240"/>
      <w:ind w:left="720"/>
    </w:pPr>
    <w:rPr>
      <w:rFonts w:ascii="Times New Roman" w:hAnsi="Times New Roman" w:eastAsia="Times New Roman"/>
      <w:sz w:val="24"/>
      <w:szCs w:val="24"/>
    </w:rPr>
  </w:style>
  <w:style w:type="character" w:styleId="Char" w:customStyle="1">
    <w:name w:val="Char"/>
    <w:basedOn w:val="DefaultParagraphFont"/>
    <w:rsid w:val="00960870"/>
    <w:rPr>
      <w:spacing w:val="0"/>
      <w:sz w:val="24"/>
      <w:szCs w:val="24"/>
      <w:lang w:val="en-US"/>
    </w:rPr>
  </w:style>
  <w:style w:type="character" w:styleId="CharChar" w:customStyle="1">
    <w:name w:val="Char Char"/>
    <w:basedOn w:val="DefaultParagraphFont"/>
    <w:rsid w:val="00960870"/>
    <w:rPr>
      <w:sz w:val="24"/>
      <w:lang w:val="en-US" w:eastAsia="en-US" w:bidi="ar-SA"/>
    </w:rPr>
  </w:style>
  <w:style w:type="character" w:styleId="Char1" w:customStyle="1">
    <w:name w:val="Char1"/>
    <w:basedOn w:val="DefaultParagraphFont"/>
    <w:rsid w:val="00960870"/>
    <w:rPr>
      <w:lang w:val="en-US" w:eastAsia="en-US" w:bidi="ar-SA"/>
    </w:rPr>
  </w:style>
  <w:style w:type="character" w:styleId="Char2" w:customStyle="1">
    <w:name w:val="Char2"/>
    <w:basedOn w:val="DefaultParagraphFont"/>
    <w:rsid w:val="00960870"/>
    <w:rPr>
      <w:sz w:val="24"/>
      <w:lang w:val="en-US" w:eastAsia="en-US" w:bidi="ar-SA"/>
    </w:rPr>
  </w:style>
  <w:style w:type="paragraph" w:styleId="HeadingPara2" w:customStyle="1">
    <w:name w:val="Heading Para 2"/>
    <w:basedOn w:val="Heading2"/>
    <w:next w:val="Normal"/>
    <w:rsid w:val="00960870"/>
    <w:pPr>
      <w:keepNext w:val="0"/>
      <w:widowControl w:val="0"/>
      <w:adjustRightInd w:val="0"/>
      <w:spacing w:before="0" w:after="0" w:line="480" w:lineRule="auto"/>
      <w:ind w:left="-720"/>
      <w:textAlignment w:val="baseline"/>
      <w:outlineLvl w:val="9"/>
    </w:pPr>
    <w:rPr>
      <w:rFonts w:ascii="Times New Roman" w:hAnsi="Times New Roman" w:eastAsia="Times New Roman"/>
      <w:b w:val="0"/>
      <w:snapToGrid w:val="0"/>
      <w:sz w:val="24"/>
    </w:rPr>
  </w:style>
  <w:style w:type="paragraph" w:styleId="Article5L1" w:customStyle="1">
    <w:name w:val="Article5_L1"/>
    <w:basedOn w:val="Normal"/>
    <w:next w:val="BodyText"/>
    <w:rsid w:val="00960870"/>
    <w:pPr>
      <w:keepNext/>
      <w:numPr>
        <w:numId w:val="14"/>
      </w:numPr>
      <w:tabs>
        <w:tab w:val="num" w:pos="936"/>
      </w:tabs>
      <w:spacing w:before="0" w:after="240"/>
      <w:ind w:left="936" w:hanging="936"/>
      <w:jc w:val="center"/>
      <w:outlineLvl w:val="0"/>
    </w:pPr>
    <w:rPr>
      <w:rFonts w:ascii="Times New Roman" w:hAnsi="Times New Roman" w:eastAsia="Times New Roman"/>
      <w:caps/>
      <w:sz w:val="24"/>
    </w:rPr>
  </w:style>
  <w:style w:type="paragraph" w:styleId="Article5L2" w:customStyle="1">
    <w:name w:val="Article5_L2"/>
    <w:basedOn w:val="Article5L1"/>
    <w:next w:val="BodyText"/>
    <w:rsid w:val="00960870"/>
    <w:pPr>
      <w:keepNext w:val="0"/>
      <w:numPr>
        <w:ilvl w:val="1"/>
      </w:numPr>
      <w:tabs>
        <w:tab w:val="clear" w:pos="1440"/>
        <w:tab w:val="num" w:pos="576"/>
      </w:tabs>
      <w:ind w:left="936" w:hanging="936"/>
      <w:jc w:val="both"/>
      <w:outlineLvl w:val="1"/>
    </w:pPr>
    <w:rPr>
      <w:caps w:val="0"/>
    </w:rPr>
  </w:style>
  <w:style w:type="paragraph" w:styleId="Article5L4" w:customStyle="1">
    <w:name w:val="Article5_L4"/>
    <w:basedOn w:val="Article5L3"/>
    <w:next w:val="BodyText"/>
    <w:rsid w:val="00960870"/>
    <w:pPr>
      <w:numPr>
        <w:ilvl w:val="3"/>
      </w:numPr>
      <w:tabs>
        <w:tab w:val="clear" w:pos="3168"/>
        <w:tab w:val="num" w:pos="864"/>
        <w:tab w:val="num" w:pos="2520"/>
      </w:tabs>
      <w:ind w:left="360" w:hanging="936"/>
      <w:outlineLvl w:val="3"/>
    </w:pPr>
  </w:style>
  <w:style w:type="paragraph" w:styleId="Article5L6" w:customStyle="1">
    <w:name w:val="Article5_L6"/>
    <w:basedOn w:val="Article5L5"/>
    <w:next w:val="BodyText"/>
    <w:rsid w:val="00960870"/>
    <w:pPr>
      <w:numPr>
        <w:ilvl w:val="5"/>
      </w:numPr>
      <w:tabs>
        <w:tab w:val="clear" w:pos="4320"/>
      </w:tabs>
      <w:ind w:left="2160" w:hanging="360"/>
      <w:jc w:val="both"/>
      <w:outlineLvl w:val="5"/>
    </w:pPr>
  </w:style>
  <w:style w:type="character" w:styleId="Mention">
    <w:name w:val="Mention"/>
    <w:basedOn w:val="DefaultParagraphFont"/>
    <w:uiPriority w:val="99"/>
    <w:unhideWhenUsed/>
    <w:rsid w:val="0014242D"/>
    <w:rPr>
      <w:color w:val="2B579A"/>
      <w:shd w:val="clear" w:color="auto" w:fill="E1DFDD"/>
    </w:rPr>
  </w:style>
  <w:style w:type="paragraph" w:styleId="Article5L7" w:customStyle="1">
    <w:name w:val="Article5_L7"/>
    <w:basedOn w:val="Article5L6"/>
    <w:next w:val="BodyText"/>
    <w:rsid w:val="00960870"/>
    <w:pPr>
      <w:numPr>
        <w:ilvl w:val="6"/>
      </w:numPr>
      <w:ind w:left="2520"/>
      <w:outlineLvl w:val="6"/>
    </w:pPr>
  </w:style>
  <w:style w:type="paragraph" w:styleId="Article5L8" w:customStyle="1">
    <w:name w:val="Article5_L8"/>
    <w:basedOn w:val="Article5L7"/>
    <w:next w:val="BodyText"/>
    <w:rsid w:val="00960870"/>
    <w:pPr>
      <w:numPr>
        <w:ilvl w:val="7"/>
      </w:numPr>
      <w:tabs>
        <w:tab w:val="num" w:pos="2520"/>
      </w:tabs>
      <w:ind w:left="2880"/>
      <w:jc w:val="left"/>
      <w:outlineLvl w:val="7"/>
    </w:pPr>
  </w:style>
  <w:style w:type="table" w:styleId="TableGrid1" w:customStyle="1">
    <w:name w:val="Table Grid1"/>
    <w:basedOn w:val="TableNormal"/>
    <w:next w:val="TableGrid"/>
    <w:rsid w:val="00506657"/>
    <w:pPr>
      <w:spacing w:before="0" w:after="0"/>
      <w:jc w:val="left"/>
    </w:pPr>
    <w:rPr>
      <w:rFonts w:ascii="Times New Roman" w:hAnsi="Times New Roman" w:eastAsia="Times New Roman"/>
    </w:rPr>
    <w:tblPr/>
  </w:style>
  <w:style w:type="paragraph" w:styleId="paragraph" w:customStyle="1">
    <w:name w:val="paragraph"/>
    <w:basedOn w:val="Normal"/>
    <w:rsid w:val="000F2B61"/>
    <w:pPr>
      <w:spacing w:before="100" w:beforeAutospacing="1" w:after="100" w:afterAutospacing="1"/>
      <w:jc w:val="left"/>
    </w:pPr>
    <w:rPr>
      <w:rFonts w:ascii="Times New Roman" w:hAnsi="Times New Roman" w:eastAsia="Times New Roman"/>
      <w:sz w:val="24"/>
      <w:szCs w:val="24"/>
    </w:rPr>
  </w:style>
  <w:style w:type="character" w:styleId="Mention3" w:customStyle="1">
    <w:name w:val="Mention3"/>
    <w:basedOn w:val="DefaultParagraphFont"/>
    <w:uiPriority w:val="99"/>
    <w:unhideWhenUsed/>
    <w:rsid w:val="001A5DD4"/>
    <w:rPr>
      <w:color w:val="2B579A"/>
      <w:shd w:val="clear" w:color="auto" w:fill="E1DFDD"/>
    </w:rPr>
  </w:style>
  <w:style w:type="character" w:styleId="IntenseQuoteChar" w:customStyle="1">
    <w:name w:val="Intense Quote Char"/>
    <w:basedOn w:val="DefaultParagraphFont"/>
    <w:link w:val="IntenseQuote"/>
    <w:uiPriority w:val="30"/>
    <w:rsid w:val="007C2163"/>
    <w:rPr>
      <w:b/>
      <w:bCs/>
      <w:i/>
      <w:iCs/>
    </w:rPr>
  </w:style>
  <w:style w:type="character" w:styleId="QuoteChar" w:customStyle="1">
    <w:name w:val="Quote Char"/>
    <w:basedOn w:val="DefaultParagraphFont"/>
    <w:link w:val="Quote"/>
    <w:uiPriority w:val="29"/>
    <w:rsid w:val="007C2163"/>
    <w:rPr>
      <w:i/>
      <w:iCs/>
    </w:rPr>
  </w:style>
  <w:style w:type="character" w:styleId="Emphasis">
    <w:name w:val="Emphasis"/>
    <w:basedOn w:val="DefaultParagraphFont"/>
    <w:uiPriority w:val="20"/>
    <w:qFormat/>
    <w:rsid w:val="007C2163"/>
    <w:rPr>
      <w:i/>
      <w:iCs/>
    </w:rPr>
  </w:style>
  <w:style w:type="character" w:styleId="SubtleEmphasis">
    <w:name w:val="Subtle Emphasis"/>
    <w:basedOn w:val="DefaultParagraphFont"/>
    <w:uiPriority w:val="19"/>
    <w:qFormat/>
    <w:rsid w:val="007C2163"/>
    <w:rPr>
      <w:i/>
      <w:iCs/>
      <w:color w:val="auto"/>
    </w:rPr>
  </w:style>
  <w:style w:type="character" w:styleId="SubtleReference">
    <w:name w:val="Subtle Reference"/>
    <w:basedOn w:val="DefaultParagraphFont"/>
    <w:uiPriority w:val="31"/>
    <w:qFormat/>
    <w:rsid w:val="007C2163"/>
    <w:rPr>
      <w:smallCaps/>
      <w:color w:val="auto"/>
      <w:u w:val="single"/>
    </w:rPr>
  </w:style>
  <w:style w:type="character" w:styleId="IntenseReference">
    <w:name w:val="Intense Reference"/>
    <w:basedOn w:val="DefaultParagraphFont"/>
    <w:uiPriority w:val="32"/>
    <w:qFormat/>
    <w:rsid w:val="007C2163"/>
    <w:rPr>
      <w:b/>
      <w:bCs/>
      <w:smallCaps/>
      <w:color w:val="auto"/>
      <w:spacing w:val="5"/>
      <w:u w:val="single"/>
    </w:rPr>
  </w:style>
  <w:style w:type="paragraph" w:styleId="BlockText">
    <w:name w:val="Block Text"/>
    <w:basedOn w:val="Normal"/>
    <w:uiPriority w:val="99"/>
    <w:semiHidden/>
    <w:unhideWhenUsed/>
    <w:rsid w:val="007C2163"/>
    <w:pPr>
      <w:pBdr>
        <w:top w:val="single" w:color="auto" w:sz="2" w:space="10"/>
        <w:left w:val="single" w:color="auto" w:sz="2" w:space="10"/>
        <w:bottom w:val="single" w:color="auto" w:sz="2" w:space="10"/>
        <w:right w:val="single" w:color="auto" w:sz="2" w:space="10"/>
      </w:pBdr>
      <w:ind w:left="1152" w:right="1152"/>
    </w:pPr>
    <w:rPr>
      <w:rFonts w:eastAsiaTheme="minorEastAsia"/>
      <w:i/>
      <w:iCs/>
    </w:rPr>
  </w:style>
  <w:style w:type="character" w:styleId="UnresolvedMention">
    <w:name w:val="Unresolved Mention"/>
    <w:basedOn w:val="DefaultParagraphFont"/>
    <w:uiPriority w:val="99"/>
    <w:semiHidden/>
    <w:unhideWhenUsed/>
    <w:rsid w:val="00382385"/>
    <w:rPr>
      <w:color w:val="605E5C"/>
      <w:shd w:val="clear" w:color="auto" w:fill="E1DFDD"/>
    </w:rPr>
  </w:style>
  <w:style w:type="character" w:styleId="PlaceholderText">
    <w:name w:val="Placeholder Text"/>
    <w:basedOn w:val="DefaultParagraphFont"/>
    <w:uiPriority w:val="99"/>
    <w:semiHidden/>
    <w:rsid w:val="001448B2"/>
    <w:rPr>
      <w:color w:val="808080"/>
    </w:rPr>
  </w:style>
  <w:style w:type="numbering" w:styleId="Style2" w:customStyle="1">
    <w:name w:val="Style2"/>
    <w:uiPriority w:val="99"/>
    <w:rsid w:val="009C0A64"/>
    <w:pPr>
      <w:numPr>
        <w:numId w:val="29"/>
      </w:numPr>
    </w:pPr>
  </w:style>
  <w:style w:type="character" w:styleId="ui-provider" w:customStyle="1">
    <w:name w:val="ui-provider"/>
    <w:basedOn w:val="DefaultParagraphFont"/>
    <w:rsid w:val="006536CA"/>
  </w:style>
  <w:style w:type="character" w:styleId="Strong">
    <w:name w:val="Strong"/>
    <w:basedOn w:val="DefaultParagraphFont"/>
    <w:uiPriority w:val="22"/>
    <w:qFormat/>
    <w:rsid w:val="006536CA"/>
    <w:rPr>
      <w:b/>
      <w:bCs/>
    </w:rPr>
  </w:style>
  <w:style w:type="numbering" w:styleId="zGzListStyle21" w:customStyle="1">
    <w:name w:val="zGzListStyle21"/>
    <w:uiPriority w:val="99"/>
    <w:rsid w:val="005E512D"/>
  </w:style>
  <w:style w:type="character" w:styleId="zgeditornote0" w:customStyle="1">
    <w:name w:val="zgeditornote"/>
    <w:basedOn w:val="DefaultParagraphFont"/>
    <w:rsid w:val="003504F6"/>
  </w:style>
  <w:style w:type="paragraph" w:styleId="ListParagraph">
    <w:name w:val="List Paragraph"/>
    <w:basedOn w:val="Normal"/>
    <w:uiPriority w:val="34"/>
    <w:qFormat/>
    <w:rsid w:val="00F30D93"/>
    <w:pPr>
      <w:spacing w:before="0" w:after="160" w:line="259" w:lineRule="auto"/>
      <w:ind w:left="720"/>
      <w:contextualSpacing/>
      <w:jc w:val="left"/>
    </w:pPr>
    <w:rPr>
      <w:rFonts w:asciiTheme="minorHAnsi" w:hAnsiTheme="minorHAnsi" w:cstheme="minorBidi"/>
      <w:sz w:val="22"/>
      <w:szCs w:val="22"/>
    </w:rPr>
  </w:style>
  <w:style w:type="table" w:styleId="GridTable3">
    <w:name w:val="Grid Table 3"/>
    <w:basedOn w:val="TableNormal"/>
    <w:uiPriority w:val="48"/>
    <w:rsid w:val="001E200B"/>
    <w:pPr>
      <w:spacing w:before="0" w:after="0"/>
      <w:jc w:val="left"/>
    </w:pPr>
    <w:rPr>
      <w:rFonts w:asciiTheme="minorHAnsi" w:hAnsiTheme="minorHAnsi" w:cstheme="minorBidi"/>
      <w:sz w:val="22"/>
      <w:szCs w:val="22"/>
    </w:rPr>
    <w:tblPr>
      <w:tblStyleRowBandSize w:val="1"/>
      <w:tblStyleColBandSize w:val="1"/>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numbering" w:styleId="Style21" w:customStyle="1">
    <w:name w:val="Style21"/>
    <w:uiPriority w:val="99"/>
    <w:rsid w:val="00907346"/>
  </w:style>
  <w:style w:type="paragraph" w:styleId="articlel20" w:customStyle="1">
    <w:name w:val="articlel2"/>
    <w:basedOn w:val="Normal"/>
    <w:rsid w:val="003504F6"/>
    <w:pPr>
      <w:spacing w:before="100" w:beforeAutospacing="1" w:after="100" w:afterAutospacing="1"/>
      <w:jc w:val="left"/>
    </w:pPr>
    <w:rPr>
      <w:rFonts w:ascii="Times New Roman" w:hAnsi="Times New Roman" w:eastAsia="Times New Roman"/>
      <w:sz w:val="24"/>
      <w:szCs w:val="24"/>
    </w:rPr>
  </w:style>
  <w:style w:type="paragraph" w:styleId="zgtc030" w:customStyle="1">
    <w:name w:val="zgtc03"/>
    <w:basedOn w:val="Normal"/>
    <w:rsid w:val="003504F6"/>
    <w:pPr>
      <w:spacing w:before="100" w:beforeAutospacing="1" w:after="100" w:afterAutospacing="1"/>
      <w:jc w:val="left"/>
    </w:pPr>
    <w:rPr>
      <w:rFonts w:ascii="Times New Roman" w:hAnsi="Times New Roman" w:eastAsia="Times New Roman"/>
      <w:sz w:val="24"/>
      <w:szCs w:val="24"/>
    </w:rPr>
  </w:style>
  <w:style w:type="numbering" w:styleId="zGList" w:customStyle="1">
    <w:name w:val="zGList"/>
    <w:rsid w:val="003504F6"/>
    <w:pPr>
      <w:numPr>
        <w:numId w:val="36"/>
      </w:numPr>
    </w:pPr>
  </w:style>
  <w:style w:type="paragraph" w:styleId="NormalWeb">
    <w:name w:val="Normal (Web)"/>
    <w:basedOn w:val="Normal"/>
    <w:uiPriority w:val="99"/>
    <w:semiHidden/>
    <w:unhideWhenUsed/>
    <w:rsid w:val="00F93475"/>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05306">
      <w:bodyDiv w:val="1"/>
      <w:marLeft w:val="0"/>
      <w:marRight w:val="0"/>
      <w:marTop w:val="0"/>
      <w:marBottom w:val="0"/>
      <w:divBdr>
        <w:top w:val="none" w:sz="0" w:space="0" w:color="auto"/>
        <w:left w:val="none" w:sz="0" w:space="0" w:color="auto"/>
        <w:bottom w:val="none" w:sz="0" w:space="0" w:color="auto"/>
        <w:right w:val="none" w:sz="0" w:space="0" w:color="auto"/>
      </w:divBdr>
    </w:div>
    <w:div w:id="95712320">
      <w:bodyDiv w:val="1"/>
      <w:marLeft w:val="0"/>
      <w:marRight w:val="0"/>
      <w:marTop w:val="0"/>
      <w:marBottom w:val="0"/>
      <w:divBdr>
        <w:top w:val="none" w:sz="0" w:space="0" w:color="auto"/>
        <w:left w:val="none" w:sz="0" w:space="0" w:color="auto"/>
        <w:bottom w:val="none" w:sz="0" w:space="0" w:color="auto"/>
        <w:right w:val="none" w:sz="0" w:space="0" w:color="auto"/>
      </w:divBdr>
    </w:div>
    <w:div w:id="97726023">
      <w:bodyDiv w:val="1"/>
      <w:marLeft w:val="0"/>
      <w:marRight w:val="0"/>
      <w:marTop w:val="0"/>
      <w:marBottom w:val="0"/>
      <w:divBdr>
        <w:top w:val="none" w:sz="0" w:space="0" w:color="auto"/>
        <w:left w:val="none" w:sz="0" w:space="0" w:color="auto"/>
        <w:bottom w:val="none" w:sz="0" w:space="0" w:color="auto"/>
        <w:right w:val="none" w:sz="0" w:space="0" w:color="auto"/>
      </w:divBdr>
      <w:divsChild>
        <w:div w:id="91248222">
          <w:marLeft w:val="0"/>
          <w:marRight w:val="0"/>
          <w:marTop w:val="0"/>
          <w:marBottom w:val="0"/>
          <w:divBdr>
            <w:top w:val="none" w:sz="0" w:space="0" w:color="auto"/>
            <w:left w:val="none" w:sz="0" w:space="0" w:color="auto"/>
            <w:bottom w:val="none" w:sz="0" w:space="0" w:color="auto"/>
            <w:right w:val="none" w:sz="0" w:space="0" w:color="auto"/>
          </w:divBdr>
          <w:divsChild>
            <w:div w:id="1351184695">
              <w:marLeft w:val="0"/>
              <w:marRight w:val="0"/>
              <w:marTop w:val="0"/>
              <w:marBottom w:val="0"/>
              <w:divBdr>
                <w:top w:val="none" w:sz="0" w:space="0" w:color="auto"/>
                <w:left w:val="none" w:sz="0" w:space="0" w:color="auto"/>
                <w:bottom w:val="none" w:sz="0" w:space="0" w:color="auto"/>
                <w:right w:val="none" w:sz="0" w:space="0" w:color="auto"/>
              </w:divBdr>
            </w:div>
          </w:divsChild>
        </w:div>
        <w:div w:id="114640983">
          <w:marLeft w:val="0"/>
          <w:marRight w:val="0"/>
          <w:marTop w:val="0"/>
          <w:marBottom w:val="0"/>
          <w:divBdr>
            <w:top w:val="none" w:sz="0" w:space="0" w:color="auto"/>
            <w:left w:val="none" w:sz="0" w:space="0" w:color="auto"/>
            <w:bottom w:val="none" w:sz="0" w:space="0" w:color="auto"/>
            <w:right w:val="none" w:sz="0" w:space="0" w:color="auto"/>
          </w:divBdr>
          <w:divsChild>
            <w:div w:id="1687367650">
              <w:marLeft w:val="0"/>
              <w:marRight w:val="0"/>
              <w:marTop w:val="0"/>
              <w:marBottom w:val="0"/>
              <w:divBdr>
                <w:top w:val="none" w:sz="0" w:space="0" w:color="auto"/>
                <w:left w:val="none" w:sz="0" w:space="0" w:color="auto"/>
                <w:bottom w:val="none" w:sz="0" w:space="0" w:color="auto"/>
                <w:right w:val="none" w:sz="0" w:space="0" w:color="auto"/>
              </w:divBdr>
            </w:div>
          </w:divsChild>
        </w:div>
        <w:div w:id="231432180">
          <w:marLeft w:val="0"/>
          <w:marRight w:val="0"/>
          <w:marTop w:val="0"/>
          <w:marBottom w:val="0"/>
          <w:divBdr>
            <w:top w:val="none" w:sz="0" w:space="0" w:color="auto"/>
            <w:left w:val="none" w:sz="0" w:space="0" w:color="auto"/>
            <w:bottom w:val="none" w:sz="0" w:space="0" w:color="auto"/>
            <w:right w:val="none" w:sz="0" w:space="0" w:color="auto"/>
          </w:divBdr>
          <w:divsChild>
            <w:div w:id="1468621688">
              <w:marLeft w:val="0"/>
              <w:marRight w:val="0"/>
              <w:marTop w:val="0"/>
              <w:marBottom w:val="0"/>
              <w:divBdr>
                <w:top w:val="none" w:sz="0" w:space="0" w:color="auto"/>
                <w:left w:val="none" w:sz="0" w:space="0" w:color="auto"/>
                <w:bottom w:val="none" w:sz="0" w:space="0" w:color="auto"/>
                <w:right w:val="none" w:sz="0" w:space="0" w:color="auto"/>
              </w:divBdr>
            </w:div>
          </w:divsChild>
        </w:div>
        <w:div w:id="245068426">
          <w:marLeft w:val="0"/>
          <w:marRight w:val="0"/>
          <w:marTop w:val="0"/>
          <w:marBottom w:val="0"/>
          <w:divBdr>
            <w:top w:val="none" w:sz="0" w:space="0" w:color="auto"/>
            <w:left w:val="none" w:sz="0" w:space="0" w:color="auto"/>
            <w:bottom w:val="none" w:sz="0" w:space="0" w:color="auto"/>
            <w:right w:val="none" w:sz="0" w:space="0" w:color="auto"/>
          </w:divBdr>
          <w:divsChild>
            <w:div w:id="141311628">
              <w:marLeft w:val="0"/>
              <w:marRight w:val="0"/>
              <w:marTop w:val="0"/>
              <w:marBottom w:val="0"/>
              <w:divBdr>
                <w:top w:val="none" w:sz="0" w:space="0" w:color="auto"/>
                <w:left w:val="none" w:sz="0" w:space="0" w:color="auto"/>
                <w:bottom w:val="none" w:sz="0" w:space="0" w:color="auto"/>
                <w:right w:val="none" w:sz="0" w:space="0" w:color="auto"/>
              </w:divBdr>
            </w:div>
          </w:divsChild>
        </w:div>
        <w:div w:id="349376619">
          <w:marLeft w:val="0"/>
          <w:marRight w:val="0"/>
          <w:marTop w:val="0"/>
          <w:marBottom w:val="0"/>
          <w:divBdr>
            <w:top w:val="none" w:sz="0" w:space="0" w:color="auto"/>
            <w:left w:val="none" w:sz="0" w:space="0" w:color="auto"/>
            <w:bottom w:val="none" w:sz="0" w:space="0" w:color="auto"/>
            <w:right w:val="none" w:sz="0" w:space="0" w:color="auto"/>
          </w:divBdr>
          <w:divsChild>
            <w:div w:id="1653439027">
              <w:marLeft w:val="0"/>
              <w:marRight w:val="0"/>
              <w:marTop w:val="0"/>
              <w:marBottom w:val="0"/>
              <w:divBdr>
                <w:top w:val="none" w:sz="0" w:space="0" w:color="auto"/>
                <w:left w:val="none" w:sz="0" w:space="0" w:color="auto"/>
                <w:bottom w:val="none" w:sz="0" w:space="0" w:color="auto"/>
                <w:right w:val="none" w:sz="0" w:space="0" w:color="auto"/>
              </w:divBdr>
            </w:div>
          </w:divsChild>
        </w:div>
        <w:div w:id="362831683">
          <w:marLeft w:val="0"/>
          <w:marRight w:val="0"/>
          <w:marTop w:val="0"/>
          <w:marBottom w:val="0"/>
          <w:divBdr>
            <w:top w:val="none" w:sz="0" w:space="0" w:color="auto"/>
            <w:left w:val="none" w:sz="0" w:space="0" w:color="auto"/>
            <w:bottom w:val="none" w:sz="0" w:space="0" w:color="auto"/>
            <w:right w:val="none" w:sz="0" w:space="0" w:color="auto"/>
          </w:divBdr>
          <w:divsChild>
            <w:div w:id="1124541696">
              <w:marLeft w:val="0"/>
              <w:marRight w:val="0"/>
              <w:marTop w:val="0"/>
              <w:marBottom w:val="0"/>
              <w:divBdr>
                <w:top w:val="none" w:sz="0" w:space="0" w:color="auto"/>
                <w:left w:val="none" w:sz="0" w:space="0" w:color="auto"/>
                <w:bottom w:val="none" w:sz="0" w:space="0" w:color="auto"/>
                <w:right w:val="none" w:sz="0" w:space="0" w:color="auto"/>
              </w:divBdr>
            </w:div>
          </w:divsChild>
        </w:div>
        <w:div w:id="403532082">
          <w:marLeft w:val="0"/>
          <w:marRight w:val="0"/>
          <w:marTop w:val="0"/>
          <w:marBottom w:val="0"/>
          <w:divBdr>
            <w:top w:val="none" w:sz="0" w:space="0" w:color="auto"/>
            <w:left w:val="none" w:sz="0" w:space="0" w:color="auto"/>
            <w:bottom w:val="none" w:sz="0" w:space="0" w:color="auto"/>
            <w:right w:val="none" w:sz="0" w:space="0" w:color="auto"/>
          </w:divBdr>
          <w:divsChild>
            <w:div w:id="902789339">
              <w:marLeft w:val="0"/>
              <w:marRight w:val="0"/>
              <w:marTop w:val="0"/>
              <w:marBottom w:val="0"/>
              <w:divBdr>
                <w:top w:val="none" w:sz="0" w:space="0" w:color="auto"/>
                <w:left w:val="none" w:sz="0" w:space="0" w:color="auto"/>
                <w:bottom w:val="none" w:sz="0" w:space="0" w:color="auto"/>
                <w:right w:val="none" w:sz="0" w:space="0" w:color="auto"/>
              </w:divBdr>
            </w:div>
          </w:divsChild>
        </w:div>
        <w:div w:id="454762775">
          <w:marLeft w:val="0"/>
          <w:marRight w:val="0"/>
          <w:marTop w:val="0"/>
          <w:marBottom w:val="0"/>
          <w:divBdr>
            <w:top w:val="none" w:sz="0" w:space="0" w:color="auto"/>
            <w:left w:val="none" w:sz="0" w:space="0" w:color="auto"/>
            <w:bottom w:val="none" w:sz="0" w:space="0" w:color="auto"/>
            <w:right w:val="none" w:sz="0" w:space="0" w:color="auto"/>
          </w:divBdr>
          <w:divsChild>
            <w:div w:id="814562272">
              <w:marLeft w:val="0"/>
              <w:marRight w:val="0"/>
              <w:marTop w:val="0"/>
              <w:marBottom w:val="0"/>
              <w:divBdr>
                <w:top w:val="none" w:sz="0" w:space="0" w:color="auto"/>
                <w:left w:val="none" w:sz="0" w:space="0" w:color="auto"/>
                <w:bottom w:val="none" w:sz="0" w:space="0" w:color="auto"/>
                <w:right w:val="none" w:sz="0" w:space="0" w:color="auto"/>
              </w:divBdr>
            </w:div>
          </w:divsChild>
        </w:div>
        <w:div w:id="530263254">
          <w:marLeft w:val="0"/>
          <w:marRight w:val="0"/>
          <w:marTop w:val="0"/>
          <w:marBottom w:val="0"/>
          <w:divBdr>
            <w:top w:val="none" w:sz="0" w:space="0" w:color="auto"/>
            <w:left w:val="none" w:sz="0" w:space="0" w:color="auto"/>
            <w:bottom w:val="none" w:sz="0" w:space="0" w:color="auto"/>
            <w:right w:val="none" w:sz="0" w:space="0" w:color="auto"/>
          </w:divBdr>
          <w:divsChild>
            <w:div w:id="1967739764">
              <w:marLeft w:val="0"/>
              <w:marRight w:val="0"/>
              <w:marTop w:val="0"/>
              <w:marBottom w:val="0"/>
              <w:divBdr>
                <w:top w:val="none" w:sz="0" w:space="0" w:color="auto"/>
                <w:left w:val="none" w:sz="0" w:space="0" w:color="auto"/>
                <w:bottom w:val="none" w:sz="0" w:space="0" w:color="auto"/>
                <w:right w:val="none" w:sz="0" w:space="0" w:color="auto"/>
              </w:divBdr>
            </w:div>
          </w:divsChild>
        </w:div>
        <w:div w:id="538014826">
          <w:marLeft w:val="0"/>
          <w:marRight w:val="0"/>
          <w:marTop w:val="0"/>
          <w:marBottom w:val="0"/>
          <w:divBdr>
            <w:top w:val="none" w:sz="0" w:space="0" w:color="auto"/>
            <w:left w:val="none" w:sz="0" w:space="0" w:color="auto"/>
            <w:bottom w:val="none" w:sz="0" w:space="0" w:color="auto"/>
            <w:right w:val="none" w:sz="0" w:space="0" w:color="auto"/>
          </w:divBdr>
          <w:divsChild>
            <w:div w:id="1570458270">
              <w:marLeft w:val="0"/>
              <w:marRight w:val="0"/>
              <w:marTop w:val="0"/>
              <w:marBottom w:val="0"/>
              <w:divBdr>
                <w:top w:val="none" w:sz="0" w:space="0" w:color="auto"/>
                <w:left w:val="none" w:sz="0" w:space="0" w:color="auto"/>
                <w:bottom w:val="none" w:sz="0" w:space="0" w:color="auto"/>
                <w:right w:val="none" w:sz="0" w:space="0" w:color="auto"/>
              </w:divBdr>
            </w:div>
          </w:divsChild>
        </w:div>
        <w:div w:id="567038119">
          <w:marLeft w:val="0"/>
          <w:marRight w:val="0"/>
          <w:marTop w:val="0"/>
          <w:marBottom w:val="0"/>
          <w:divBdr>
            <w:top w:val="none" w:sz="0" w:space="0" w:color="auto"/>
            <w:left w:val="none" w:sz="0" w:space="0" w:color="auto"/>
            <w:bottom w:val="none" w:sz="0" w:space="0" w:color="auto"/>
            <w:right w:val="none" w:sz="0" w:space="0" w:color="auto"/>
          </w:divBdr>
          <w:divsChild>
            <w:div w:id="1873103244">
              <w:marLeft w:val="0"/>
              <w:marRight w:val="0"/>
              <w:marTop w:val="0"/>
              <w:marBottom w:val="0"/>
              <w:divBdr>
                <w:top w:val="none" w:sz="0" w:space="0" w:color="auto"/>
                <w:left w:val="none" w:sz="0" w:space="0" w:color="auto"/>
                <w:bottom w:val="none" w:sz="0" w:space="0" w:color="auto"/>
                <w:right w:val="none" w:sz="0" w:space="0" w:color="auto"/>
              </w:divBdr>
            </w:div>
          </w:divsChild>
        </w:div>
        <w:div w:id="624430633">
          <w:marLeft w:val="0"/>
          <w:marRight w:val="0"/>
          <w:marTop w:val="0"/>
          <w:marBottom w:val="0"/>
          <w:divBdr>
            <w:top w:val="none" w:sz="0" w:space="0" w:color="auto"/>
            <w:left w:val="none" w:sz="0" w:space="0" w:color="auto"/>
            <w:bottom w:val="none" w:sz="0" w:space="0" w:color="auto"/>
            <w:right w:val="none" w:sz="0" w:space="0" w:color="auto"/>
          </w:divBdr>
          <w:divsChild>
            <w:div w:id="977805595">
              <w:marLeft w:val="0"/>
              <w:marRight w:val="0"/>
              <w:marTop w:val="0"/>
              <w:marBottom w:val="0"/>
              <w:divBdr>
                <w:top w:val="none" w:sz="0" w:space="0" w:color="auto"/>
                <w:left w:val="none" w:sz="0" w:space="0" w:color="auto"/>
                <w:bottom w:val="none" w:sz="0" w:space="0" w:color="auto"/>
                <w:right w:val="none" w:sz="0" w:space="0" w:color="auto"/>
              </w:divBdr>
            </w:div>
          </w:divsChild>
        </w:div>
        <w:div w:id="723870759">
          <w:marLeft w:val="0"/>
          <w:marRight w:val="0"/>
          <w:marTop w:val="0"/>
          <w:marBottom w:val="0"/>
          <w:divBdr>
            <w:top w:val="none" w:sz="0" w:space="0" w:color="auto"/>
            <w:left w:val="none" w:sz="0" w:space="0" w:color="auto"/>
            <w:bottom w:val="none" w:sz="0" w:space="0" w:color="auto"/>
            <w:right w:val="none" w:sz="0" w:space="0" w:color="auto"/>
          </w:divBdr>
          <w:divsChild>
            <w:div w:id="1121613176">
              <w:marLeft w:val="0"/>
              <w:marRight w:val="0"/>
              <w:marTop w:val="0"/>
              <w:marBottom w:val="0"/>
              <w:divBdr>
                <w:top w:val="none" w:sz="0" w:space="0" w:color="auto"/>
                <w:left w:val="none" w:sz="0" w:space="0" w:color="auto"/>
                <w:bottom w:val="none" w:sz="0" w:space="0" w:color="auto"/>
                <w:right w:val="none" w:sz="0" w:space="0" w:color="auto"/>
              </w:divBdr>
            </w:div>
          </w:divsChild>
        </w:div>
        <w:div w:id="852838562">
          <w:marLeft w:val="0"/>
          <w:marRight w:val="0"/>
          <w:marTop w:val="0"/>
          <w:marBottom w:val="0"/>
          <w:divBdr>
            <w:top w:val="none" w:sz="0" w:space="0" w:color="auto"/>
            <w:left w:val="none" w:sz="0" w:space="0" w:color="auto"/>
            <w:bottom w:val="none" w:sz="0" w:space="0" w:color="auto"/>
            <w:right w:val="none" w:sz="0" w:space="0" w:color="auto"/>
          </w:divBdr>
          <w:divsChild>
            <w:div w:id="1541941495">
              <w:marLeft w:val="0"/>
              <w:marRight w:val="0"/>
              <w:marTop w:val="0"/>
              <w:marBottom w:val="0"/>
              <w:divBdr>
                <w:top w:val="none" w:sz="0" w:space="0" w:color="auto"/>
                <w:left w:val="none" w:sz="0" w:space="0" w:color="auto"/>
                <w:bottom w:val="none" w:sz="0" w:space="0" w:color="auto"/>
                <w:right w:val="none" w:sz="0" w:space="0" w:color="auto"/>
              </w:divBdr>
            </w:div>
          </w:divsChild>
        </w:div>
        <w:div w:id="932663538">
          <w:marLeft w:val="0"/>
          <w:marRight w:val="0"/>
          <w:marTop w:val="0"/>
          <w:marBottom w:val="0"/>
          <w:divBdr>
            <w:top w:val="none" w:sz="0" w:space="0" w:color="auto"/>
            <w:left w:val="none" w:sz="0" w:space="0" w:color="auto"/>
            <w:bottom w:val="none" w:sz="0" w:space="0" w:color="auto"/>
            <w:right w:val="none" w:sz="0" w:space="0" w:color="auto"/>
          </w:divBdr>
          <w:divsChild>
            <w:div w:id="864901748">
              <w:marLeft w:val="0"/>
              <w:marRight w:val="0"/>
              <w:marTop w:val="0"/>
              <w:marBottom w:val="0"/>
              <w:divBdr>
                <w:top w:val="none" w:sz="0" w:space="0" w:color="auto"/>
                <w:left w:val="none" w:sz="0" w:space="0" w:color="auto"/>
                <w:bottom w:val="none" w:sz="0" w:space="0" w:color="auto"/>
                <w:right w:val="none" w:sz="0" w:space="0" w:color="auto"/>
              </w:divBdr>
            </w:div>
          </w:divsChild>
        </w:div>
        <w:div w:id="938831772">
          <w:marLeft w:val="0"/>
          <w:marRight w:val="0"/>
          <w:marTop w:val="0"/>
          <w:marBottom w:val="0"/>
          <w:divBdr>
            <w:top w:val="none" w:sz="0" w:space="0" w:color="auto"/>
            <w:left w:val="none" w:sz="0" w:space="0" w:color="auto"/>
            <w:bottom w:val="none" w:sz="0" w:space="0" w:color="auto"/>
            <w:right w:val="none" w:sz="0" w:space="0" w:color="auto"/>
          </w:divBdr>
          <w:divsChild>
            <w:div w:id="198473477">
              <w:marLeft w:val="0"/>
              <w:marRight w:val="0"/>
              <w:marTop w:val="0"/>
              <w:marBottom w:val="0"/>
              <w:divBdr>
                <w:top w:val="none" w:sz="0" w:space="0" w:color="auto"/>
                <w:left w:val="none" w:sz="0" w:space="0" w:color="auto"/>
                <w:bottom w:val="none" w:sz="0" w:space="0" w:color="auto"/>
                <w:right w:val="none" w:sz="0" w:space="0" w:color="auto"/>
              </w:divBdr>
            </w:div>
          </w:divsChild>
        </w:div>
        <w:div w:id="985207144">
          <w:marLeft w:val="0"/>
          <w:marRight w:val="0"/>
          <w:marTop w:val="0"/>
          <w:marBottom w:val="0"/>
          <w:divBdr>
            <w:top w:val="none" w:sz="0" w:space="0" w:color="auto"/>
            <w:left w:val="none" w:sz="0" w:space="0" w:color="auto"/>
            <w:bottom w:val="none" w:sz="0" w:space="0" w:color="auto"/>
            <w:right w:val="none" w:sz="0" w:space="0" w:color="auto"/>
          </w:divBdr>
          <w:divsChild>
            <w:div w:id="543173159">
              <w:marLeft w:val="0"/>
              <w:marRight w:val="0"/>
              <w:marTop w:val="0"/>
              <w:marBottom w:val="0"/>
              <w:divBdr>
                <w:top w:val="none" w:sz="0" w:space="0" w:color="auto"/>
                <w:left w:val="none" w:sz="0" w:space="0" w:color="auto"/>
                <w:bottom w:val="none" w:sz="0" w:space="0" w:color="auto"/>
                <w:right w:val="none" w:sz="0" w:space="0" w:color="auto"/>
              </w:divBdr>
            </w:div>
          </w:divsChild>
        </w:div>
        <w:div w:id="1008675687">
          <w:marLeft w:val="0"/>
          <w:marRight w:val="0"/>
          <w:marTop w:val="0"/>
          <w:marBottom w:val="0"/>
          <w:divBdr>
            <w:top w:val="none" w:sz="0" w:space="0" w:color="auto"/>
            <w:left w:val="none" w:sz="0" w:space="0" w:color="auto"/>
            <w:bottom w:val="none" w:sz="0" w:space="0" w:color="auto"/>
            <w:right w:val="none" w:sz="0" w:space="0" w:color="auto"/>
          </w:divBdr>
          <w:divsChild>
            <w:div w:id="1430153862">
              <w:marLeft w:val="0"/>
              <w:marRight w:val="0"/>
              <w:marTop w:val="0"/>
              <w:marBottom w:val="0"/>
              <w:divBdr>
                <w:top w:val="none" w:sz="0" w:space="0" w:color="auto"/>
                <w:left w:val="none" w:sz="0" w:space="0" w:color="auto"/>
                <w:bottom w:val="none" w:sz="0" w:space="0" w:color="auto"/>
                <w:right w:val="none" w:sz="0" w:space="0" w:color="auto"/>
              </w:divBdr>
            </w:div>
          </w:divsChild>
        </w:div>
        <w:div w:id="1310549139">
          <w:marLeft w:val="0"/>
          <w:marRight w:val="0"/>
          <w:marTop w:val="0"/>
          <w:marBottom w:val="0"/>
          <w:divBdr>
            <w:top w:val="none" w:sz="0" w:space="0" w:color="auto"/>
            <w:left w:val="none" w:sz="0" w:space="0" w:color="auto"/>
            <w:bottom w:val="none" w:sz="0" w:space="0" w:color="auto"/>
            <w:right w:val="none" w:sz="0" w:space="0" w:color="auto"/>
          </w:divBdr>
          <w:divsChild>
            <w:div w:id="640305169">
              <w:marLeft w:val="0"/>
              <w:marRight w:val="0"/>
              <w:marTop w:val="0"/>
              <w:marBottom w:val="0"/>
              <w:divBdr>
                <w:top w:val="none" w:sz="0" w:space="0" w:color="auto"/>
                <w:left w:val="none" w:sz="0" w:space="0" w:color="auto"/>
                <w:bottom w:val="none" w:sz="0" w:space="0" w:color="auto"/>
                <w:right w:val="none" w:sz="0" w:space="0" w:color="auto"/>
              </w:divBdr>
            </w:div>
          </w:divsChild>
        </w:div>
        <w:div w:id="1336803490">
          <w:marLeft w:val="0"/>
          <w:marRight w:val="0"/>
          <w:marTop w:val="0"/>
          <w:marBottom w:val="0"/>
          <w:divBdr>
            <w:top w:val="none" w:sz="0" w:space="0" w:color="auto"/>
            <w:left w:val="none" w:sz="0" w:space="0" w:color="auto"/>
            <w:bottom w:val="none" w:sz="0" w:space="0" w:color="auto"/>
            <w:right w:val="none" w:sz="0" w:space="0" w:color="auto"/>
          </w:divBdr>
          <w:divsChild>
            <w:div w:id="497232911">
              <w:marLeft w:val="0"/>
              <w:marRight w:val="0"/>
              <w:marTop w:val="0"/>
              <w:marBottom w:val="0"/>
              <w:divBdr>
                <w:top w:val="none" w:sz="0" w:space="0" w:color="auto"/>
                <w:left w:val="none" w:sz="0" w:space="0" w:color="auto"/>
                <w:bottom w:val="none" w:sz="0" w:space="0" w:color="auto"/>
                <w:right w:val="none" w:sz="0" w:space="0" w:color="auto"/>
              </w:divBdr>
            </w:div>
          </w:divsChild>
        </w:div>
        <w:div w:id="1369337547">
          <w:marLeft w:val="0"/>
          <w:marRight w:val="0"/>
          <w:marTop w:val="0"/>
          <w:marBottom w:val="0"/>
          <w:divBdr>
            <w:top w:val="none" w:sz="0" w:space="0" w:color="auto"/>
            <w:left w:val="none" w:sz="0" w:space="0" w:color="auto"/>
            <w:bottom w:val="none" w:sz="0" w:space="0" w:color="auto"/>
            <w:right w:val="none" w:sz="0" w:space="0" w:color="auto"/>
          </w:divBdr>
          <w:divsChild>
            <w:div w:id="640117102">
              <w:marLeft w:val="0"/>
              <w:marRight w:val="0"/>
              <w:marTop w:val="0"/>
              <w:marBottom w:val="0"/>
              <w:divBdr>
                <w:top w:val="none" w:sz="0" w:space="0" w:color="auto"/>
                <w:left w:val="none" w:sz="0" w:space="0" w:color="auto"/>
                <w:bottom w:val="none" w:sz="0" w:space="0" w:color="auto"/>
                <w:right w:val="none" w:sz="0" w:space="0" w:color="auto"/>
              </w:divBdr>
            </w:div>
          </w:divsChild>
        </w:div>
        <w:div w:id="1377243941">
          <w:marLeft w:val="0"/>
          <w:marRight w:val="0"/>
          <w:marTop w:val="0"/>
          <w:marBottom w:val="0"/>
          <w:divBdr>
            <w:top w:val="none" w:sz="0" w:space="0" w:color="auto"/>
            <w:left w:val="none" w:sz="0" w:space="0" w:color="auto"/>
            <w:bottom w:val="none" w:sz="0" w:space="0" w:color="auto"/>
            <w:right w:val="none" w:sz="0" w:space="0" w:color="auto"/>
          </w:divBdr>
          <w:divsChild>
            <w:div w:id="1587305701">
              <w:marLeft w:val="0"/>
              <w:marRight w:val="0"/>
              <w:marTop w:val="0"/>
              <w:marBottom w:val="0"/>
              <w:divBdr>
                <w:top w:val="none" w:sz="0" w:space="0" w:color="auto"/>
                <w:left w:val="none" w:sz="0" w:space="0" w:color="auto"/>
                <w:bottom w:val="none" w:sz="0" w:space="0" w:color="auto"/>
                <w:right w:val="none" w:sz="0" w:space="0" w:color="auto"/>
              </w:divBdr>
            </w:div>
          </w:divsChild>
        </w:div>
        <w:div w:id="1476994345">
          <w:marLeft w:val="0"/>
          <w:marRight w:val="0"/>
          <w:marTop w:val="0"/>
          <w:marBottom w:val="0"/>
          <w:divBdr>
            <w:top w:val="none" w:sz="0" w:space="0" w:color="auto"/>
            <w:left w:val="none" w:sz="0" w:space="0" w:color="auto"/>
            <w:bottom w:val="none" w:sz="0" w:space="0" w:color="auto"/>
            <w:right w:val="none" w:sz="0" w:space="0" w:color="auto"/>
          </w:divBdr>
          <w:divsChild>
            <w:div w:id="2005475146">
              <w:marLeft w:val="0"/>
              <w:marRight w:val="0"/>
              <w:marTop w:val="0"/>
              <w:marBottom w:val="0"/>
              <w:divBdr>
                <w:top w:val="none" w:sz="0" w:space="0" w:color="auto"/>
                <w:left w:val="none" w:sz="0" w:space="0" w:color="auto"/>
                <w:bottom w:val="none" w:sz="0" w:space="0" w:color="auto"/>
                <w:right w:val="none" w:sz="0" w:space="0" w:color="auto"/>
              </w:divBdr>
            </w:div>
          </w:divsChild>
        </w:div>
        <w:div w:id="1535773080">
          <w:marLeft w:val="0"/>
          <w:marRight w:val="0"/>
          <w:marTop w:val="0"/>
          <w:marBottom w:val="0"/>
          <w:divBdr>
            <w:top w:val="none" w:sz="0" w:space="0" w:color="auto"/>
            <w:left w:val="none" w:sz="0" w:space="0" w:color="auto"/>
            <w:bottom w:val="none" w:sz="0" w:space="0" w:color="auto"/>
            <w:right w:val="none" w:sz="0" w:space="0" w:color="auto"/>
          </w:divBdr>
          <w:divsChild>
            <w:div w:id="1198736197">
              <w:marLeft w:val="0"/>
              <w:marRight w:val="0"/>
              <w:marTop w:val="0"/>
              <w:marBottom w:val="0"/>
              <w:divBdr>
                <w:top w:val="none" w:sz="0" w:space="0" w:color="auto"/>
                <w:left w:val="none" w:sz="0" w:space="0" w:color="auto"/>
                <w:bottom w:val="none" w:sz="0" w:space="0" w:color="auto"/>
                <w:right w:val="none" w:sz="0" w:space="0" w:color="auto"/>
              </w:divBdr>
            </w:div>
          </w:divsChild>
        </w:div>
        <w:div w:id="1596161867">
          <w:marLeft w:val="0"/>
          <w:marRight w:val="0"/>
          <w:marTop w:val="0"/>
          <w:marBottom w:val="0"/>
          <w:divBdr>
            <w:top w:val="none" w:sz="0" w:space="0" w:color="auto"/>
            <w:left w:val="none" w:sz="0" w:space="0" w:color="auto"/>
            <w:bottom w:val="none" w:sz="0" w:space="0" w:color="auto"/>
            <w:right w:val="none" w:sz="0" w:space="0" w:color="auto"/>
          </w:divBdr>
          <w:divsChild>
            <w:div w:id="221597544">
              <w:marLeft w:val="0"/>
              <w:marRight w:val="0"/>
              <w:marTop w:val="0"/>
              <w:marBottom w:val="0"/>
              <w:divBdr>
                <w:top w:val="none" w:sz="0" w:space="0" w:color="auto"/>
                <w:left w:val="none" w:sz="0" w:space="0" w:color="auto"/>
                <w:bottom w:val="none" w:sz="0" w:space="0" w:color="auto"/>
                <w:right w:val="none" w:sz="0" w:space="0" w:color="auto"/>
              </w:divBdr>
            </w:div>
          </w:divsChild>
        </w:div>
        <w:div w:id="1616868134">
          <w:marLeft w:val="0"/>
          <w:marRight w:val="0"/>
          <w:marTop w:val="0"/>
          <w:marBottom w:val="0"/>
          <w:divBdr>
            <w:top w:val="none" w:sz="0" w:space="0" w:color="auto"/>
            <w:left w:val="none" w:sz="0" w:space="0" w:color="auto"/>
            <w:bottom w:val="none" w:sz="0" w:space="0" w:color="auto"/>
            <w:right w:val="none" w:sz="0" w:space="0" w:color="auto"/>
          </w:divBdr>
          <w:divsChild>
            <w:div w:id="455754492">
              <w:marLeft w:val="0"/>
              <w:marRight w:val="0"/>
              <w:marTop w:val="0"/>
              <w:marBottom w:val="0"/>
              <w:divBdr>
                <w:top w:val="none" w:sz="0" w:space="0" w:color="auto"/>
                <w:left w:val="none" w:sz="0" w:space="0" w:color="auto"/>
                <w:bottom w:val="none" w:sz="0" w:space="0" w:color="auto"/>
                <w:right w:val="none" w:sz="0" w:space="0" w:color="auto"/>
              </w:divBdr>
            </w:div>
          </w:divsChild>
        </w:div>
        <w:div w:id="1637293813">
          <w:marLeft w:val="0"/>
          <w:marRight w:val="0"/>
          <w:marTop w:val="0"/>
          <w:marBottom w:val="0"/>
          <w:divBdr>
            <w:top w:val="none" w:sz="0" w:space="0" w:color="auto"/>
            <w:left w:val="none" w:sz="0" w:space="0" w:color="auto"/>
            <w:bottom w:val="none" w:sz="0" w:space="0" w:color="auto"/>
            <w:right w:val="none" w:sz="0" w:space="0" w:color="auto"/>
          </w:divBdr>
          <w:divsChild>
            <w:div w:id="579366562">
              <w:marLeft w:val="0"/>
              <w:marRight w:val="0"/>
              <w:marTop w:val="0"/>
              <w:marBottom w:val="0"/>
              <w:divBdr>
                <w:top w:val="none" w:sz="0" w:space="0" w:color="auto"/>
                <w:left w:val="none" w:sz="0" w:space="0" w:color="auto"/>
                <w:bottom w:val="none" w:sz="0" w:space="0" w:color="auto"/>
                <w:right w:val="none" w:sz="0" w:space="0" w:color="auto"/>
              </w:divBdr>
            </w:div>
          </w:divsChild>
        </w:div>
        <w:div w:id="1697389034">
          <w:marLeft w:val="0"/>
          <w:marRight w:val="0"/>
          <w:marTop w:val="0"/>
          <w:marBottom w:val="0"/>
          <w:divBdr>
            <w:top w:val="none" w:sz="0" w:space="0" w:color="auto"/>
            <w:left w:val="none" w:sz="0" w:space="0" w:color="auto"/>
            <w:bottom w:val="none" w:sz="0" w:space="0" w:color="auto"/>
            <w:right w:val="none" w:sz="0" w:space="0" w:color="auto"/>
          </w:divBdr>
          <w:divsChild>
            <w:div w:id="935871662">
              <w:marLeft w:val="0"/>
              <w:marRight w:val="0"/>
              <w:marTop w:val="0"/>
              <w:marBottom w:val="0"/>
              <w:divBdr>
                <w:top w:val="none" w:sz="0" w:space="0" w:color="auto"/>
                <w:left w:val="none" w:sz="0" w:space="0" w:color="auto"/>
                <w:bottom w:val="none" w:sz="0" w:space="0" w:color="auto"/>
                <w:right w:val="none" w:sz="0" w:space="0" w:color="auto"/>
              </w:divBdr>
            </w:div>
            <w:div w:id="1573393411">
              <w:marLeft w:val="0"/>
              <w:marRight w:val="0"/>
              <w:marTop w:val="0"/>
              <w:marBottom w:val="0"/>
              <w:divBdr>
                <w:top w:val="none" w:sz="0" w:space="0" w:color="auto"/>
                <w:left w:val="none" w:sz="0" w:space="0" w:color="auto"/>
                <w:bottom w:val="none" w:sz="0" w:space="0" w:color="auto"/>
                <w:right w:val="none" w:sz="0" w:space="0" w:color="auto"/>
              </w:divBdr>
            </w:div>
          </w:divsChild>
        </w:div>
        <w:div w:id="1760636396">
          <w:marLeft w:val="0"/>
          <w:marRight w:val="0"/>
          <w:marTop w:val="0"/>
          <w:marBottom w:val="0"/>
          <w:divBdr>
            <w:top w:val="none" w:sz="0" w:space="0" w:color="auto"/>
            <w:left w:val="none" w:sz="0" w:space="0" w:color="auto"/>
            <w:bottom w:val="none" w:sz="0" w:space="0" w:color="auto"/>
            <w:right w:val="none" w:sz="0" w:space="0" w:color="auto"/>
          </w:divBdr>
          <w:divsChild>
            <w:div w:id="1952124988">
              <w:marLeft w:val="0"/>
              <w:marRight w:val="0"/>
              <w:marTop w:val="0"/>
              <w:marBottom w:val="0"/>
              <w:divBdr>
                <w:top w:val="none" w:sz="0" w:space="0" w:color="auto"/>
                <w:left w:val="none" w:sz="0" w:space="0" w:color="auto"/>
                <w:bottom w:val="none" w:sz="0" w:space="0" w:color="auto"/>
                <w:right w:val="none" w:sz="0" w:space="0" w:color="auto"/>
              </w:divBdr>
            </w:div>
          </w:divsChild>
        </w:div>
        <w:div w:id="1927690735">
          <w:marLeft w:val="0"/>
          <w:marRight w:val="0"/>
          <w:marTop w:val="0"/>
          <w:marBottom w:val="0"/>
          <w:divBdr>
            <w:top w:val="none" w:sz="0" w:space="0" w:color="auto"/>
            <w:left w:val="none" w:sz="0" w:space="0" w:color="auto"/>
            <w:bottom w:val="none" w:sz="0" w:space="0" w:color="auto"/>
            <w:right w:val="none" w:sz="0" w:space="0" w:color="auto"/>
          </w:divBdr>
          <w:divsChild>
            <w:div w:id="1954171692">
              <w:marLeft w:val="0"/>
              <w:marRight w:val="0"/>
              <w:marTop w:val="0"/>
              <w:marBottom w:val="0"/>
              <w:divBdr>
                <w:top w:val="none" w:sz="0" w:space="0" w:color="auto"/>
                <w:left w:val="none" w:sz="0" w:space="0" w:color="auto"/>
                <w:bottom w:val="none" w:sz="0" w:space="0" w:color="auto"/>
                <w:right w:val="none" w:sz="0" w:space="0" w:color="auto"/>
              </w:divBdr>
            </w:div>
          </w:divsChild>
        </w:div>
        <w:div w:id="1943999076">
          <w:marLeft w:val="0"/>
          <w:marRight w:val="0"/>
          <w:marTop w:val="0"/>
          <w:marBottom w:val="0"/>
          <w:divBdr>
            <w:top w:val="none" w:sz="0" w:space="0" w:color="auto"/>
            <w:left w:val="none" w:sz="0" w:space="0" w:color="auto"/>
            <w:bottom w:val="none" w:sz="0" w:space="0" w:color="auto"/>
            <w:right w:val="none" w:sz="0" w:space="0" w:color="auto"/>
          </w:divBdr>
          <w:divsChild>
            <w:div w:id="369114159">
              <w:marLeft w:val="0"/>
              <w:marRight w:val="0"/>
              <w:marTop w:val="0"/>
              <w:marBottom w:val="0"/>
              <w:divBdr>
                <w:top w:val="none" w:sz="0" w:space="0" w:color="auto"/>
                <w:left w:val="none" w:sz="0" w:space="0" w:color="auto"/>
                <w:bottom w:val="none" w:sz="0" w:space="0" w:color="auto"/>
                <w:right w:val="none" w:sz="0" w:space="0" w:color="auto"/>
              </w:divBdr>
            </w:div>
          </w:divsChild>
        </w:div>
        <w:div w:id="1950160070">
          <w:marLeft w:val="0"/>
          <w:marRight w:val="0"/>
          <w:marTop w:val="0"/>
          <w:marBottom w:val="0"/>
          <w:divBdr>
            <w:top w:val="none" w:sz="0" w:space="0" w:color="auto"/>
            <w:left w:val="none" w:sz="0" w:space="0" w:color="auto"/>
            <w:bottom w:val="none" w:sz="0" w:space="0" w:color="auto"/>
            <w:right w:val="none" w:sz="0" w:space="0" w:color="auto"/>
          </w:divBdr>
          <w:divsChild>
            <w:div w:id="1477838348">
              <w:marLeft w:val="0"/>
              <w:marRight w:val="0"/>
              <w:marTop w:val="0"/>
              <w:marBottom w:val="0"/>
              <w:divBdr>
                <w:top w:val="none" w:sz="0" w:space="0" w:color="auto"/>
                <w:left w:val="none" w:sz="0" w:space="0" w:color="auto"/>
                <w:bottom w:val="none" w:sz="0" w:space="0" w:color="auto"/>
                <w:right w:val="none" w:sz="0" w:space="0" w:color="auto"/>
              </w:divBdr>
            </w:div>
          </w:divsChild>
        </w:div>
        <w:div w:id="1998223955">
          <w:marLeft w:val="0"/>
          <w:marRight w:val="0"/>
          <w:marTop w:val="0"/>
          <w:marBottom w:val="0"/>
          <w:divBdr>
            <w:top w:val="none" w:sz="0" w:space="0" w:color="auto"/>
            <w:left w:val="none" w:sz="0" w:space="0" w:color="auto"/>
            <w:bottom w:val="none" w:sz="0" w:space="0" w:color="auto"/>
            <w:right w:val="none" w:sz="0" w:space="0" w:color="auto"/>
          </w:divBdr>
          <w:divsChild>
            <w:div w:id="877933701">
              <w:marLeft w:val="0"/>
              <w:marRight w:val="0"/>
              <w:marTop w:val="0"/>
              <w:marBottom w:val="0"/>
              <w:divBdr>
                <w:top w:val="none" w:sz="0" w:space="0" w:color="auto"/>
                <w:left w:val="none" w:sz="0" w:space="0" w:color="auto"/>
                <w:bottom w:val="none" w:sz="0" w:space="0" w:color="auto"/>
                <w:right w:val="none" w:sz="0" w:space="0" w:color="auto"/>
              </w:divBdr>
            </w:div>
          </w:divsChild>
        </w:div>
        <w:div w:id="2002733154">
          <w:marLeft w:val="0"/>
          <w:marRight w:val="0"/>
          <w:marTop w:val="0"/>
          <w:marBottom w:val="0"/>
          <w:divBdr>
            <w:top w:val="none" w:sz="0" w:space="0" w:color="auto"/>
            <w:left w:val="none" w:sz="0" w:space="0" w:color="auto"/>
            <w:bottom w:val="none" w:sz="0" w:space="0" w:color="auto"/>
            <w:right w:val="none" w:sz="0" w:space="0" w:color="auto"/>
          </w:divBdr>
          <w:divsChild>
            <w:div w:id="297030765">
              <w:marLeft w:val="0"/>
              <w:marRight w:val="0"/>
              <w:marTop w:val="0"/>
              <w:marBottom w:val="0"/>
              <w:divBdr>
                <w:top w:val="none" w:sz="0" w:space="0" w:color="auto"/>
                <w:left w:val="none" w:sz="0" w:space="0" w:color="auto"/>
                <w:bottom w:val="none" w:sz="0" w:space="0" w:color="auto"/>
                <w:right w:val="none" w:sz="0" w:space="0" w:color="auto"/>
              </w:divBdr>
            </w:div>
          </w:divsChild>
        </w:div>
        <w:div w:id="2030138608">
          <w:marLeft w:val="0"/>
          <w:marRight w:val="0"/>
          <w:marTop w:val="0"/>
          <w:marBottom w:val="0"/>
          <w:divBdr>
            <w:top w:val="none" w:sz="0" w:space="0" w:color="auto"/>
            <w:left w:val="none" w:sz="0" w:space="0" w:color="auto"/>
            <w:bottom w:val="none" w:sz="0" w:space="0" w:color="auto"/>
            <w:right w:val="none" w:sz="0" w:space="0" w:color="auto"/>
          </w:divBdr>
          <w:divsChild>
            <w:div w:id="105758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9848">
      <w:bodyDiv w:val="1"/>
      <w:marLeft w:val="0"/>
      <w:marRight w:val="0"/>
      <w:marTop w:val="0"/>
      <w:marBottom w:val="0"/>
      <w:divBdr>
        <w:top w:val="none" w:sz="0" w:space="0" w:color="auto"/>
        <w:left w:val="none" w:sz="0" w:space="0" w:color="auto"/>
        <w:bottom w:val="none" w:sz="0" w:space="0" w:color="auto"/>
        <w:right w:val="none" w:sz="0" w:space="0" w:color="auto"/>
      </w:divBdr>
      <w:divsChild>
        <w:div w:id="49502685">
          <w:marLeft w:val="0"/>
          <w:marRight w:val="0"/>
          <w:marTop w:val="0"/>
          <w:marBottom w:val="0"/>
          <w:divBdr>
            <w:top w:val="none" w:sz="0" w:space="0" w:color="auto"/>
            <w:left w:val="none" w:sz="0" w:space="0" w:color="auto"/>
            <w:bottom w:val="none" w:sz="0" w:space="0" w:color="auto"/>
            <w:right w:val="none" w:sz="0" w:space="0" w:color="auto"/>
          </w:divBdr>
          <w:divsChild>
            <w:div w:id="1358240226">
              <w:marLeft w:val="0"/>
              <w:marRight w:val="0"/>
              <w:marTop w:val="0"/>
              <w:marBottom w:val="0"/>
              <w:divBdr>
                <w:top w:val="none" w:sz="0" w:space="0" w:color="auto"/>
                <w:left w:val="none" w:sz="0" w:space="0" w:color="auto"/>
                <w:bottom w:val="none" w:sz="0" w:space="0" w:color="auto"/>
                <w:right w:val="none" w:sz="0" w:space="0" w:color="auto"/>
              </w:divBdr>
            </w:div>
          </w:divsChild>
        </w:div>
        <w:div w:id="98064679">
          <w:marLeft w:val="0"/>
          <w:marRight w:val="0"/>
          <w:marTop w:val="0"/>
          <w:marBottom w:val="0"/>
          <w:divBdr>
            <w:top w:val="none" w:sz="0" w:space="0" w:color="auto"/>
            <w:left w:val="none" w:sz="0" w:space="0" w:color="auto"/>
            <w:bottom w:val="none" w:sz="0" w:space="0" w:color="auto"/>
            <w:right w:val="none" w:sz="0" w:space="0" w:color="auto"/>
          </w:divBdr>
          <w:divsChild>
            <w:div w:id="551885823">
              <w:marLeft w:val="0"/>
              <w:marRight w:val="0"/>
              <w:marTop w:val="0"/>
              <w:marBottom w:val="0"/>
              <w:divBdr>
                <w:top w:val="none" w:sz="0" w:space="0" w:color="auto"/>
                <w:left w:val="none" w:sz="0" w:space="0" w:color="auto"/>
                <w:bottom w:val="none" w:sz="0" w:space="0" w:color="auto"/>
                <w:right w:val="none" w:sz="0" w:space="0" w:color="auto"/>
              </w:divBdr>
            </w:div>
          </w:divsChild>
        </w:div>
        <w:div w:id="380060209">
          <w:marLeft w:val="0"/>
          <w:marRight w:val="0"/>
          <w:marTop w:val="0"/>
          <w:marBottom w:val="0"/>
          <w:divBdr>
            <w:top w:val="none" w:sz="0" w:space="0" w:color="auto"/>
            <w:left w:val="none" w:sz="0" w:space="0" w:color="auto"/>
            <w:bottom w:val="none" w:sz="0" w:space="0" w:color="auto"/>
            <w:right w:val="none" w:sz="0" w:space="0" w:color="auto"/>
          </w:divBdr>
          <w:divsChild>
            <w:div w:id="710761122">
              <w:marLeft w:val="0"/>
              <w:marRight w:val="0"/>
              <w:marTop w:val="0"/>
              <w:marBottom w:val="0"/>
              <w:divBdr>
                <w:top w:val="none" w:sz="0" w:space="0" w:color="auto"/>
                <w:left w:val="none" w:sz="0" w:space="0" w:color="auto"/>
                <w:bottom w:val="none" w:sz="0" w:space="0" w:color="auto"/>
                <w:right w:val="none" w:sz="0" w:space="0" w:color="auto"/>
              </w:divBdr>
            </w:div>
          </w:divsChild>
        </w:div>
        <w:div w:id="410397232">
          <w:marLeft w:val="0"/>
          <w:marRight w:val="0"/>
          <w:marTop w:val="0"/>
          <w:marBottom w:val="0"/>
          <w:divBdr>
            <w:top w:val="none" w:sz="0" w:space="0" w:color="auto"/>
            <w:left w:val="none" w:sz="0" w:space="0" w:color="auto"/>
            <w:bottom w:val="none" w:sz="0" w:space="0" w:color="auto"/>
            <w:right w:val="none" w:sz="0" w:space="0" w:color="auto"/>
          </w:divBdr>
          <w:divsChild>
            <w:div w:id="824321764">
              <w:marLeft w:val="0"/>
              <w:marRight w:val="0"/>
              <w:marTop w:val="0"/>
              <w:marBottom w:val="0"/>
              <w:divBdr>
                <w:top w:val="none" w:sz="0" w:space="0" w:color="auto"/>
                <w:left w:val="none" w:sz="0" w:space="0" w:color="auto"/>
                <w:bottom w:val="none" w:sz="0" w:space="0" w:color="auto"/>
                <w:right w:val="none" w:sz="0" w:space="0" w:color="auto"/>
              </w:divBdr>
            </w:div>
          </w:divsChild>
        </w:div>
        <w:div w:id="510295634">
          <w:marLeft w:val="0"/>
          <w:marRight w:val="0"/>
          <w:marTop w:val="0"/>
          <w:marBottom w:val="0"/>
          <w:divBdr>
            <w:top w:val="none" w:sz="0" w:space="0" w:color="auto"/>
            <w:left w:val="none" w:sz="0" w:space="0" w:color="auto"/>
            <w:bottom w:val="none" w:sz="0" w:space="0" w:color="auto"/>
            <w:right w:val="none" w:sz="0" w:space="0" w:color="auto"/>
          </w:divBdr>
          <w:divsChild>
            <w:div w:id="107745078">
              <w:marLeft w:val="0"/>
              <w:marRight w:val="0"/>
              <w:marTop w:val="0"/>
              <w:marBottom w:val="0"/>
              <w:divBdr>
                <w:top w:val="none" w:sz="0" w:space="0" w:color="auto"/>
                <w:left w:val="none" w:sz="0" w:space="0" w:color="auto"/>
                <w:bottom w:val="none" w:sz="0" w:space="0" w:color="auto"/>
                <w:right w:val="none" w:sz="0" w:space="0" w:color="auto"/>
              </w:divBdr>
            </w:div>
          </w:divsChild>
        </w:div>
        <w:div w:id="554776938">
          <w:marLeft w:val="0"/>
          <w:marRight w:val="0"/>
          <w:marTop w:val="0"/>
          <w:marBottom w:val="0"/>
          <w:divBdr>
            <w:top w:val="none" w:sz="0" w:space="0" w:color="auto"/>
            <w:left w:val="none" w:sz="0" w:space="0" w:color="auto"/>
            <w:bottom w:val="none" w:sz="0" w:space="0" w:color="auto"/>
            <w:right w:val="none" w:sz="0" w:space="0" w:color="auto"/>
          </w:divBdr>
          <w:divsChild>
            <w:div w:id="1644961635">
              <w:marLeft w:val="0"/>
              <w:marRight w:val="0"/>
              <w:marTop w:val="0"/>
              <w:marBottom w:val="0"/>
              <w:divBdr>
                <w:top w:val="none" w:sz="0" w:space="0" w:color="auto"/>
                <w:left w:val="none" w:sz="0" w:space="0" w:color="auto"/>
                <w:bottom w:val="none" w:sz="0" w:space="0" w:color="auto"/>
                <w:right w:val="none" w:sz="0" w:space="0" w:color="auto"/>
              </w:divBdr>
            </w:div>
          </w:divsChild>
        </w:div>
        <w:div w:id="727075529">
          <w:marLeft w:val="0"/>
          <w:marRight w:val="0"/>
          <w:marTop w:val="0"/>
          <w:marBottom w:val="0"/>
          <w:divBdr>
            <w:top w:val="none" w:sz="0" w:space="0" w:color="auto"/>
            <w:left w:val="none" w:sz="0" w:space="0" w:color="auto"/>
            <w:bottom w:val="none" w:sz="0" w:space="0" w:color="auto"/>
            <w:right w:val="none" w:sz="0" w:space="0" w:color="auto"/>
          </w:divBdr>
          <w:divsChild>
            <w:div w:id="52628686">
              <w:marLeft w:val="0"/>
              <w:marRight w:val="0"/>
              <w:marTop w:val="0"/>
              <w:marBottom w:val="0"/>
              <w:divBdr>
                <w:top w:val="none" w:sz="0" w:space="0" w:color="auto"/>
                <w:left w:val="none" w:sz="0" w:space="0" w:color="auto"/>
                <w:bottom w:val="none" w:sz="0" w:space="0" w:color="auto"/>
                <w:right w:val="none" w:sz="0" w:space="0" w:color="auto"/>
              </w:divBdr>
            </w:div>
            <w:div w:id="1049912712">
              <w:marLeft w:val="0"/>
              <w:marRight w:val="0"/>
              <w:marTop w:val="0"/>
              <w:marBottom w:val="0"/>
              <w:divBdr>
                <w:top w:val="none" w:sz="0" w:space="0" w:color="auto"/>
                <w:left w:val="none" w:sz="0" w:space="0" w:color="auto"/>
                <w:bottom w:val="none" w:sz="0" w:space="0" w:color="auto"/>
                <w:right w:val="none" w:sz="0" w:space="0" w:color="auto"/>
              </w:divBdr>
            </w:div>
          </w:divsChild>
        </w:div>
        <w:div w:id="826628084">
          <w:marLeft w:val="0"/>
          <w:marRight w:val="0"/>
          <w:marTop w:val="0"/>
          <w:marBottom w:val="0"/>
          <w:divBdr>
            <w:top w:val="none" w:sz="0" w:space="0" w:color="auto"/>
            <w:left w:val="none" w:sz="0" w:space="0" w:color="auto"/>
            <w:bottom w:val="none" w:sz="0" w:space="0" w:color="auto"/>
            <w:right w:val="none" w:sz="0" w:space="0" w:color="auto"/>
          </w:divBdr>
          <w:divsChild>
            <w:div w:id="1534926664">
              <w:marLeft w:val="0"/>
              <w:marRight w:val="0"/>
              <w:marTop w:val="0"/>
              <w:marBottom w:val="0"/>
              <w:divBdr>
                <w:top w:val="none" w:sz="0" w:space="0" w:color="auto"/>
                <w:left w:val="none" w:sz="0" w:space="0" w:color="auto"/>
                <w:bottom w:val="none" w:sz="0" w:space="0" w:color="auto"/>
                <w:right w:val="none" w:sz="0" w:space="0" w:color="auto"/>
              </w:divBdr>
            </w:div>
          </w:divsChild>
        </w:div>
        <w:div w:id="911819933">
          <w:marLeft w:val="0"/>
          <w:marRight w:val="0"/>
          <w:marTop w:val="0"/>
          <w:marBottom w:val="0"/>
          <w:divBdr>
            <w:top w:val="none" w:sz="0" w:space="0" w:color="auto"/>
            <w:left w:val="none" w:sz="0" w:space="0" w:color="auto"/>
            <w:bottom w:val="none" w:sz="0" w:space="0" w:color="auto"/>
            <w:right w:val="none" w:sz="0" w:space="0" w:color="auto"/>
          </w:divBdr>
          <w:divsChild>
            <w:div w:id="1145007800">
              <w:marLeft w:val="0"/>
              <w:marRight w:val="0"/>
              <w:marTop w:val="0"/>
              <w:marBottom w:val="0"/>
              <w:divBdr>
                <w:top w:val="none" w:sz="0" w:space="0" w:color="auto"/>
                <w:left w:val="none" w:sz="0" w:space="0" w:color="auto"/>
                <w:bottom w:val="none" w:sz="0" w:space="0" w:color="auto"/>
                <w:right w:val="none" w:sz="0" w:space="0" w:color="auto"/>
              </w:divBdr>
            </w:div>
          </w:divsChild>
        </w:div>
        <w:div w:id="995107887">
          <w:marLeft w:val="0"/>
          <w:marRight w:val="0"/>
          <w:marTop w:val="0"/>
          <w:marBottom w:val="0"/>
          <w:divBdr>
            <w:top w:val="none" w:sz="0" w:space="0" w:color="auto"/>
            <w:left w:val="none" w:sz="0" w:space="0" w:color="auto"/>
            <w:bottom w:val="none" w:sz="0" w:space="0" w:color="auto"/>
            <w:right w:val="none" w:sz="0" w:space="0" w:color="auto"/>
          </w:divBdr>
          <w:divsChild>
            <w:div w:id="1288391723">
              <w:marLeft w:val="0"/>
              <w:marRight w:val="0"/>
              <w:marTop w:val="0"/>
              <w:marBottom w:val="0"/>
              <w:divBdr>
                <w:top w:val="none" w:sz="0" w:space="0" w:color="auto"/>
                <w:left w:val="none" w:sz="0" w:space="0" w:color="auto"/>
                <w:bottom w:val="none" w:sz="0" w:space="0" w:color="auto"/>
                <w:right w:val="none" w:sz="0" w:space="0" w:color="auto"/>
              </w:divBdr>
            </w:div>
          </w:divsChild>
        </w:div>
        <w:div w:id="1006396189">
          <w:marLeft w:val="0"/>
          <w:marRight w:val="0"/>
          <w:marTop w:val="0"/>
          <w:marBottom w:val="0"/>
          <w:divBdr>
            <w:top w:val="none" w:sz="0" w:space="0" w:color="auto"/>
            <w:left w:val="none" w:sz="0" w:space="0" w:color="auto"/>
            <w:bottom w:val="none" w:sz="0" w:space="0" w:color="auto"/>
            <w:right w:val="none" w:sz="0" w:space="0" w:color="auto"/>
          </w:divBdr>
          <w:divsChild>
            <w:div w:id="1037510320">
              <w:marLeft w:val="0"/>
              <w:marRight w:val="0"/>
              <w:marTop w:val="0"/>
              <w:marBottom w:val="0"/>
              <w:divBdr>
                <w:top w:val="none" w:sz="0" w:space="0" w:color="auto"/>
                <w:left w:val="none" w:sz="0" w:space="0" w:color="auto"/>
                <w:bottom w:val="none" w:sz="0" w:space="0" w:color="auto"/>
                <w:right w:val="none" w:sz="0" w:space="0" w:color="auto"/>
              </w:divBdr>
            </w:div>
          </w:divsChild>
        </w:div>
        <w:div w:id="1023895650">
          <w:marLeft w:val="0"/>
          <w:marRight w:val="0"/>
          <w:marTop w:val="0"/>
          <w:marBottom w:val="0"/>
          <w:divBdr>
            <w:top w:val="none" w:sz="0" w:space="0" w:color="auto"/>
            <w:left w:val="none" w:sz="0" w:space="0" w:color="auto"/>
            <w:bottom w:val="none" w:sz="0" w:space="0" w:color="auto"/>
            <w:right w:val="none" w:sz="0" w:space="0" w:color="auto"/>
          </w:divBdr>
          <w:divsChild>
            <w:div w:id="949122068">
              <w:marLeft w:val="0"/>
              <w:marRight w:val="0"/>
              <w:marTop w:val="0"/>
              <w:marBottom w:val="0"/>
              <w:divBdr>
                <w:top w:val="none" w:sz="0" w:space="0" w:color="auto"/>
                <w:left w:val="none" w:sz="0" w:space="0" w:color="auto"/>
                <w:bottom w:val="none" w:sz="0" w:space="0" w:color="auto"/>
                <w:right w:val="none" w:sz="0" w:space="0" w:color="auto"/>
              </w:divBdr>
            </w:div>
          </w:divsChild>
        </w:div>
        <w:div w:id="1025055985">
          <w:marLeft w:val="0"/>
          <w:marRight w:val="0"/>
          <w:marTop w:val="0"/>
          <w:marBottom w:val="0"/>
          <w:divBdr>
            <w:top w:val="none" w:sz="0" w:space="0" w:color="auto"/>
            <w:left w:val="none" w:sz="0" w:space="0" w:color="auto"/>
            <w:bottom w:val="none" w:sz="0" w:space="0" w:color="auto"/>
            <w:right w:val="none" w:sz="0" w:space="0" w:color="auto"/>
          </w:divBdr>
          <w:divsChild>
            <w:div w:id="392317648">
              <w:marLeft w:val="0"/>
              <w:marRight w:val="0"/>
              <w:marTop w:val="0"/>
              <w:marBottom w:val="0"/>
              <w:divBdr>
                <w:top w:val="none" w:sz="0" w:space="0" w:color="auto"/>
                <w:left w:val="none" w:sz="0" w:space="0" w:color="auto"/>
                <w:bottom w:val="none" w:sz="0" w:space="0" w:color="auto"/>
                <w:right w:val="none" w:sz="0" w:space="0" w:color="auto"/>
              </w:divBdr>
            </w:div>
          </w:divsChild>
        </w:div>
        <w:div w:id="1053503346">
          <w:marLeft w:val="0"/>
          <w:marRight w:val="0"/>
          <w:marTop w:val="0"/>
          <w:marBottom w:val="0"/>
          <w:divBdr>
            <w:top w:val="none" w:sz="0" w:space="0" w:color="auto"/>
            <w:left w:val="none" w:sz="0" w:space="0" w:color="auto"/>
            <w:bottom w:val="none" w:sz="0" w:space="0" w:color="auto"/>
            <w:right w:val="none" w:sz="0" w:space="0" w:color="auto"/>
          </w:divBdr>
          <w:divsChild>
            <w:div w:id="690034508">
              <w:marLeft w:val="0"/>
              <w:marRight w:val="0"/>
              <w:marTop w:val="0"/>
              <w:marBottom w:val="0"/>
              <w:divBdr>
                <w:top w:val="none" w:sz="0" w:space="0" w:color="auto"/>
                <w:left w:val="none" w:sz="0" w:space="0" w:color="auto"/>
                <w:bottom w:val="none" w:sz="0" w:space="0" w:color="auto"/>
                <w:right w:val="none" w:sz="0" w:space="0" w:color="auto"/>
              </w:divBdr>
            </w:div>
          </w:divsChild>
        </w:div>
        <w:div w:id="1077477965">
          <w:marLeft w:val="0"/>
          <w:marRight w:val="0"/>
          <w:marTop w:val="0"/>
          <w:marBottom w:val="0"/>
          <w:divBdr>
            <w:top w:val="none" w:sz="0" w:space="0" w:color="auto"/>
            <w:left w:val="none" w:sz="0" w:space="0" w:color="auto"/>
            <w:bottom w:val="none" w:sz="0" w:space="0" w:color="auto"/>
            <w:right w:val="none" w:sz="0" w:space="0" w:color="auto"/>
          </w:divBdr>
          <w:divsChild>
            <w:div w:id="936329466">
              <w:marLeft w:val="0"/>
              <w:marRight w:val="0"/>
              <w:marTop w:val="0"/>
              <w:marBottom w:val="0"/>
              <w:divBdr>
                <w:top w:val="none" w:sz="0" w:space="0" w:color="auto"/>
                <w:left w:val="none" w:sz="0" w:space="0" w:color="auto"/>
                <w:bottom w:val="none" w:sz="0" w:space="0" w:color="auto"/>
                <w:right w:val="none" w:sz="0" w:space="0" w:color="auto"/>
              </w:divBdr>
            </w:div>
          </w:divsChild>
        </w:div>
        <w:div w:id="1091972275">
          <w:marLeft w:val="0"/>
          <w:marRight w:val="0"/>
          <w:marTop w:val="0"/>
          <w:marBottom w:val="0"/>
          <w:divBdr>
            <w:top w:val="none" w:sz="0" w:space="0" w:color="auto"/>
            <w:left w:val="none" w:sz="0" w:space="0" w:color="auto"/>
            <w:bottom w:val="none" w:sz="0" w:space="0" w:color="auto"/>
            <w:right w:val="none" w:sz="0" w:space="0" w:color="auto"/>
          </w:divBdr>
          <w:divsChild>
            <w:div w:id="1579827483">
              <w:marLeft w:val="0"/>
              <w:marRight w:val="0"/>
              <w:marTop w:val="0"/>
              <w:marBottom w:val="0"/>
              <w:divBdr>
                <w:top w:val="none" w:sz="0" w:space="0" w:color="auto"/>
                <w:left w:val="none" w:sz="0" w:space="0" w:color="auto"/>
                <w:bottom w:val="none" w:sz="0" w:space="0" w:color="auto"/>
                <w:right w:val="none" w:sz="0" w:space="0" w:color="auto"/>
              </w:divBdr>
            </w:div>
          </w:divsChild>
        </w:div>
        <w:div w:id="1132870408">
          <w:marLeft w:val="0"/>
          <w:marRight w:val="0"/>
          <w:marTop w:val="0"/>
          <w:marBottom w:val="0"/>
          <w:divBdr>
            <w:top w:val="none" w:sz="0" w:space="0" w:color="auto"/>
            <w:left w:val="none" w:sz="0" w:space="0" w:color="auto"/>
            <w:bottom w:val="none" w:sz="0" w:space="0" w:color="auto"/>
            <w:right w:val="none" w:sz="0" w:space="0" w:color="auto"/>
          </w:divBdr>
          <w:divsChild>
            <w:div w:id="1017001502">
              <w:marLeft w:val="0"/>
              <w:marRight w:val="0"/>
              <w:marTop w:val="0"/>
              <w:marBottom w:val="0"/>
              <w:divBdr>
                <w:top w:val="none" w:sz="0" w:space="0" w:color="auto"/>
                <w:left w:val="none" w:sz="0" w:space="0" w:color="auto"/>
                <w:bottom w:val="none" w:sz="0" w:space="0" w:color="auto"/>
                <w:right w:val="none" w:sz="0" w:space="0" w:color="auto"/>
              </w:divBdr>
            </w:div>
          </w:divsChild>
        </w:div>
        <w:div w:id="1168521291">
          <w:marLeft w:val="0"/>
          <w:marRight w:val="0"/>
          <w:marTop w:val="0"/>
          <w:marBottom w:val="0"/>
          <w:divBdr>
            <w:top w:val="none" w:sz="0" w:space="0" w:color="auto"/>
            <w:left w:val="none" w:sz="0" w:space="0" w:color="auto"/>
            <w:bottom w:val="none" w:sz="0" w:space="0" w:color="auto"/>
            <w:right w:val="none" w:sz="0" w:space="0" w:color="auto"/>
          </w:divBdr>
          <w:divsChild>
            <w:div w:id="16976278">
              <w:marLeft w:val="0"/>
              <w:marRight w:val="0"/>
              <w:marTop w:val="0"/>
              <w:marBottom w:val="0"/>
              <w:divBdr>
                <w:top w:val="none" w:sz="0" w:space="0" w:color="auto"/>
                <w:left w:val="none" w:sz="0" w:space="0" w:color="auto"/>
                <w:bottom w:val="none" w:sz="0" w:space="0" w:color="auto"/>
                <w:right w:val="none" w:sz="0" w:space="0" w:color="auto"/>
              </w:divBdr>
            </w:div>
          </w:divsChild>
        </w:div>
        <w:div w:id="1203442783">
          <w:marLeft w:val="0"/>
          <w:marRight w:val="0"/>
          <w:marTop w:val="0"/>
          <w:marBottom w:val="0"/>
          <w:divBdr>
            <w:top w:val="none" w:sz="0" w:space="0" w:color="auto"/>
            <w:left w:val="none" w:sz="0" w:space="0" w:color="auto"/>
            <w:bottom w:val="none" w:sz="0" w:space="0" w:color="auto"/>
            <w:right w:val="none" w:sz="0" w:space="0" w:color="auto"/>
          </w:divBdr>
          <w:divsChild>
            <w:div w:id="645355374">
              <w:marLeft w:val="0"/>
              <w:marRight w:val="0"/>
              <w:marTop w:val="0"/>
              <w:marBottom w:val="0"/>
              <w:divBdr>
                <w:top w:val="none" w:sz="0" w:space="0" w:color="auto"/>
                <w:left w:val="none" w:sz="0" w:space="0" w:color="auto"/>
                <w:bottom w:val="none" w:sz="0" w:space="0" w:color="auto"/>
                <w:right w:val="none" w:sz="0" w:space="0" w:color="auto"/>
              </w:divBdr>
            </w:div>
          </w:divsChild>
        </w:div>
        <w:div w:id="1296059128">
          <w:marLeft w:val="0"/>
          <w:marRight w:val="0"/>
          <w:marTop w:val="0"/>
          <w:marBottom w:val="0"/>
          <w:divBdr>
            <w:top w:val="none" w:sz="0" w:space="0" w:color="auto"/>
            <w:left w:val="none" w:sz="0" w:space="0" w:color="auto"/>
            <w:bottom w:val="none" w:sz="0" w:space="0" w:color="auto"/>
            <w:right w:val="none" w:sz="0" w:space="0" w:color="auto"/>
          </w:divBdr>
          <w:divsChild>
            <w:div w:id="1640307235">
              <w:marLeft w:val="0"/>
              <w:marRight w:val="0"/>
              <w:marTop w:val="0"/>
              <w:marBottom w:val="0"/>
              <w:divBdr>
                <w:top w:val="none" w:sz="0" w:space="0" w:color="auto"/>
                <w:left w:val="none" w:sz="0" w:space="0" w:color="auto"/>
                <w:bottom w:val="none" w:sz="0" w:space="0" w:color="auto"/>
                <w:right w:val="none" w:sz="0" w:space="0" w:color="auto"/>
              </w:divBdr>
            </w:div>
          </w:divsChild>
        </w:div>
        <w:div w:id="1302998540">
          <w:marLeft w:val="0"/>
          <w:marRight w:val="0"/>
          <w:marTop w:val="0"/>
          <w:marBottom w:val="0"/>
          <w:divBdr>
            <w:top w:val="none" w:sz="0" w:space="0" w:color="auto"/>
            <w:left w:val="none" w:sz="0" w:space="0" w:color="auto"/>
            <w:bottom w:val="none" w:sz="0" w:space="0" w:color="auto"/>
            <w:right w:val="none" w:sz="0" w:space="0" w:color="auto"/>
          </w:divBdr>
          <w:divsChild>
            <w:div w:id="1594513349">
              <w:marLeft w:val="0"/>
              <w:marRight w:val="0"/>
              <w:marTop w:val="0"/>
              <w:marBottom w:val="0"/>
              <w:divBdr>
                <w:top w:val="none" w:sz="0" w:space="0" w:color="auto"/>
                <w:left w:val="none" w:sz="0" w:space="0" w:color="auto"/>
                <w:bottom w:val="none" w:sz="0" w:space="0" w:color="auto"/>
                <w:right w:val="none" w:sz="0" w:space="0" w:color="auto"/>
              </w:divBdr>
            </w:div>
          </w:divsChild>
        </w:div>
        <w:div w:id="1341547017">
          <w:marLeft w:val="0"/>
          <w:marRight w:val="0"/>
          <w:marTop w:val="0"/>
          <w:marBottom w:val="0"/>
          <w:divBdr>
            <w:top w:val="none" w:sz="0" w:space="0" w:color="auto"/>
            <w:left w:val="none" w:sz="0" w:space="0" w:color="auto"/>
            <w:bottom w:val="none" w:sz="0" w:space="0" w:color="auto"/>
            <w:right w:val="none" w:sz="0" w:space="0" w:color="auto"/>
          </w:divBdr>
          <w:divsChild>
            <w:div w:id="1260408452">
              <w:marLeft w:val="0"/>
              <w:marRight w:val="0"/>
              <w:marTop w:val="0"/>
              <w:marBottom w:val="0"/>
              <w:divBdr>
                <w:top w:val="none" w:sz="0" w:space="0" w:color="auto"/>
                <w:left w:val="none" w:sz="0" w:space="0" w:color="auto"/>
                <w:bottom w:val="none" w:sz="0" w:space="0" w:color="auto"/>
                <w:right w:val="none" w:sz="0" w:space="0" w:color="auto"/>
              </w:divBdr>
            </w:div>
          </w:divsChild>
        </w:div>
        <w:div w:id="1369449538">
          <w:marLeft w:val="0"/>
          <w:marRight w:val="0"/>
          <w:marTop w:val="0"/>
          <w:marBottom w:val="0"/>
          <w:divBdr>
            <w:top w:val="none" w:sz="0" w:space="0" w:color="auto"/>
            <w:left w:val="none" w:sz="0" w:space="0" w:color="auto"/>
            <w:bottom w:val="none" w:sz="0" w:space="0" w:color="auto"/>
            <w:right w:val="none" w:sz="0" w:space="0" w:color="auto"/>
          </w:divBdr>
          <w:divsChild>
            <w:div w:id="588268144">
              <w:marLeft w:val="0"/>
              <w:marRight w:val="0"/>
              <w:marTop w:val="0"/>
              <w:marBottom w:val="0"/>
              <w:divBdr>
                <w:top w:val="none" w:sz="0" w:space="0" w:color="auto"/>
                <w:left w:val="none" w:sz="0" w:space="0" w:color="auto"/>
                <w:bottom w:val="none" w:sz="0" w:space="0" w:color="auto"/>
                <w:right w:val="none" w:sz="0" w:space="0" w:color="auto"/>
              </w:divBdr>
            </w:div>
          </w:divsChild>
        </w:div>
        <w:div w:id="1373920176">
          <w:marLeft w:val="0"/>
          <w:marRight w:val="0"/>
          <w:marTop w:val="0"/>
          <w:marBottom w:val="0"/>
          <w:divBdr>
            <w:top w:val="none" w:sz="0" w:space="0" w:color="auto"/>
            <w:left w:val="none" w:sz="0" w:space="0" w:color="auto"/>
            <w:bottom w:val="none" w:sz="0" w:space="0" w:color="auto"/>
            <w:right w:val="none" w:sz="0" w:space="0" w:color="auto"/>
          </w:divBdr>
          <w:divsChild>
            <w:div w:id="843663884">
              <w:marLeft w:val="0"/>
              <w:marRight w:val="0"/>
              <w:marTop w:val="0"/>
              <w:marBottom w:val="0"/>
              <w:divBdr>
                <w:top w:val="none" w:sz="0" w:space="0" w:color="auto"/>
                <w:left w:val="none" w:sz="0" w:space="0" w:color="auto"/>
                <w:bottom w:val="none" w:sz="0" w:space="0" w:color="auto"/>
                <w:right w:val="none" w:sz="0" w:space="0" w:color="auto"/>
              </w:divBdr>
            </w:div>
          </w:divsChild>
        </w:div>
        <w:div w:id="1584072512">
          <w:marLeft w:val="0"/>
          <w:marRight w:val="0"/>
          <w:marTop w:val="0"/>
          <w:marBottom w:val="0"/>
          <w:divBdr>
            <w:top w:val="none" w:sz="0" w:space="0" w:color="auto"/>
            <w:left w:val="none" w:sz="0" w:space="0" w:color="auto"/>
            <w:bottom w:val="none" w:sz="0" w:space="0" w:color="auto"/>
            <w:right w:val="none" w:sz="0" w:space="0" w:color="auto"/>
          </w:divBdr>
          <w:divsChild>
            <w:div w:id="329455266">
              <w:marLeft w:val="0"/>
              <w:marRight w:val="0"/>
              <w:marTop w:val="0"/>
              <w:marBottom w:val="0"/>
              <w:divBdr>
                <w:top w:val="none" w:sz="0" w:space="0" w:color="auto"/>
                <w:left w:val="none" w:sz="0" w:space="0" w:color="auto"/>
                <w:bottom w:val="none" w:sz="0" w:space="0" w:color="auto"/>
                <w:right w:val="none" w:sz="0" w:space="0" w:color="auto"/>
              </w:divBdr>
            </w:div>
          </w:divsChild>
        </w:div>
        <w:div w:id="1599563919">
          <w:marLeft w:val="0"/>
          <w:marRight w:val="0"/>
          <w:marTop w:val="0"/>
          <w:marBottom w:val="0"/>
          <w:divBdr>
            <w:top w:val="none" w:sz="0" w:space="0" w:color="auto"/>
            <w:left w:val="none" w:sz="0" w:space="0" w:color="auto"/>
            <w:bottom w:val="none" w:sz="0" w:space="0" w:color="auto"/>
            <w:right w:val="none" w:sz="0" w:space="0" w:color="auto"/>
          </w:divBdr>
          <w:divsChild>
            <w:div w:id="373773957">
              <w:marLeft w:val="0"/>
              <w:marRight w:val="0"/>
              <w:marTop w:val="0"/>
              <w:marBottom w:val="0"/>
              <w:divBdr>
                <w:top w:val="none" w:sz="0" w:space="0" w:color="auto"/>
                <w:left w:val="none" w:sz="0" w:space="0" w:color="auto"/>
                <w:bottom w:val="none" w:sz="0" w:space="0" w:color="auto"/>
                <w:right w:val="none" w:sz="0" w:space="0" w:color="auto"/>
              </w:divBdr>
            </w:div>
          </w:divsChild>
        </w:div>
        <w:div w:id="1618022125">
          <w:marLeft w:val="0"/>
          <w:marRight w:val="0"/>
          <w:marTop w:val="0"/>
          <w:marBottom w:val="0"/>
          <w:divBdr>
            <w:top w:val="none" w:sz="0" w:space="0" w:color="auto"/>
            <w:left w:val="none" w:sz="0" w:space="0" w:color="auto"/>
            <w:bottom w:val="none" w:sz="0" w:space="0" w:color="auto"/>
            <w:right w:val="none" w:sz="0" w:space="0" w:color="auto"/>
          </w:divBdr>
          <w:divsChild>
            <w:div w:id="932469665">
              <w:marLeft w:val="0"/>
              <w:marRight w:val="0"/>
              <w:marTop w:val="0"/>
              <w:marBottom w:val="0"/>
              <w:divBdr>
                <w:top w:val="none" w:sz="0" w:space="0" w:color="auto"/>
                <w:left w:val="none" w:sz="0" w:space="0" w:color="auto"/>
                <w:bottom w:val="none" w:sz="0" w:space="0" w:color="auto"/>
                <w:right w:val="none" w:sz="0" w:space="0" w:color="auto"/>
              </w:divBdr>
            </w:div>
          </w:divsChild>
        </w:div>
        <w:div w:id="1688097829">
          <w:marLeft w:val="0"/>
          <w:marRight w:val="0"/>
          <w:marTop w:val="0"/>
          <w:marBottom w:val="0"/>
          <w:divBdr>
            <w:top w:val="none" w:sz="0" w:space="0" w:color="auto"/>
            <w:left w:val="none" w:sz="0" w:space="0" w:color="auto"/>
            <w:bottom w:val="none" w:sz="0" w:space="0" w:color="auto"/>
            <w:right w:val="none" w:sz="0" w:space="0" w:color="auto"/>
          </w:divBdr>
          <w:divsChild>
            <w:div w:id="1934319392">
              <w:marLeft w:val="0"/>
              <w:marRight w:val="0"/>
              <w:marTop w:val="0"/>
              <w:marBottom w:val="0"/>
              <w:divBdr>
                <w:top w:val="none" w:sz="0" w:space="0" w:color="auto"/>
                <w:left w:val="none" w:sz="0" w:space="0" w:color="auto"/>
                <w:bottom w:val="none" w:sz="0" w:space="0" w:color="auto"/>
                <w:right w:val="none" w:sz="0" w:space="0" w:color="auto"/>
              </w:divBdr>
            </w:div>
          </w:divsChild>
        </w:div>
        <w:div w:id="1775781782">
          <w:marLeft w:val="0"/>
          <w:marRight w:val="0"/>
          <w:marTop w:val="0"/>
          <w:marBottom w:val="0"/>
          <w:divBdr>
            <w:top w:val="none" w:sz="0" w:space="0" w:color="auto"/>
            <w:left w:val="none" w:sz="0" w:space="0" w:color="auto"/>
            <w:bottom w:val="none" w:sz="0" w:space="0" w:color="auto"/>
            <w:right w:val="none" w:sz="0" w:space="0" w:color="auto"/>
          </w:divBdr>
          <w:divsChild>
            <w:div w:id="565533188">
              <w:marLeft w:val="0"/>
              <w:marRight w:val="0"/>
              <w:marTop w:val="0"/>
              <w:marBottom w:val="0"/>
              <w:divBdr>
                <w:top w:val="none" w:sz="0" w:space="0" w:color="auto"/>
                <w:left w:val="none" w:sz="0" w:space="0" w:color="auto"/>
                <w:bottom w:val="none" w:sz="0" w:space="0" w:color="auto"/>
                <w:right w:val="none" w:sz="0" w:space="0" w:color="auto"/>
              </w:divBdr>
            </w:div>
          </w:divsChild>
        </w:div>
        <w:div w:id="1780176336">
          <w:marLeft w:val="0"/>
          <w:marRight w:val="0"/>
          <w:marTop w:val="0"/>
          <w:marBottom w:val="0"/>
          <w:divBdr>
            <w:top w:val="none" w:sz="0" w:space="0" w:color="auto"/>
            <w:left w:val="none" w:sz="0" w:space="0" w:color="auto"/>
            <w:bottom w:val="none" w:sz="0" w:space="0" w:color="auto"/>
            <w:right w:val="none" w:sz="0" w:space="0" w:color="auto"/>
          </w:divBdr>
          <w:divsChild>
            <w:div w:id="640766027">
              <w:marLeft w:val="0"/>
              <w:marRight w:val="0"/>
              <w:marTop w:val="0"/>
              <w:marBottom w:val="0"/>
              <w:divBdr>
                <w:top w:val="none" w:sz="0" w:space="0" w:color="auto"/>
                <w:left w:val="none" w:sz="0" w:space="0" w:color="auto"/>
                <w:bottom w:val="none" w:sz="0" w:space="0" w:color="auto"/>
                <w:right w:val="none" w:sz="0" w:space="0" w:color="auto"/>
              </w:divBdr>
            </w:div>
          </w:divsChild>
        </w:div>
        <w:div w:id="1826555582">
          <w:marLeft w:val="0"/>
          <w:marRight w:val="0"/>
          <w:marTop w:val="0"/>
          <w:marBottom w:val="0"/>
          <w:divBdr>
            <w:top w:val="none" w:sz="0" w:space="0" w:color="auto"/>
            <w:left w:val="none" w:sz="0" w:space="0" w:color="auto"/>
            <w:bottom w:val="none" w:sz="0" w:space="0" w:color="auto"/>
            <w:right w:val="none" w:sz="0" w:space="0" w:color="auto"/>
          </w:divBdr>
          <w:divsChild>
            <w:div w:id="732581739">
              <w:marLeft w:val="0"/>
              <w:marRight w:val="0"/>
              <w:marTop w:val="0"/>
              <w:marBottom w:val="0"/>
              <w:divBdr>
                <w:top w:val="none" w:sz="0" w:space="0" w:color="auto"/>
                <w:left w:val="none" w:sz="0" w:space="0" w:color="auto"/>
                <w:bottom w:val="none" w:sz="0" w:space="0" w:color="auto"/>
                <w:right w:val="none" w:sz="0" w:space="0" w:color="auto"/>
              </w:divBdr>
            </w:div>
          </w:divsChild>
        </w:div>
        <w:div w:id="1829326440">
          <w:marLeft w:val="0"/>
          <w:marRight w:val="0"/>
          <w:marTop w:val="0"/>
          <w:marBottom w:val="0"/>
          <w:divBdr>
            <w:top w:val="none" w:sz="0" w:space="0" w:color="auto"/>
            <w:left w:val="none" w:sz="0" w:space="0" w:color="auto"/>
            <w:bottom w:val="none" w:sz="0" w:space="0" w:color="auto"/>
            <w:right w:val="none" w:sz="0" w:space="0" w:color="auto"/>
          </w:divBdr>
          <w:divsChild>
            <w:div w:id="1857843921">
              <w:marLeft w:val="0"/>
              <w:marRight w:val="0"/>
              <w:marTop w:val="0"/>
              <w:marBottom w:val="0"/>
              <w:divBdr>
                <w:top w:val="none" w:sz="0" w:space="0" w:color="auto"/>
                <w:left w:val="none" w:sz="0" w:space="0" w:color="auto"/>
                <w:bottom w:val="none" w:sz="0" w:space="0" w:color="auto"/>
                <w:right w:val="none" w:sz="0" w:space="0" w:color="auto"/>
              </w:divBdr>
            </w:div>
          </w:divsChild>
        </w:div>
        <w:div w:id="2027361851">
          <w:marLeft w:val="0"/>
          <w:marRight w:val="0"/>
          <w:marTop w:val="0"/>
          <w:marBottom w:val="0"/>
          <w:divBdr>
            <w:top w:val="none" w:sz="0" w:space="0" w:color="auto"/>
            <w:left w:val="none" w:sz="0" w:space="0" w:color="auto"/>
            <w:bottom w:val="none" w:sz="0" w:space="0" w:color="auto"/>
            <w:right w:val="none" w:sz="0" w:space="0" w:color="auto"/>
          </w:divBdr>
          <w:divsChild>
            <w:div w:id="1348631360">
              <w:marLeft w:val="0"/>
              <w:marRight w:val="0"/>
              <w:marTop w:val="0"/>
              <w:marBottom w:val="0"/>
              <w:divBdr>
                <w:top w:val="none" w:sz="0" w:space="0" w:color="auto"/>
                <w:left w:val="none" w:sz="0" w:space="0" w:color="auto"/>
                <w:bottom w:val="none" w:sz="0" w:space="0" w:color="auto"/>
                <w:right w:val="none" w:sz="0" w:space="0" w:color="auto"/>
              </w:divBdr>
            </w:div>
          </w:divsChild>
        </w:div>
        <w:div w:id="2107799629">
          <w:marLeft w:val="0"/>
          <w:marRight w:val="0"/>
          <w:marTop w:val="0"/>
          <w:marBottom w:val="0"/>
          <w:divBdr>
            <w:top w:val="none" w:sz="0" w:space="0" w:color="auto"/>
            <w:left w:val="none" w:sz="0" w:space="0" w:color="auto"/>
            <w:bottom w:val="none" w:sz="0" w:space="0" w:color="auto"/>
            <w:right w:val="none" w:sz="0" w:space="0" w:color="auto"/>
          </w:divBdr>
          <w:divsChild>
            <w:div w:id="309142580">
              <w:marLeft w:val="0"/>
              <w:marRight w:val="0"/>
              <w:marTop w:val="0"/>
              <w:marBottom w:val="0"/>
              <w:divBdr>
                <w:top w:val="none" w:sz="0" w:space="0" w:color="auto"/>
                <w:left w:val="none" w:sz="0" w:space="0" w:color="auto"/>
                <w:bottom w:val="none" w:sz="0" w:space="0" w:color="auto"/>
                <w:right w:val="none" w:sz="0" w:space="0" w:color="auto"/>
              </w:divBdr>
            </w:div>
          </w:divsChild>
        </w:div>
        <w:div w:id="2144691581">
          <w:marLeft w:val="0"/>
          <w:marRight w:val="0"/>
          <w:marTop w:val="0"/>
          <w:marBottom w:val="0"/>
          <w:divBdr>
            <w:top w:val="none" w:sz="0" w:space="0" w:color="auto"/>
            <w:left w:val="none" w:sz="0" w:space="0" w:color="auto"/>
            <w:bottom w:val="none" w:sz="0" w:space="0" w:color="auto"/>
            <w:right w:val="none" w:sz="0" w:space="0" w:color="auto"/>
          </w:divBdr>
          <w:divsChild>
            <w:div w:id="168686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23318">
      <w:bodyDiv w:val="1"/>
      <w:marLeft w:val="0"/>
      <w:marRight w:val="0"/>
      <w:marTop w:val="0"/>
      <w:marBottom w:val="0"/>
      <w:divBdr>
        <w:top w:val="none" w:sz="0" w:space="0" w:color="auto"/>
        <w:left w:val="none" w:sz="0" w:space="0" w:color="auto"/>
        <w:bottom w:val="none" w:sz="0" w:space="0" w:color="auto"/>
        <w:right w:val="none" w:sz="0" w:space="0" w:color="auto"/>
      </w:divBdr>
    </w:div>
    <w:div w:id="176700467">
      <w:bodyDiv w:val="1"/>
      <w:marLeft w:val="0"/>
      <w:marRight w:val="0"/>
      <w:marTop w:val="0"/>
      <w:marBottom w:val="0"/>
      <w:divBdr>
        <w:top w:val="none" w:sz="0" w:space="0" w:color="auto"/>
        <w:left w:val="none" w:sz="0" w:space="0" w:color="auto"/>
        <w:bottom w:val="none" w:sz="0" w:space="0" w:color="auto"/>
        <w:right w:val="none" w:sz="0" w:space="0" w:color="auto"/>
      </w:divBdr>
      <w:divsChild>
        <w:div w:id="20471060">
          <w:marLeft w:val="0"/>
          <w:marRight w:val="0"/>
          <w:marTop w:val="0"/>
          <w:marBottom w:val="0"/>
          <w:divBdr>
            <w:top w:val="none" w:sz="0" w:space="0" w:color="auto"/>
            <w:left w:val="none" w:sz="0" w:space="0" w:color="auto"/>
            <w:bottom w:val="none" w:sz="0" w:space="0" w:color="auto"/>
            <w:right w:val="none" w:sz="0" w:space="0" w:color="auto"/>
          </w:divBdr>
          <w:divsChild>
            <w:div w:id="27995533">
              <w:marLeft w:val="0"/>
              <w:marRight w:val="0"/>
              <w:marTop w:val="0"/>
              <w:marBottom w:val="0"/>
              <w:divBdr>
                <w:top w:val="none" w:sz="0" w:space="0" w:color="auto"/>
                <w:left w:val="none" w:sz="0" w:space="0" w:color="auto"/>
                <w:bottom w:val="none" w:sz="0" w:space="0" w:color="auto"/>
                <w:right w:val="none" w:sz="0" w:space="0" w:color="auto"/>
              </w:divBdr>
            </w:div>
          </w:divsChild>
        </w:div>
        <w:div w:id="164518458">
          <w:marLeft w:val="0"/>
          <w:marRight w:val="0"/>
          <w:marTop w:val="0"/>
          <w:marBottom w:val="0"/>
          <w:divBdr>
            <w:top w:val="none" w:sz="0" w:space="0" w:color="auto"/>
            <w:left w:val="none" w:sz="0" w:space="0" w:color="auto"/>
            <w:bottom w:val="none" w:sz="0" w:space="0" w:color="auto"/>
            <w:right w:val="none" w:sz="0" w:space="0" w:color="auto"/>
          </w:divBdr>
          <w:divsChild>
            <w:div w:id="1752384584">
              <w:marLeft w:val="0"/>
              <w:marRight w:val="0"/>
              <w:marTop w:val="0"/>
              <w:marBottom w:val="0"/>
              <w:divBdr>
                <w:top w:val="none" w:sz="0" w:space="0" w:color="auto"/>
                <w:left w:val="none" w:sz="0" w:space="0" w:color="auto"/>
                <w:bottom w:val="none" w:sz="0" w:space="0" w:color="auto"/>
                <w:right w:val="none" w:sz="0" w:space="0" w:color="auto"/>
              </w:divBdr>
            </w:div>
          </w:divsChild>
        </w:div>
        <w:div w:id="165094726">
          <w:marLeft w:val="0"/>
          <w:marRight w:val="0"/>
          <w:marTop w:val="0"/>
          <w:marBottom w:val="0"/>
          <w:divBdr>
            <w:top w:val="none" w:sz="0" w:space="0" w:color="auto"/>
            <w:left w:val="none" w:sz="0" w:space="0" w:color="auto"/>
            <w:bottom w:val="none" w:sz="0" w:space="0" w:color="auto"/>
            <w:right w:val="none" w:sz="0" w:space="0" w:color="auto"/>
          </w:divBdr>
          <w:divsChild>
            <w:div w:id="1857647304">
              <w:marLeft w:val="0"/>
              <w:marRight w:val="0"/>
              <w:marTop w:val="0"/>
              <w:marBottom w:val="0"/>
              <w:divBdr>
                <w:top w:val="none" w:sz="0" w:space="0" w:color="auto"/>
                <w:left w:val="none" w:sz="0" w:space="0" w:color="auto"/>
                <w:bottom w:val="none" w:sz="0" w:space="0" w:color="auto"/>
                <w:right w:val="none" w:sz="0" w:space="0" w:color="auto"/>
              </w:divBdr>
            </w:div>
          </w:divsChild>
        </w:div>
        <w:div w:id="172112327">
          <w:marLeft w:val="0"/>
          <w:marRight w:val="0"/>
          <w:marTop w:val="0"/>
          <w:marBottom w:val="0"/>
          <w:divBdr>
            <w:top w:val="none" w:sz="0" w:space="0" w:color="auto"/>
            <w:left w:val="none" w:sz="0" w:space="0" w:color="auto"/>
            <w:bottom w:val="none" w:sz="0" w:space="0" w:color="auto"/>
            <w:right w:val="none" w:sz="0" w:space="0" w:color="auto"/>
          </w:divBdr>
          <w:divsChild>
            <w:div w:id="789322370">
              <w:marLeft w:val="0"/>
              <w:marRight w:val="0"/>
              <w:marTop w:val="0"/>
              <w:marBottom w:val="0"/>
              <w:divBdr>
                <w:top w:val="none" w:sz="0" w:space="0" w:color="auto"/>
                <w:left w:val="none" w:sz="0" w:space="0" w:color="auto"/>
                <w:bottom w:val="none" w:sz="0" w:space="0" w:color="auto"/>
                <w:right w:val="none" w:sz="0" w:space="0" w:color="auto"/>
              </w:divBdr>
            </w:div>
          </w:divsChild>
        </w:div>
        <w:div w:id="191042838">
          <w:marLeft w:val="0"/>
          <w:marRight w:val="0"/>
          <w:marTop w:val="0"/>
          <w:marBottom w:val="0"/>
          <w:divBdr>
            <w:top w:val="none" w:sz="0" w:space="0" w:color="auto"/>
            <w:left w:val="none" w:sz="0" w:space="0" w:color="auto"/>
            <w:bottom w:val="none" w:sz="0" w:space="0" w:color="auto"/>
            <w:right w:val="none" w:sz="0" w:space="0" w:color="auto"/>
          </w:divBdr>
          <w:divsChild>
            <w:div w:id="1108962999">
              <w:marLeft w:val="0"/>
              <w:marRight w:val="0"/>
              <w:marTop w:val="0"/>
              <w:marBottom w:val="0"/>
              <w:divBdr>
                <w:top w:val="none" w:sz="0" w:space="0" w:color="auto"/>
                <w:left w:val="none" w:sz="0" w:space="0" w:color="auto"/>
                <w:bottom w:val="none" w:sz="0" w:space="0" w:color="auto"/>
                <w:right w:val="none" w:sz="0" w:space="0" w:color="auto"/>
              </w:divBdr>
            </w:div>
          </w:divsChild>
        </w:div>
        <w:div w:id="204411277">
          <w:marLeft w:val="0"/>
          <w:marRight w:val="0"/>
          <w:marTop w:val="0"/>
          <w:marBottom w:val="0"/>
          <w:divBdr>
            <w:top w:val="none" w:sz="0" w:space="0" w:color="auto"/>
            <w:left w:val="none" w:sz="0" w:space="0" w:color="auto"/>
            <w:bottom w:val="none" w:sz="0" w:space="0" w:color="auto"/>
            <w:right w:val="none" w:sz="0" w:space="0" w:color="auto"/>
          </w:divBdr>
          <w:divsChild>
            <w:div w:id="1050107714">
              <w:marLeft w:val="0"/>
              <w:marRight w:val="0"/>
              <w:marTop w:val="0"/>
              <w:marBottom w:val="0"/>
              <w:divBdr>
                <w:top w:val="none" w:sz="0" w:space="0" w:color="auto"/>
                <w:left w:val="none" w:sz="0" w:space="0" w:color="auto"/>
                <w:bottom w:val="none" w:sz="0" w:space="0" w:color="auto"/>
                <w:right w:val="none" w:sz="0" w:space="0" w:color="auto"/>
              </w:divBdr>
            </w:div>
          </w:divsChild>
        </w:div>
        <w:div w:id="249851505">
          <w:marLeft w:val="0"/>
          <w:marRight w:val="0"/>
          <w:marTop w:val="0"/>
          <w:marBottom w:val="0"/>
          <w:divBdr>
            <w:top w:val="none" w:sz="0" w:space="0" w:color="auto"/>
            <w:left w:val="none" w:sz="0" w:space="0" w:color="auto"/>
            <w:bottom w:val="none" w:sz="0" w:space="0" w:color="auto"/>
            <w:right w:val="none" w:sz="0" w:space="0" w:color="auto"/>
          </w:divBdr>
          <w:divsChild>
            <w:div w:id="685403264">
              <w:marLeft w:val="0"/>
              <w:marRight w:val="0"/>
              <w:marTop w:val="0"/>
              <w:marBottom w:val="0"/>
              <w:divBdr>
                <w:top w:val="none" w:sz="0" w:space="0" w:color="auto"/>
                <w:left w:val="none" w:sz="0" w:space="0" w:color="auto"/>
                <w:bottom w:val="none" w:sz="0" w:space="0" w:color="auto"/>
                <w:right w:val="none" w:sz="0" w:space="0" w:color="auto"/>
              </w:divBdr>
            </w:div>
          </w:divsChild>
        </w:div>
        <w:div w:id="261575246">
          <w:marLeft w:val="0"/>
          <w:marRight w:val="0"/>
          <w:marTop w:val="0"/>
          <w:marBottom w:val="0"/>
          <w:divBdr>
            <w:top w:val="none" w:sz="0" w:space="0" w:color="auto"/>
            <w:left w:val="none" w:sz="0" w:space="0" w:color="auto"/>
            <w:bottom w:val="none" w:sz="0" w:space="0" w:color="auto"/>
            <w:right w:val="none" w:sz="0" w:space="0" w:color="auto"/>
          </w:divBdr>
          <w:divsChild>
            <w:div w:id="1622415402">
              <w:marLeft w:val="0"/>
              <w:marRight w:val="0"/>
              <w:marTop w:val="0"/>
              <w:marBottom w:val="0"/>
              <w:divBdr>
                <w:top w:val="none" w:sz="0" w:space="0" w:color="auto"/>
                <w:left w:val="none" w:sz="0" w:space="0" w:color="auto"/>
                <w:bottom w:val="none" w:sz="0" w:space="0" w:color="auto"/>
                <w:right w:val="none" w:sz="0" w:space="0" w:color="auto"/>
              </w:divBdr>
            </w:div>
          </w:divsChild>
        </w:div>
        <w:div w:id="338040613">
          <w:marLeft w:val="0"/>
          <w:marRight w:val="0"/>
          <w:marTop w:val="0"/>
          <w:marBottom w:val="0"/>
          <w:divBdr>
            <w:top w:val="none" w:sz="0" w:space="0" w:color="auto"/>
            <w:left w:val="none" w:sz="0" w:space="0" w:color="auto"/>
            <w:bottom w:val="none" w:sz="0" w:space="0" w:color="auto"/>
            <w:right w:val="none" w:sz="0" w:space="0" w:color="auto"/>
          </w:divBdr>
          <w:divsChild>
            <w:div w:id="1974022708">
              <w:marLeft w:val="0"/>
              <w:marRight w:val="0"/>
              <w:marTop w:val="0"/>
              <w:marBottom w:val="0"/>
              <w:divBdr>
                <w:top w:val="none" w:sz="0" w:space="0" w:color="auto"/>
                <w:left w:val="none" w:sz="0" w:space="0" w:color="auto"/>
                <w:bottom w:val="none" w:sz="0" w:space="0" w:color="auto"/>
                <w:right w:val="none" w:sz="0" w:space="0" w:color="auto"/>
              </w:divBdr>
            </w:div>
          </w:divsChild>
        </w:div>
        <w:div w:id="357705977">
          <w:marLeft w:val="0"/>
          <w:marRight w:val="0"/>
          <w:marTop w:val="0"/>
          <w:marBottom w:val="0"/>
          <w:divBdr>
            <w:top w:val="none" w:sz="0" w:space="0" w:color="auto"/>
            <w:left w:val="none" w:sz="0" w:space="0" w:color="auto"/>
            <w:bottom w:val="none" w:sz="0" w:space="0" w:color="auto"/>
            <w:right w:val="none" w:sz="0" w:space="0" w:color="auto"/>
          </w:divBdr>
          <w:divsChild>
            <w:div w:id="1094863357">
              <w:marLeft w:val="0"/>
              <w:marRight w:val="0"/>
              <w:marTop w:val="0"/>
              <w:marBottom w:val="0"/>
              <w:divBdr>
                <w:top w:val="none" w:sz="0" w:space="0" w:color="auto"/>
                <w:left w:val="none" w:sz="0" w:space="0" w:color="auto"/>
                <w:bottom w:val="none" w:sz="0" w:space="0" w:color="auto"/>
                <w:right w:val="none" w:sz="0" w:space="0" w:color="auto"/>
              </w:divBdr>
            </w:div>
          </w:divsChild>
        </w:div>
        <w:div w:id="485703595">
          <w:marLeft w:val="0"/>
          <w:marRight w:val="0"/>
          <w:marTop w:val="0"/>
          <w:marBottom w:val="0"/>
          <w:divBdr>
            <w:top w:val="none" w:sz="0" w:space="0" w:color="auto"/>
            <w:left w:val="none" w:sz="0" w:space="0" w:color="auto"/>
            <w:bottom w:val="none" w:sz="0" w:space="0" w:color="auto"/>
            <w:right w:val="none" w:sz="0" w:space="0" w:color="auto"/>
          </w:divBdr>
          <w:divsChild>
            <w:div w:id="1549564096">
              <w:marLeft w:val="0"/>
              <w:marRight w:val="0"/>
              <w:marTop w:val="0"/>
              <w:marBottom w:val="0"/>
              <w:divBdr>
                <w:top w:val="none" w:sz="0" w:space="0" w:color="auto"/>
                <w:left w:val="none" w:sz="0" w:space="0" w:color="auto"/>
                <w:bottom w:val="none" w:sz="0" w:space="0" w:color="auto"/>
                <w:right w:val="none" w:sz="0" w:space="0" w:color="auto"/>
              </w:divBdr>
            </w:div>
          </w:divsChild>
        </w:div>
        <w:div w:id="506166617">
          <w:marLeft w:val="0"/>
          <w:marRight w:val="0"/>
          <w:marTop w:val="0"/>
          <w:marBottom w:val="0"/>
          <w:divBdr>
            <w:top w:val="none" w:sz="0" w:space="0" w:color="auto"/>
            <w:left w:val="none" w:sz="0" w:space="0" w:color="auto"/>
            <w:bottom w:val="none" w:sz="0" w:space="0" w:color="auto"/>
            <w:right w:val="none" w:sz="0" w:space="0" w:color="auto"/>
          </w:divBdr>
          <w:divsChild>
            <w:div w:id="267127920">
              <w:marLeft w:val="0"/>
              <w:marRight w:val="0"/>
              <w:marTop w:val="0"/>
              <w:marBottom w:val="0"/>
              <w:divBdr>
                <w:top w:val="none" w:sz="0" w:space="0" w:color="auto"/>
                <w:left w:val="none" w:sz="0" w:space="0" w:color="auto"/>
                <w:bottom w:val="none" w:sz="0" w:space="0" w:color="auto"/>
                <w:right w:val="none" w:sz="0" w:space="0" w:color="auto"/>
              </w:divBdr>
            </w:div>
          </w:divsChild>
        </w:div>
        <w:div w:id="521675359">
          <w:marLeft w:val="0"/>
          <w:marRight w:val="0"/>
          <w:marTop w:val="0"/>
          <w:marBottom w:val="0"/>
          <w:divBdr>
            <w:top w:val="none" w:sz="0" w:space="0" w:color="auto"/>
            <w:left w:val="none" w:sz="0" w:space="0" w:color="auto"/>
            <w:bottom w:val="none" w:sz="0" w:space="0" w:color="auto"/>
            <w:right w:val="none" w:sz="0" w:space="0" w:color="auto"/>
          </w:divBdr>
          <w:divsChild>
            <w:div w:id="1657414562">
              <w:marLeft w:val="0"/>
              <w:marRight w:val="0"/>
              <w:marTop w:val="0"/>
              <w:marBottom w:val="0"/>
              <w:divBdr>
                <w:top w:val="none" w:sz="0" w:space="0" w:color="auto"/>
                <w:left w:val="none" w:sz="0" w:space="0" w:color="auto"/>
                <w:bottom w:val="none" w:sz="0" w:space="0" w:color="auto"/>
                <w:right w:val="none" w:sz="0" w:space="0" w:color="auto"/>
              </w:divBdr>
            </w:div>
          </w:divsChild>
        </w:div>
        <w:div w:id="618924368">
          <w:marLeft w:val="0"/>
          <w:marRight w:val="0"/>
          <w:marTop w:val="0"/>
          <w:marBottom w:val="0"/>
          <w:divBdr>
            <w:top w:val="none" w:sz="0" w:space="0" w:color="auto"/>
            <w:left w:val="none" w:sz="0" w:space="0" w:color="auto"/>
            <w:bottom w:val="none" w:sz="0" w:space="0" w:color="auto"/>
            <w:right w:val="none" w:sz="0" w:space="0" w:color="auto"/>
          </w:divBdr>
          <w:divsChild>
            <w:div w:id="1566840361">
              <w:marLeft w:val="0"/>
              <w:marRight w:val="0"/>
              <w:marTop w:val="0"/>
              <w:marBottom w:val="0"/>
              <w:divBdr>
                <w:top w:val="none" w:sz="0" w:space="0" w:color="auto"/>
                <w:left w:val="none" w:sz="0" w:space="0" w:color="auto"/>
                <w:bottom w:val="none" w:sz="0" w:space="0" w:color="auto"/>
                <w:right w:val="none" w:sz="0" w:space="0" w:color="auto"/>
              </w:divBdr>
            </w:div>
          </w:divsChild>
        </w:div>
        <w:div w:id="654603573">
          <w:marLeft w:val="0"/>
          <w:marRight w:val="0"/>
          <w:marTop w:val="0"/>
          <w:marBottom w:val="0"/>
          <w:divBdr>
            <w:top w:val="none" w:sz="0" w:space="0" w:color="auto"/>
            <w:left w:val="none" w:sz="0" w:space="0" w:color="auto"/>
            <w:bottom w:val="none" w:sz="0" w:space="0" w:color="auto"/>
            <w:right w:val="none" w:sz="0" w:space="0" w:color="auto"/>
          </w:divBdr>
          <w:divsChild>
            <w:div w:id="1307978707">
              <w:marLeft w:val="0"/>
              <w:marRight w:val="0"/>
              <w:marTop w:val="0"/>
              <w:marBottom w:val="0"/>
              <w:divBdr>
                <w:top w:val="none" w:sz="0" w:space="0" w:color="auto"/>
                <w:left w:val="none" w:sz="0" w:space="0" w:color="auto"/>
                <w:bottom w:val="none" w:sz="0" w:space="0" w:color="auto"/>
                <w:right w:val="none" w:sz="0" w:space="0" w:color="auto"/>
              </w:divBdr>
            </w:div>
            <w:div w:id="1577858386">
              <w:marLeft w:val="0"/>
              <w:marRight w:val="0"/>
              <w:marTop w:val="0"/>
              <w:marBottom w:val="0"/>
              <w:divBdr>
                <w:top w:val="none" w:sz="0" w:space="0" w:color="auto"/>
                <w:left w:val="none" w:sz="0" w:space="0" w:color="auto"/>
                <w:bottom w:val="none" w:sz="0" w:space="0" w:color="auto"/>
                <w:right w:val="none" w:sz="0" w:space="0" w:color="auto"/>
              </w:divBdr>
            </w:div>
          </w:divsChild>
        </w:div>
        <w:div w:id="676731555">
          <w:marLeft w:val="0"/>
          <w:marRight w:val="0"/>
          <w:marTop w:val="0"/>
          <w:marBottom w:val="0"/>
          <w:divBdr>
            <w:top w:val="none" w:sz="0" w:space="0" w:color="auto"/>
            <w:left w:val="none" w:sz="0" w:space="0" w:color="auto"/>
            <w:bottom w:val="none" w:sz="0" w:space="0" w:color="auto"/>
            <w:right w:val="none" w:sz="0" w:space="0" w:color="auto"/>
          </w:divBdr>
          <w:divsChild>
            <w:div w:id="113208725">
              <w:marLeft w:val="0"/>
              <w:marRight w:val="0"/>
              <w:marTop w:val="0"/>
              <w:marBottom w:val="0"/>
              <w:divBdr>
                <w:top w:val="none" w:sz="0" w:space="0" w:color="auto"/>
                <w:left w:val="none" w:sz="0" w:space="0" w:color="auto"/>
                <w:bottom w:val="none" w:sz="0" w:space="0" w:color="auto"/>
                <w:right w:val="none" w:sz="0" w:space="0" w:color="auto"/>
              </w:divBdr>
            </w:div>
          </w:divsChild>
        </w:div>
        <w:div w:id="742067878">
          <w:marLeft w:val="0"/>
          <w:marRight w:val="0"/>
          <w:marTop w:val="0"/>
          <w:marBottom w:val="0"/>
          <w:divBdr>
            <w:top w:val="none" w:sz="0" w:space="0" w:color="auto"/>
            <w:left w:val="none" w:sz="0" w:space="0" w:color="auto"/>
            <w:bottom w:val="none" w:sz="0" w:space="0" w:color="auto"/>
            <w:right w:val="none" w:sz="0" w:space="0" w:color="auto"/>
          </w:divBdr>
          <w:divsChild>
            <w:div w:id="414398592">
              <w:marLeft w:val="0"/>
              <w:marRight w:val="0"/>
              <w:marTop w:val="0"/>
              <w:marBottom w:val="0"/>
              <w:divBdr>
                <w:top w:val="none" w:sz="0" w:space="0" w:color="auto"/>
                <w:left w:val="none" w:sz="0" w:space="0" w:color="auto"/>
                <w:bottom w:val="none" w:sz="0" w:space="0" w:color="auto"/>
                <w:right w:val="none" w:sz="0" w:space="0" w:color="auto"/>
              </w:divBdr>
            </w:div>
          </w:divsChild>
        </w:div>
        <w:div w:id="909585533">
          <w:marLeft w:val="0"/>
          <w:marRight w:val="0"/>
          <w:marTop w:val="0"/>
          <w:marBottom w:val="0"/>
          <w:divBdr>
            <w:top w:val="none" w:sz="0" w:space="0" w:color="auto"/>
            <w:left w:val="none" w:sz="0" w:space="0" w:color="auto"/>
            <w:bottom w:val="none" w:sz="0" w:space="0" w:color="auto"/>
            <w:right w:val="none" w:sz="0" w:space="0" w:color="auto"/>
          </w:divBdr>
          <w:divsChild>
            <w:div w:id="1684210409">
              <w:marLeft w:val="0"/>
              <w:marRight w:val="0"/>
              <w:marTop w:val="0"/>
              <w:marBottom w:val="0"/>
              <w:divBdr>
                <w:top w:val="none" w:sz="0" w:space="0" w:color="auto"/>
                <w:left w:val="none" w:sz="0" w:space="0" w:color="auto"/>
                <w:bottom w:val="none" w:sz="0" w:space="0" w:color="auto"/>
                <w:right w:val="none" w:sz="0" w:space="0" w:color="auto"/>
              </w:divBdr>
            </w:div>
          </w:divsChild>
        </w:div>
        <w:div w:id="915554874">
          <w:marLeft w:val="0"/>
          <w:marRight w:val="0"/>
          <w:marTop w:val="0"/>
          <w:marBottom w:val="0"/>
          <w:divBdr>
            <w:top w:val="none" w:sz="0" w:space="0" w:color="auto"/>
            <w:left w:val="none" w:sz="0" w:space="0" w:color="auto"/>
            <w:bottom w:val="none" w:sz="0" w:space="0" w:color="auto"/>
            <w:right w:val="none" w:sz="0" w:space="0" w:color="auto"/>
          </w:divBdr>
          <w:divsChild>
            <w:div w:id="130825912">
              <w:marLeft w:val="0"/>
              <w:marRight w:val="0"/>
              <w:marTop w:val="0"/>
              <w:marBottom w:val="0"/>
              <w:divBdr>
                <w:top w:val="none" w:sz="0" w:space="0" w:color="auto"/>
                <w:left w:val="none" w:sz="0" w:space="0" w:color="auto"/>
                <w:bottom w:val="none" w:sz="0" w:space="0" w:color="auto"/>
                <w:right w:val="none" w:sz="0" w:space="0" w:color="auto"/>
              </w:divBdr>
            </w:div>
          </w:divsChild>
        </w:div>
        <w:div w:id="980233353">
          <w:marLeft w:val="0"/>
          <w:marRight w:val="0"/>
          <w:marTop w:val="0"/>
          <w:marBottom w:val="0"/>
          <w:divBdr>
            <w:top w:val="none" w:sz="0" w:space="0" w:color="auto"/>
            <w:left w:val="none" w:sz="0" w:space="0" w:color="auto"/>
            <w:bottom w:val="none" w:sz="0" w:space="0" w:color="auto"/>
            <w:right w:val="none" w:sz="0" w:space="0" w:color="auto"/>
          </w:divBdr>
          <w:divsChild>
            <w:div w:id="798452818">
              <w:marLeft w:val="0"/>
              <w:marRight w:val="0"/>
              <w:marTop w:val="0"/>
              <w:marBottom w:val="0"/>
              <w:divBdr>
                <w:top w:val="none" w:sz="0" w:space="0" w:color="auto"/>
                <w:left w:val="none" w:sz="0" w:space="0" w:color="auto"/>
                <w:bottom w:val="none" w:sz="0" w:space="0" w:color="auto"/>
                <w:right w:val="none" w:sz="0" w:space="0" w:color="auto"/>
              </w:divBdr>
            </w:div>
          </w:divsChild>
        </w:div>
        <w:div w:id="1020085933">
          <w:marLeft w:val="0"/>
          <w:marRight w:val="0"/>
          <w:marTop w:val="0"/>
          <w:marBottom w:val="0"/>
          <w:divBdr>
            <w:top w:val="none" w:sz="0" w:space="0" w:color="auto"/>
            <w:left w:val="none" w:sz="0" w:space="0" w:color="auto"/>
            <w:bottom w:val="none" w:sz="0" w:space="0" w:color="auto"/>
            <w:right w:val="none" w:sz="0" w:space="0" w:color="auto"/>
          </w:divBdr>
          <w:divsChild>
            <w:div w:id="2065130368">
              <w:marLeft w:val="0"/>
              <w:marRight w:val="0"/>
              <w:marTop w:val="0"/>
              <w:marBottom w:val="0"/>
              <w:divBdr>
                <w:top w:val="none" w:sz="0" w:space="0" w:color="auto"/>
                <w:left w:val="none" w:sz="0" w:space="0" w:color="auto"/>
                <w:bottom w:val="none" w:sz="0" w:space="0" w:color="auto"/>
                <w:right w:val="none" w:sz="0" w:space="0" w:color="auto"/>
              </w:divBdr>
            </w:div>
          </w:divsChild>
        </w:div>
        <w:div w:id="1202279122">
          <w:marLeft w:val="0"/>
          <w:marRight w:val="0"/>
          <w:marTop w:val="0"/>
          <w:marBottom w:val="0"/>
          <w:divBdr>
            <w:top w:val="none" w:sz="0" w:space="0" w:color="auto"/>
            <w:left w:val="none" w:sz="0" w:space="0" w:color="auto"/>
            <w:bottom w:val="none" w:sz="0" w:space="0" w:color="auto"/>
            <w:right w:val="none" w:sz="0" w:space="0" w:color="auto"/>
          </w:divBdr>
          <w:divsChild>
            <w:div w:id="1329019673">
              <w:marLeft w:val="0"/>
              <w:marRight w:val="0"/>
              <w:marTop w:val="0"/>
              <w:marBottom w:val="0"/>
              <w:divBdr>
                <w:top w:val="none" w:sz="0" w:space="0" w:color="auto"/>
                <w:left w:val="none" w:sz="0" w:space="0" w:color="auto"/>
                <w:bottom w:val="none" w:sz="0" w:space="0" w:color="auto"/>
                <w:right w:val="none" w:sz="0" w:space="0" w:color="auto"/>
              </w:divBdr>
            </w:div>
          </w:divsChild>
        </w:div>
        <w:div w:id="1432971313">
          <w:marLeft w:val="0"/>
          <w:marRight w:val="0"/>
          <w:marTop w:val="0"/>
          <w:marBottom w:val="0"/>
          <w:divBdr>
            <w:top w:val="none" w:sz="0" w:space="0" w:color="auto"/>
            <w:left w:val="none" w:sz="0" w:space="0" w:color="auto"/>
            <w:bottom w:val="none" w:sz="0" w:space="0" w:color="auto"/>
            <w:right w:val="none" w:sz="0" w:space="0" w:color="auto"/>
          </w:divBdr>
          <w:divsChild>
            <w:div w:id="2129346260">
              <w:marLeft w:val="0"/>
              <w:marRight w:val="0"/>
              <w:marTop w:val="0"/>
              <w:marBottom w:val="0"/>
              <w:divBdr>
                <w:top w:val="none" w:sz="0" w:space="0" w:color="auto"/>
                <w:left w:val="none" w:sz="0" w:space="0" w:color="auto"/>
                <w:bottom w:val="none" w:sz="0" w:space="0" w:color="auto"/>
                <w:right w:val="none" w:sz="0" w:space="0" w:color="auto"/>
              </w:divBdr>
            </w:div>
          </w:divsChild>
        </w:div>
        <w:div w:id="1555460733">
          <w:marLeft w:val="0"/>
          <w:marRight w:val="0"/>
          <w:marTop w:val="0"/>
          <w:marBottom w:val="0"/>
          <w:divBdr>
            <w:top w:val="none" w:sz="0" w:space="0" w:color="auto"/>
            <w:left w:val="none" w:sz="0" w:space="0" w:color="auto"/>
            <w:bottom w:val="none" w:sz="0" w:space="0" w:color="auto"/>
            <w:right w:val="none" w:sz="0" w:space="0" w:color="auto"/>
          </w:divBdr>
          <w:divsChild>
            <w:div w:id="1584752363">
              <w:marLeft w:val="0"/>
              <w:marRight w:val="0"/>
              <w:marTop w:val="0"/>
              <w:marBottom w:val="0"/>
              <w:divBdr>
                <w:top w:val="none" w:sz="0" w:space="0" w:color="auto"/>
                <w:left w:val="none" w:sz="0" w:space="0" w:color="auto"/>
                <w:bottom w:val="none" w:sz="0" w:space="0" w:color="auto"/>
                <w:right w:val="none" w:sz="0" w:space="0" w:color="auto"/>
              </w:divBdr>
            </w:div>
          </w:divsChild>
        </w:div>
        <w:div w:id="1560945776">
          <w:marLeft w:val="0"/>
          <w:marRight w:val="0"/>
          <w:marTop w:val="0"/>
          <w:marBottom w:val="0"/>
          <w:divBdr>
            <w:top w:val="none" w:sz="0" w:space="0" w:color="auto"/>
            <w:left w:val="none" w:sz="0" w:space="0" w:color="auto"/>
            <w:bottom w:val="none" w:sz="0" w:space="0" w:color="auto"/>
            <w:right w:val="none" w:sz="0" w:space="0" w:color="auto"/>
          </w:divBdr>
          <w:divsChild>
            <w:div w:id="490874898">
              <w:marLeft w:val="0"/>
              <w:marRight w:val="0"/>
              <w:marTop w:val="0"/>
              <w:marBottom w:val="0"/>
              <w:divBdr>
                <w:top w:val="none" w:sz="0" w:space="0" w:color="auto"/>
                <w:left w:val="none" w:sz="0" w:space="0" w:color="auto"/>
                <w:bottom w:val="none" w:sz="0" w:space="0" w:color="auto"/>
                <w:right w:val="none" w:sz="0" w:space="0" w:color="auto"/>
              </w:divBdr>
            </w:div>
          </w:divsChild>
        </w:div>
        <w:div w:id="1582060674">
          <w:marLeft w:val="0"/>
          <w:marRight w:val="0"/>
          <w:marTop w:val="0"/>
          <w:marBottom w:val="0"/>
          <w:divBdr>
            <w:top w:val="none" w:sz="0" w:space="0" w:color="auto"/>
            <w:left w:val="none" w:sz="0" w:space="0" w:color="auto"/>
            <w:bottom w:val="none" w:sz="0" w:space="0" w:color="auto"/>
            <w:right w:val="none" w:sz="0" w:space="0" w:color="auto"/>
          </w:divBdr>
          <w:divsChild>
            <w:div w:id="2024090382">
              <w:marLeft w:val="0"/>
              <w:marRight w:val="0"/>
              <w:marTop w:val="0"/>
              <w:marBottom w:val="0"/>
              <w:divBdr>
                <w:top w:val="none" w:sz="0" w:space="0" w:color="auto"/>
                <w:left w:val="none" w:sz="0" w:space="0" w:color="auto"/>
                <w:bottom w:val="none" w:sz="0" w:space="0" w:color="auto"/>
                <w:right w:val="none" w:sz="0" w:space="0" w:color="auto"/>
              </w:divBdr>
            </w:div>
          </w:divsChild>
        </w:div>
        <w:div w:id="1653408079">
          <w:marLeft w:val="0"/>
          <w:marRight w:val="0"/>
          <w:marTop w:val="0"/>
          <w:marBottom w:val="0"/>
          <w:divBdr>
            <w:top w:val="none" w:sz="0" w:space="0" w:color="auto"/>
            <w:left w:val="none" w:sz="0" w:space="0" w:color="auto"/>
            <w:bottom w:val="none" w:sz="0" w:space="0" w:color="auto"/>
            <w:right w:val="none" w:sz="0" w:space="0" w:color="auto"/>
          </w:divBdr>
          <w:divsChild>
            <w:div w:id="1756705825">
              <w:marLeft w:val="0"/>
              <w:marRight w:val="0"/>
              <w:marTop w:val="0"/>
              <w:marBottom w:val="0"/>
              <w:divBdr>
                <w:top w:val="none" w:sz="0" w:space="0" w:color="auto"/>
                <w:left w:val="none" w:sz="0" w:space="0" w:color="auto"/>
                <w:bottom w:val="none" w:sz="0" w:space="0" w:color="auto"/>
                <w:right w:val="none" w:sz="0" w:space="0" w:color="auto"/>
              </w:divBdr>
            </w:div>
          </w:divsChild>
        </w:div>
        <w:div w:id="1663267471">
          <w:marLeft w:val="0"/>
          <w:marRight w:val="0"/>
          <w:marTop w:val="0"/>
          <w:marBottom w:val="0"/>
          <w:divBdr>
            <w:top w:val="none" w:sz="0" w:space="0" w:color="auto"/>
            <w:left w:val="none" w:sz="0" w:space="0" w:color="auto"/>
            <w:bottom w:val="none" w:sz="0" w:space="0" w:color="auto"/>
            <w:right w:val="none" w:sz="0" w:space="0" w:color="auto"/>
          </w:divBdr>
          <w:divsChild>
            <w:div w:id="725959260">
              <w:marLeft w:val="0"/>
              <w:marRight w:val="0"/>
              <w:marTop w:val="0"/>
              <w:marBottom w:val="0"/>
              <w:divBdr>
                <w:top w:val="none" w:sz="0" w:space="0" w:color="auto"/>
                <w:left w:val="none" w:sz="0" w:space="0" w:color="auto"/>
                <w:bottom w:val="none" w:sz="0" w:space="0" w:color="auto"/>
                <w:right w:val="none" w:sz="0" w:space="0" w:color="auto"/>
              </w:divBdr>
            </w:div>
          </w:divsChild>
        </w:div>
        <w:div w:id="1701970742">
          <w:marLeft w:val="0"/>
          <w:marRight w:val="0"/>
          <w:marTop w:val="0"/>
          <w:marBottom w:val="0"/>
          <w:divBdr>
            <w:top w:val="none" w:sz="0" w:space="0" w:color="auto"/>
            <w:left w:val="none" w:sz="0" w:space="0" w:color="auto"/>
            <w:bottom w:val="none" w:sz="0" w:space="0" w:color="auto"/>
            <w:right w:val="none" w:sz="0" w:space="0" w:color="auto"/>
          </w:divBdr>
          <w:divsChild>
            <w:div w:id="563179260">
              <w:marLeft w:val="0"/>
              <w:marRight w:val="0"/>
              <w:marTop w:val="0"/>
              <w:marBottom w:val="0"/>
              <w:divBdr>
                <w:top w:val="none" w:sz="0" w:space="0" w:color="auto"/>
                <w:left w:val="none" w:sz="0" w:space="0" w:color="auto"/>
                <w:bottom w:val="none" w:sz="0" w:space="0" w:color="auto"/>
                <w:right w:val="none" w:sz="0" w:space="0" w:color="auto"/>
              </w:divBdr>
            </w:div>
          </w:divsChild>
        </w:div>
        <w:div w:id="1729255322">
          <w:marLeft w:val="0"/>
          <w:marRight w:val="0"/>
          <w:marTop w:val="0"/>
          <w:marBottom w:val="0"/>
          <w:divBdr>
            <w:top w:val="none" w:sz="0" w:space="0" w:color="auto"/>
            <w:left w:val="none" w:sz="0" w:space="0" w:color="auto"/>
            <w:bottom w:val="none" w:sz="0" w:space="0" w:color="auto"/>
            <w:right w:val="none" w:sz="0" w:space="0" w:color="auto"/>
          </w:divBdr>
          <w:divsChild>
            <w:div w:id="935286849">
              <w:marLeft w:val="0"/>
              <w:marRight w:val="0"/>
              <w:marTop w:val="0"/>
              <w:marBottom w:val="0"/>
              <w:divBdr>
                <w:top w:val="none" w:sz="0" w:space="0" w:color="auto"/>
                <w:left w:val="none" w:sz="0" w:space="0" w:color="auto"/>
                <w:bottom w:val="none" w:sz="0" w:space="0" w:color="auto"/>
                <w:right w:val="none" w:sz="0" w:space="0" w:color="auto"/>
              </w:divBdr>
            </w:div>
          </w:divsChild>
        </w:div>
        <w:div w:id="1789615862">
          <w:marLeft w:val="0"/>
          <w:marRight w:val="0"/>
          <w:marTop w:val="0"/>
          <w:marBottom w:val="0"/>
          <w:divBdr>
            <w:top w:val="none" w:sz="0" w:space="0" w:color="auto"/>
            <w:left w:val="none" w:sz="0" w:space="0" w:color="auto"/>
            <w:bottom w:val="none" w:sz="0" w:space="0" w:color="auto"/>
            <w:right w:val="none" w:sz="0" w:space="0" w:color="auto"/>
          </w:divBdr>
          <w:divsChild>
            <w:div w:id="1833519028">
              <w:marLeft w:val="0"/>
              <w:marRight w:val="0"/>
              <w:marTop w:val="0"/>
              <w:marBottom w:val="0"/>
              <w:divBdr>
                <w:top w:val="none" w:sz="0" w:space="0" w:color="auto"/>
                <w:left w:val="none" w:sz="0" w:space="0" w:color="auto"/>
                <w:bottom w:val="none" w:sz="0" w:space="0" w:color="auto"/>
                <w:right w:val="none" w:sz="0" w:space="0" w:color="auto"/>
              </w:divBdr>
            </w:div>
          </w:divsChild>
        </w:div>
        <w:div w:id="1834174082">
          <w:marLeft w:val="0"/>
          <w:marRight w:val="0"/>
          <w:marTop w:val="0"/>
          <w:marBottom w:val="0"/>
          <w:divBdr>
            <w:top w:val="none" w:sz="0" w:space="0" w:color="auto"/>
            <w:left w:val="none" w:sz="0" w:space="0" w:color="auto"/>
            <w:bottom w:val="none" w:sz="0" w:space="0" w:color="auto"/>
            <w:right w:val="none" w:sz="0" w:space="0" w:color="auto"/>
          </w:divBdr>
          <w:divsChild>
            <w:div w:id="1876311577">
              <w:marLeft w:val="0"/>
              <w:marRight w:val="0"/>
              <w:marTop w:val="0"/>
              <w:marBottom w:val="0"/>
              <w:divBdr>
                <w:top w:val="none" w:sz="0" w:space="0" w:color="auto"/>
                <w:left w:val="none" w:sz="0" w:space="0" w:color="auto"/>
                <w:bottom w:val="none" w:sz="0" w:space="0" w:color="auto"/>
                <w:right w:val="none" w:sz="0" w:space="0" w:color="auto"/>
              </w:divBdr>
            </w:div>
          </w:divsChild>
        </w:div>
        <w:div w:id="2076538188">
          <w:marLeft w:val="0"/>
          <w:marRight w:val="0"/>
          <w:marTop w:val="0"/>
          <w:marBottom w:val="0"/>
          <w:divBdr>
            <w:top w:val="none" w:sz="0" w:space="0" w:color="auto"/>
            <w:left w:val="none" w:sz="0" w:space="0" w:color="auto"/>
            <w:bottom w:val="none" w:sz="0" w:space="0" w:color="auto"/>
            <w:right w:val="none" w:sz="0" w:space="0" w:color="auto"/>
          </w:divBdr>
          <w:divsChild>
            <w:div w:id="318389726">
              <w:marLeft w:val="0"/>
              <w:marRight w:val="0"/>
              <w:marTop w:val="0"/>
              <w:marBottom w:val="0"/>
              <w:divBdr>
                <w:top w:val="none" w:sz="0" w:space="0" w:color="auto"/>
                <w:left w:val="none" w:sz="0" w:space="0" w:color="auto"/>
                <w:bottom w:val="none" w:sz="0" w:space="0" w:color="auto"/>
                <w:right w:val="none" w:sz="0" w:space="0" w:color="auto"/>
              </w:divBdr>
            </w:div>
          </w:divsChild>
        </w:div>
        <w:div w:id="2092846511">
          <w:marLeft w:val="0"/>
          <w:marRight w:val="0"/>
          <w:marTop w:val="0"/>
          <w:marBottom w:val="0"/>
          <w:divBdr>
            <w:top w:val="none" w:sz="0" w:space="0" w:color="auto"/>
            <w:left w:val="none" w:sz="0" w:space="0" w:color="auto"/>
            <w:bottom w:val="none" w:sz="0" w:space="0" w:color="auto"/>
            <w:right w:val="none" w:sz="0" w:space="0" w:color="auto"/>
          </w:divBdr>
          <w:divsChild>
            <w:div w:id="375590563">
              <w:marLeft w:val="0"/>
              <w:marRight w:val="0"/>
              <w:marTop w:val="0"/>
              <w:marBottom w:val="0"/>
              <w:divBdr>
                <w:top w:val="none" w:sz="0" w:space="0" w:color="auto"/>
                <w:left w:val="none" w:sz="0" w:space="0" w:color="auto"/>
                <w:bottom w:val="none" w:sz="0" w:space="0" w:color="auto"/>
                <w:right w:val="none" w:sz="0" w:space="0" w:color="auto"/>
              </w:divBdr>
            </w:div>
          </w:divsChild>
        </w:div>
        <w:div w:id="2110463541">
          <w:marLeft w:val="0"/>
          <w:marRight w:val="0"/>
          <w:marTop w:val="0"/>
          <w:marBottom w:val="0"/>
          <w:divBdr>
            <w:top w:val="none" w:sz="0" w:space="0" w:color="auto"/>
            <w:left w:val="none" w:sz="0" w:space="0" w:color="auto"/>
            <w:bottom w:val="none" w:sz="0" w:space="0" w:color="auto"/>
            <w:right w:val="none" w:sz="0" w:space="0" w:color="auto"/>
          </w:divBdr>
          <w:divsChild>
            <w:div w:id="115680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005651">
      <w:bodyDiv w:val="1"/>
      <w:marLeft w:val="0"/>
      <w:marRight w:val="0"/>
      <w:marTop w:val="0"/>
      <w:marBottom w:val="0"/>
      <w:divBdr>
        <w:top w:val="none" w:sz="0" w:space="0" w:color="auto"/>
        <w:left w:val="none" w:sz="0" w:space="0" w:color="auto"/>
        <w:bottom w:val="none" w:sz="0" w:space="0" w:color="auto"/>
        <w:right w:val="none" w:sz="0" w:space="0" w:color="auto"/>
      </w:divBdr>
      <w:divsChild>
        <w:div w:id="101656040">
          <w:marLeft w:val="0"/>
          <w:marRight w:val="0"/>
          <w:marTop w:val="0"/>
          <w:marBottom w:val="0"/>
          <w:divBdr>
            <w:top w:val="none" w:sz="0" w:space="0" w:color="auto"/>
            <w:left w:val="none" w:sz="0" w:space="0" w:color="auto"/>
            <w:bottom w:val="none" w:sz="0" w:space="0" w:color="auto"/>
            <w:right w:val="none" w:sz="0" w:space="0" w:color="auto"/>
          </w:divBdr>
          <w:divsChild>
            <w:div w:id="1064135918">
              <w:marLeft w:val="0"/>
              <w:marRight w:val="0"/>
              <w:marTop w:val="0"/>
              <w:marBottom w:val="0"/>
              <w:divBdr>
                <w:top w:val="none" w:sz="0" w:space="0" w:color="auto"/>
                <w:left w:val="none" w:sz="0" w:space="0" w:color="auto"/>
                <w:bottom w:val="none" w:sz="0" w:space="0" w:color="auto"/>
                <w:right w:val="none" w:sz="0" w:space="0" w:color="auto"/>
              </w:divBdr>
            </w:div>
          </w:divsChild>
        </w:div>
        <w:div w:id="134882736">
          <w:marLeft w:val="0"/>
          <w:marRight w:val="0"/>
          <w:marTop w:val="0"/>
          <w:marBottom w:val="0"/>
          <w:divBdr>
            <w:top w:val="none" w:sz="0" w:space="0" w:color="auto"/>
            <w:left w:val="none" w:sz="0" w:space="0" w:color="auto"/>
            <w:bottom w:val="none" w:sz="0" w:space="0" w:color="auto"/>
            <w:right w:val="none" w:sz="0" w:space="0" w:color="auto"/>
          </w:divBdr>
          <w:divsChild>
            <w:div w:id="536352156">
              <w:marLeft w:val="0"/>
              <w:marRight w:val="0"/>
              <w:marTop w:val="0"/>
              <w:marBottom w:val="0"/>
              <w:divBdr>
                <w:top w:val="none" w:sz="0" w:space="0" w:color="auto"/>
                <w:left w:val="none" w:sz="0" w:space="0" w:color="auto"/>
                <w:bottom w:val="none" w:sz="0" w:space="0" w:color="auto"/>
                <w:right w:val="none" w:sz="0" w:space="0" w:color="auto"/>
              </w:divBdr>
            </w:div>
          </w:divsChild>
        </w:div>
        <w:div w:id="135417837">
          <w:marLeft w:val="0"/>
          <w:marRight w:val="0"/>
          <w:marTop w:val="0"/>
          <w:marBottom w:val="0"/>
          <w:divBdr>
            <w:top w:val="none" w:sz="0" w:space="0" w:color="auto"/>
            <w:left w:val="none" w:sz="0" w:space="0" w:color="auto"/>
            <w:bottom w:val="none" w:sz="0" w:space="0" w:color="auto"/>
            <w:right w:val="none" w:sz="0" w:space="0" w:color="auto"/>
          </w:divBdr>
          <w:divsChild>
            <w:div w:id="246037632">
              <w:marLeft w:val="0"/>
              <w:marRight w:val="0"/>
              <w:marTop w:val="0"/>
              <w:marBottom w:val="0"/>
              <w:divBdr>
                <w:top w:val="none" w:sz="0" w:space="0" w:color="auto"/>
                <w:left w:val="none" w:sz="0" w:space="0" w:color="auto"/>
                <w:bottom w:val="none" w:sz="0" w:space="0" w:color="auto"/>
                <w:right w:val="none" w:sz="0" w:space="0" w:color="auto"/>
              </w:divBdr>
            </w:div>
          </w:divsChild>
        </w:div>
        <w:div w:id="199782802">
          <w:marLeft w:val="0"/>
          <w:marRight w:val="0"/>
          <w:marTop w:val="0"/>
          <w:marBottom w:val="0"/>
          <w:divBdr>
            <w:top w:val="none" w:sz="0" w:space="0" w:color="auto"/>
            <w:left w:val="none" w:sz="0" w:space="0" w:color="auto"/>
            <w:bottom w:val="none" w:sz="0" w:space="0" w:color="auto"/>
            <w:right w:val="none" w:sz="0" w:space="0" w:color="auto"/>
          </w:divBdr>
          <w:divsChild>
            <w:div w:id="817839862">
              <w:marLeft w:val="0"/>
              <w:marRight w:val="0"/>
              <w:marTop w:val="0"/>
              <w:marBottom w:val="0"/>
              <w:divBdr>
                <w:top w:val="none" w:sz="0" w:space="0" w:color="auto"/>
                <w:left w:val="none" w:sz="0" w:space="0" w:color="auto"/>
                <w:bottom w:val="none" w:sz="0" w:space="0" w:color="auto"/>
                <w:right w:val="none" w:sz="0" w:space="0" w:color="auto"/>
              </w:divBdr>
            </w:div>
          </w:divsChild>
        </w:div>
        <w:div w:id="226692156">
          <w:marLeft w:val="0"/>
          <w:marRight w:val="0"/>
          <w:marTop w:val="0"/>
          <w:marBottom w:val="0"/>
          <w:divBdr>
            <w:top w:val="none" w:sz="0" w:space="0" w:color="auto"/>
            <w:left w:val="none" w:sz="0" w:space="0" w:color="auto"/>
            <w:bottom w:val="none" w:sz="0" w:space="0" w:color="auto"/>
            <w:right w:val="none" w:sz="0" w:space="0" w:color="auto"/>
          </w:divBdr>
          <w:divsChild>
            <w:div w:id="1973365313">
              <w:marLeft w:val="0"/>
              <w:marRight w:val="0"/>
              <w:marTop w:val="0"/>
              <w:marBottom w:val="0"/>
              <w:divBdr>
                <w:top w:val="none" w:sz="0" w:space="0" w:color="auto"/>
                <w:left w:val="none" w:sz="0" w:space="0" w:color="auto"/>
                <w:bottom w:val="none" w:sz="0" w:space="0" w:color="auto"/>
                <w:right w:val="none" w:sz="0" w:space="0" w:color="auto"/>
              </w:divBdr>
            </w:div>
          </w:divsChild>
        </w:div>
        <w:div w:id="245774255">
          <w:marLeft w:val="0"/>
          <w:marRight w:val="0"/>
          <w:marTop w:val="0"/>
          <w:marBottom w:val="0"/>
          <w:divBdr>
            <w:top w:val="none" w:sz="0" w:space="0" w:color="auto"/>
            <w:left w:val="none" w:sz="0" w:space="0" w:color="auto"/>
            <w:bottom w:val="none" w:sz="0" w:space="0" w:color="auto"/>
            <w:right w:val="none" w:sz="0" w:space="0" w:color="auto"/>
          </w:divBdr>
          <w:divsChild>
            <w:div w:id="433134050">
              <w:marLeft w:val="0"/>
              <w:marRight w:val="0"/>
              <w:marTop w:val="0"/>
              <w:marBottom w:val="0"/>
              <w:divBdr>
                <w:top w:val="none" w:sz="0" w:space="0" w:color="auto"/>
                <w:left w:val="none" w:sz="0" w:space="0" w:color="auto"/>
                <w:bottom w:val="none" w:sz="0" w:space="0" w:color="auto"/>
                <w:right w:val="none" w:sz="0" w:space="0" w:color="auto"/>
              </w:divBdr>
            </w:div>
          </w:divsChild>
        </w:div>
        <w:div w:id="283343371">
          <w:marLeft w:val="0"/>
          <w:marRight w:val="0"/>
          <w:marTop w:val="0"/>
          <w:marBottom w:val="0"/>
          <w:divBdr>
            <w:top w:val="none" w:sz="0" w:space="0" w:color="auto"/>
            <w:left w:val="none" w:sz="0" w:space="0" w:color="auto"/>
            <w:bottom w:val="none" w:sz="0" w:space="0" w:color="auto"/>
            <w:right w:val="none" w:sz="0" w:space="0" w:color="auto"/>
          </w:divBdr>
          <w:divsChild>
            <w:div w:id="584001412">
              <w:marLeft w:val="0"/>
              <w:marRight w:val="0"/>
              <w:marTop w:val="0"/>
              <w:marBottom w:val="0"/>
              <w:divBdr>
                <w:top w:val="none" w:sz="0" w:space="0" w:color="auto"/>
                <w:left w:val="none" w:sz="0" w:space="0" w:color="auto"/>
                <w:bottom w:val="none" w:sz="0" w:space="0" w:color="auto"/>
                <w:right w:val="none" w:sz="0" w:space="0" w:color="auto"/>
              </w:divBdr>
            </w:div>
          </w:divsChild>
        </w:div>
        <w:div w:id="314381992">
          <w:marLeft w:val="0"/>
          <w:marRight w:val="0"/>
          <w:marTop w:val="0"/>
          <w:marBottom w:val="0"/>
          <w:divBdr>
            <w:top w:val="none" w:sz="0" w:space="0" w:color="auto"/>
            <w:left w:val="none" w:sz="0" w:space="0" w:color="auto"/>
            <w:bottom w:val="none" w:sz="0" w:space="0" w:color="auto"/>
            <w:right w:val="none" w:sz="0" w:space="0" w:color="auto"/>
          </w:divBdr>
          <w:divsChild>
            <w:div w:id="722295334">
              <w:marLeft w:val="0"/>
              <w:marRight w:val="0"/>
              <w:marTop w:val="0"/>
              <w:marBottom w:val="0"/>
              <w:divBdr>
                <w:top w:val="none" w:sz="0" w:space="0" w:color="auto"/>
                <w:left w:val="none" w:sz="0" w:space="0" w:color="auto"/>
                <w:bottom w:val="none" w:sz="0" w:space="0" w:color="auto"/>
                <w:right w:val="none" w:sz="0" w:space="0" w:color="auto"/>
              </w:divBdr>
            </w:div>
          </w:divsChild>
        </w:div>
        <w:div w:id="574970216">
          <w:marLeft w:val="0"/>
          <w:marRight w:val="0"/>
          <w:marTop w:val="0"/>
          <w:marBottom w:val="0"/>
          <w:divBdr>
            <w:top w:val="none" w:sz="0" w:space="0" w:color="auto"/>
            <w:left w:val="none" w:sz="0" w:space="0" w:color="auto"/>
            <w:bottom w:val="none" w:sz="0" w:space="0" w:color="auto"/>
            <w:right w:val="none" w:sz="0" w:space="0" w:color="auto"/>
          </w:divBdr>
          <w:divsChild>
            <w:div w:id="447546219">
              <w:marLeft w:val="0"/>
              <w:marRight w:val="0"/>
              <w:marTop w:val="0"/>
              <w:marBottom w:val="0"/>
              <w:divBdr>
                <w:top w:val="none" w:sz="0" w:space="0" w:color="auto"/>
                <w:left w:val="none" w:sz="0" w:space="0" w:color="auto"/>
                <w:bottom w:val="none" w:sz="0" w:space="0" w:color="auto"/>
                <w:right w:val="none" w:sz="0" w:space="0" w:color="auto"/>
              </w:divBdr>
            </w:div>
          </w:divsChild>
        </w:div>
        <w:div w:id="630132690">
          <w:marLeft w:val="0"/>
          <w:marRight w:val="0"/>
          <w:marTop w:val="0"/>
          <w:marBottom w:val="0"/>
          <w:divBdr>
            <w:top w:val="none" w:sz="0" w:space="0" w:color="auto"/>
            <w:left w:val="none" w:sz="0" w:space="0" w:color="auto"/>
            <w:bottom w:val="none" w:sz="0" w:space="0" w:color="auto"/>
            <w:right w:val="none" w:sz="0" w:space="0" w:color="auto"/>
          </w:divBdr>
          <w:divsChild>
            <w:div w:id="1653099610">
              <w:marLeft w:val="0"/>
              <w:marRight w:val="0"/>
              <w:marTop w:val="0"/>
              <w:marBottom w:val="0"/>
              <w:divBdr>
                <w:top w:val="none" w:sz="0" w:space="0" w:color="auto"/>
                <w:left w:val="none" w:sz="0" w:space="0" w:color="auto"/>
                <w:bottom w:val="none" w:sz="0" w:space="0" w:color="auto"/>
                <w:right w:val="none" w:sz="0" w:space="0" w:color="auto"/>
              </w:divBdr>
            </w:div>
          </w:divsChild>
        </w:div>
        <w:div w:id="649482963">
          <w:marLeft w:val="0"/>
          <w:marRight w:val="0"/>
          <w:marTop w:val="0"/>
          <w:marBottom w:val="0"/>
          <w:divBdr>
            <w:top w:val="none" w:sz="0" w:space="0" w:color="auto"/>
            <w:left w:val="none" w:sz="0" w:space="0" w:color="auto"/>
            <w:bottom w:val="none" w:sz="0" w:space="0" w:color="auto"/>
            <w:right w:val="none" w:sz="0" w:space="0" w:color="auto"/>
          </w:divBdr>
          <w:divsChild>
            <w:div w:id="1354264188">
              <w:marLeft w:val="0"/>
              <w:marRight w:val="0"/>
              <w:marTop w:val="0"/>
              <w:marBottom w:val="0"/>
              <w:divBdr>
                <w:top w:val="none" w:sz="0" w:space="0" w:color="auto"/>
                <w:left w:val="none" w:sz="0" w:space="0" w:color="auto"/>
                <w:bottom w:val="none" w:sz="0" w:space="0" w:color="auto"/>
                <w:right w:val="none" w:sz="0" w:space="0" w:color="auto"/>
              </w:divBdr>
            </w:div>
          </w:divsChild>
        </w:div>
        <w:div w:id="651451109">
          <w:marLeft w:val="0"/>
          <w:marRight w:val="0"/>
          <w:marTop w:val="0"/>
          <w:marBottom w:val="0"/>
          <w:divBdr>
            <w:top w:val="none" w:sz="0" w:space="0" w:color="auto"/>
            <w:left w:val="none" w:sz="0" w:space="0" w:color="auto"/>
            <w:bottom w:val="none" w:sz="0" w:space="0" w:color="auto"/>
            <w:right w:val="none" w:sz="0" w:space="0" w:color="auto"/>
          </w:divBdr>
          <w:divsChild>
            <w:div w:id="764805288">
              <w:marLeft w:val="0"/>
              <w:marRight w:val="0"/>
              <w:marTop w:val="0"/>
              <w:marBottom w:val="0"/>
              <w:divBdr>
                <w:top w:val="none" w:sz="0" w:space="0" w:color="auto"/>
                <w:left w:val="none" w:sz="0" w:space="0" w:color="auto"/>
                <w:bottom w:val="none" w:sz="0" w:space="0" w:color="auto"/>
                <w:right w:val="none" w:sz="0" w:space="0" w:color="auto"/>
              </w:divBdr>
            </w:div>
          </w:divsChild>
        </w:div>
        <w:div w:id="654337504">
          <w:marLeft w:val="0"/>
          <w:marRight w:val="0"/>
          <w:marTop w:val="0"/>
          <w:marBottom w:val="0"/>
          <w:divBdr>
            <w:top w:val="none" w:sz="0" w:space="0" w:color="auto"/>
            <w:left w:val="none" w:sz="0" w:space="0" w:color="auto"/>
            <w:bottom w:val="none" w:sz="0" w:space="0" w:color="auto"/>
            <w:right w:val="none" w:sz="0" w:space="0" w:color="auto"/>
          </w:divBdr>
          <w:divsChild>
            <w:div w:id="51586875">
              <w:marLeft w:val="0"/>
              <w:marRight w:val="0"/>
              <w:marTop w:val="0"/>
              <w:marBottom w:val="0"/>
              <w:divBdr>
                <w:top w:val="none" w:sz="0" w:space="0" w:color="auto"/>
                <w:left w:val="none" w:sz="0" w:space="0" w:color="auto"/>
                <w:bottom w:val="none" w:sz="0" w:space="0" w:color="auto"/>
                <w:right w:val="none" w:sz="0" w:space="0" w:color="auto"/>
              </w:divBdr>
            </w:div>
          </w:divsChild>
        </w:div>
        <w:div w:id="667906673">
          <w:marLeft w:val="0"/>
          <w:marRight w:val="0"/>
          <w:marTop w:val="0"/>
          <w:marBottom w:val="0"/>
          <w:divBdr>
            <w:top w:val="none" w:sz="0" w:space="0" w:color="auto"/>
            <w:left w:val="none" w:sz="0" w:space="0" w:color="auto"/>
            <w:bottom w:val="none" w:sz="0" w:space="0" w:color="auto"/>
            <w:right w:val="none" w:sz="0" w:space="0" w:color="auto"/>
          </w:divBdr>
          <w:divsChild>
            <w:div w:id="1565025605">
              <w:marLeft w:val="0"/>
              <w:marRight w:val="0"/>
              <w:marTop w:val="0"/>
              <w:marBottom w:val="0"/>
              <w:divBdr>
                <w:top w:val="none" w:sz="0" w:space="0" w:color="auto"/>
                <w:left w:val="none" w:sz="0" w:space="0" w:color="auto"/>
                <w:bottom w:val="none" w:sz="0" w:space="0" w:color="auto"/>
                <w:right w:val="none" w:sz="0" w:space="0" w:color="auto"/>
              </w:divBdr>
            </w:div>
          </w:divsChild>
        </w:div>
        <w:div w:id="700671670">
          <w:marLeft w:val="0"/>
          <w:marRight w:val="0"/>
          <w:marTop w:val="0"/>
          <w:marBottom w:val="0"/>
          <w:divBdr>
            <w:top w:val="none" w:sz="0" w:space="0" w:color="auto"/>
            <w:left w:val="none" w:sz="0" w:space="0" w:color="auto"/>
            <w:bottom w:val="none" w:sz="0" w:space="0" w:color="auto"/>
            <w:right w:val="none" w:sz="0" w:space="0" w:color="auto"/>
          </w:divBdr>
          <w:divsChild>
            <w:div w:id="1570267461">
              <w:marLeft w:val="0"/>
              <w:marRight w:val="0"/>
              <w:marTop w:val="0"/>
              <w:marBottom w:val="0"/>
              <w:divBdr>
                <w:top w:val="none" w:sz="0" w:space="0" w:color="auto"/>
                <w:left w:val="none" w:sz="0" w:space="0" w:color="auto"/>
                <w:bottom w:val="none" w:sz="0" w:space="0" w:color="auto"/>
                <w:right w:val="none" w:sz="0" w:space="0" w:color="auto"/>
              </w:divBdr>
            </w:div>
          </w:divsChild>
        </w:div>
        <w:div w:id="731391116">
          <w:marLeft w:val="0"/>
          <w:marRight w:val="0"/>
          <w:marTop w:val="0"/>
          <w:marBottom w:val="0"/>
          <w:divBdr>
            <w:top w:val="none" w:sz="0" w:space="0" w:color="auto"/>
            <w:left w:val="none" w:sz="0" w:space="0" w:color="auto"/>
            <w:bottom w:val="none" w:sz="0" w:space="0" w:color="auto"/>
            <w:right w:val="none" w:sz="0" w:space="0" w:color="auto"/>
          </w:divBdr>
          <w:divsChild>
            <w:div w:id="1052925109">
              <w:marLeft w:val="0"/>
              <w:marRight w:val="0"/>
              <w:marTop w:val="0"/>
              <w:marBottom w:val="0"/>
              <w:divBdr>
                <w:top w:val="none" w:sz="0" w:space="0" w:color="auto"/>
                <w:left w:val="none" w:sz="0" w:space="0" w:color="auto"/>
                <w:bottom w:val="none" w:sz="0" w:space="0" w:color="auto"/>
                <w:right w:val="none" w:sz="0" w:space="0" w:color="auto"/>
              </w:divBdr>
            </w:div>
          </w:divsChild>
        </w:div>
        <w:div w:id="902060522">
          <w:marLeft w:val="0"/>
          <w:marRight w:val="0"/>
          <w:marTop w:val="0"/>
          <w:marBottom w:val="0"/>
          <w:divBdr>
            <w:top w:val="none" w:sz="0" w:space="0" w:color="auto"/>
            <w:left w:val="none" w:sz="0" w:space="0" w:color="auto"/>
            <w:bottom w:val="none" w:sz="0" w:space="0" w:color="auto"/>
            <w:right w:val="none" w:sz="0" w:space="0" w:color="auto"/>
          </w:divBdr>
          <w:divsChild>
            <w:div w:id="1875338051">
              <w:marLeft w:val="0"/>
              <w:marRight w:val="0"/>
              <w:marTop w:val="0"/>
              <w:marBottom w:val="0"/>
              <w:divBdr>
                <w:top w:val="none" w:sz="0" w:space="0" w:color="auto"/>
                <w:left w:val="none" w:sz="0" w:space="0" w:color="auto"/>
                <w:bottom w:val="none" w:sz="0" w:space="0" w:color="auto"/>
                <w:right w:val="none" w:sz="0" w:space="0" w:color="auto"/>
              </w:divBdr>
            </w:div>
          </w:divsChild>
        </w:div>
        <w:div w:id="962421996">
          <w:marLeft w:val="0"/>
          <w:marRight w:val="0"/>
          <w:marTop w:val="0"/>
          <w:marBottom w:val="0"/>
          <w:divBdr>
            <w:top w:val="none" w:sz="0" w:space="0" w:color="auto"/>
            <w:left w:val="none" w:sz="0" w:space="0" w:color="auto"/>
            <w:bottom w:val="none" w:sz="0" w:space="0" w:color="auto"/>
            <w:right w:val="none" w:sz="0" w:space="0" w:color="auto"/>
          </w:divBdr>
          <w:divsChild>
            <w:div w:id="2098137193">
              <w:marLeft w:val="0"/>
              <w:marRight w:val="0"/>
              <w:marTop w:val="0"/>
              <w:marBottom w:val="0"/>
              <w:divBdr>
                <w:top w:val="none" w:sz="0" w:space="0" w:color="auto"/>
                <w:left w:val="none" w:sz="0" w:space="0" w:color="auto"/>
                <w:bottom w:val="none" w:sz="0" w:space="0" w:color="auto"/>
                <w:right w:val="none" w:sz="0" w:space="0" w:color="auto"/>
              </w:divBdr>
            </w:div>
          </w:divsChild>
        </w:div>
        <w:div w:id="976182775">
          <w:marLeft w:val="0"/>
          <w:marRight w:val="0"/>
          <w:marTop w:val="0"/>
          <w:marBottom w:val="0"/>
          <w:divBdr>
            <w:top w:val="none" w:sz="0" w:space="0" w:color="auto"/>
            <w:left w:val="none" w:sz="0" w:space="0" w:color="auto"/>
            <w:bottom w:val="none" w:sz="0" w:space="0" w:color="auto"/>
            <w:right w:val="none" w:sz="0" w:space="0" w:color="auto"/>
          </w:divBdr>
          <w:divsChild>
            <w:div w:id="317922144">
              <w:marLeft w:val="0"/>
              <w:marRight w:val="0"/>
              <w:marTop w:val="0"/>
              <w:marBottom w:val="0"/>
              <w:divBdr>
                <w:top w:val="none" w:sz="0" w:space="0" w:color="auto"/>
                <w:left w:val="none" w:sz="0" w:space="0" w:color="auto"/>
                <w:bottom w:val="none" w:sz="0" w:space="0" w:color="auto"/>
                <w:right w:val="none" w:sz="0" w:space="0" w:color="auto"/>
              </w:divBdr>
            </w:div>
          </w:divsChild>
        </w:div>
        <w:div w:id="1083835050">
          <w:marLeft w:val="0"/>
          <w:marRight w:val="0"/>
          <w:marTop w:val="0"/>
          <w:marBottom w:val="0"/>
          <w:divBdr>
            <w:top w:val="none" w:sz="0" w:space="0" w:color="auto"/>
            <w:left w:val="none" w:sz="0" w:space="0" w:color="auto"/>
            <w:bottom w:val="none" w:sz="0" w:space="0" w:color="auto"/>
            <w:right w:val="none" w:sz="0" w:space="0" w:color="auto"/>
          </w:divBdr>
          <w:divsChild>
            <w:div w:id="1929578024">
              <w:marLeft w:val="0"/>
              <w:marRight w:val="0"/>
              <w:marTop w:val="0"/>
              <w:marBottom w:val="0"/>
              <w:divBdr>
                <w:top w:val="none" w:sz="0" w:space="0" w:color="auto"/>
                <w:left w:val="none" w:sz="0" w:space="0" w:color="auto"/>
                <w:bottom w:val="none" w:sz="0" w:space="0" w:color="auto"/>
                <w:right w:val="none" w:sz="0" w:space="0" w:color="auto"/>
              </w:divBdr>
            </w:div>
          </w:divsChild>
        </w:div>
        <w:div w:id="1184054830">
          <w:marLeft w:val="0"/>
          <w:marRight w:val="0"/>
          <w:marTop w:val="0"/>
          <w:marBottom w:val="0"/>
          <w:divBdr>
            <w:top w:val="none" w:sz="0" w:space="0" w:color="auto"/>
            <w:left w:val="none" w:sz="0" w:space="0" w:color="auto"/>
            <w:bottom w:val="none" w:sz="0" w:space="0" w:color="auto"/>
            <w:right w:val="none" w:sz="0" w:space="0" w:color="auto"/>
          </w:divBdr>
          <w:divsChild>
            <w:div w:id="733822795">
              <w:marLeft w:val="0"/>
              <w:marRight w:val="0"/>
              <w:marTop w:val="0"/>
              <w:marBottom w:val="0"/>
              <w:divBdr>
                <w:top w:val="none" w:sz="0" w:space="0" w:color="auto"/>
                <w:left w:val="none" w:sz="0" w:space="0" w:color="auto"/>
                <w:bottom w:val="none" w:sz="0" w:space="0" w:color="auto"/>
                <w:right w:val="none" w:sz="0" w:space="0" w:color="auto"/>
              </w:divBdr>
            </w:div>
            <w:div w:id="1079058712">
              <w:marLeft w:val="0"/>
              <w:marRight w:val="0"/>
              <w:marTop w:val="0"/>
              <w:marBottom w:val="0"/>
              <w:divBdr>
                <w:top w:val="none" w:sz="0" w:space="0" w:color="auto"/>
                <w:left w:val="none" w:sz="0" w:space="0" w:color="auto"/>
                <w:bottom w:val="none" w:sz="0" w:space="0" w:color="auto"/>
                <w:right w:val="none" w:sz="0" w:space="0" w:color="auto"/>
              </w:divBdr>
            </w:div>
          </w:divsChild>
        </w:div>
        <w:div w:id="1214584748">
          <w:marLeft w:val="0"/>
          <w:marRight w:val="0"/>
          <w:marTop w:val="0"/>
          <w:marBottom w:val="0"/>
          <w:divBdr>
            <w:top w:val="none" w:sz="0" w:space="0" w:color="auto"/>
            <w:left w:val="none" w:sz="0" w:space="0" w:color="auto"/>
            <w:bottom w:val="none" w:sz="0" w:space="0" w:color="auto"/>
            <w:right w:val="none" w:sz="0" w:space="0" w:color="auto"/>
          </w:divBdr>
          <w:divsChild>
            <w:div w:id="890965795">
              <w:marLeft w:val="0"/>
              <w:marRight w:val="0"/>
              <w:marTop w:val="0"/>
              <w:marBottom w:val="0"/>
              <w:divBdr>
                <w:top w:val="none" w:sz="0" w:space="0" w:color="auto"/>
                <w:left w:val="none" w:sz="0" w:space="0" w:color="auto"/>
                <w:bottom w:val="none" w:sz="0" w:space="0" w:color="auto"/>
                <w:right w:val="none" w:sz="0" w:space="0" w:color="auto"/>
              </w:divBdr>
            </w:div>
          </w:divsChild>
        </w:div>
        <w:div w:id="1245452637">
          <w:marLeft w:val="0"/>
          <w:marRight w:val="0"/>
          <w:marTop w:val="0"/>
          <w:marBottom w:val="0"/>
          <w:divBdr>
            <w:top w:val="none" w:sz="0" w:space="0" w:color="auto"/>
            <w:left w:val="none" w:sz="0" w:space="0" w:color="auto"/>
            <w:bottom w:val="none" w:sz="0" w:space="0" w:color="auto"/>
            <w:right w:val="none" w:sz="0" w:space="0" w:color="auto"/>
          </w:divBdr>
          <w:divsChild>
            <w:div w:id="2003315403">
              <w:marLeft w:val="0"/>
              <w:marRight w:val="0"/>
              <w:marTop w:val="0"/>
              <w:marBottom w:val="0"/>
              <w:divBdr>
                <w:top w:val="none" w:sz="0" w:space="0" w:color="auto"/>
                <w:left w:val="none" w:sz="0" w:space="0" w:color="auto"/>
                <w:bottom w:val="none" w:sz="0" w:space="0" w:color="auto"/>
                <w:right w:val="none" w:sz="0" w:space="0" w:color="auto"/>
              </w:divBdr>
            </w:div>
          </w:divsChild>
        </w:div>
        <w:div w:id="1329751582">
          <w:marLeft w:val="0"/>
          <w:marRight w:val="0"/>
          <w:marTop w:val="0"/>
          <w:marBottom w:val="0"/>
          <w:divBdr>
            <w:top w:val="none" w:sz="0" w:space="0" w:color="auto"/>
            <w:left w:val="none" w:sz="0" w:space="0" w:color="auto"/>
            <w:bottom w:val="none" w:sz="0" w:space="0" w:color="auto"/>
            <w:right w:val="none" w:sz="0" w:space="0" w:color="auto"/>
          </w:divBdr>
          <w:divsChild>
            <w:div w:id="855270412">
              <w:marLeft w:val="0"/>
              <w:marRight w:val="0"/>
              <w:marTop w:val="0"/>
              <w:marBottom w:val="0"/>
              <w:divBdr>
                <w:top w:val="none" w:sz="0" w:space="0" w:color="auto"/>
                <w:left w:val="none" w:sz="0" w:space="0" w:color="auto"/>
                <w:bottom w:val="none" w:sz="0" w:space="0" w:color="auto"/>
                <w:right w:val="none" w:sz="0" w:space="0" w:color="auto"/>
              </w:divBdr>
            </w:div>
          </w:divsChild>
        </w:div>
        <w:div w:id="1397050806">
          <w:marLeft w:val="0"/>
          <w:marRight w:val="0"/>
          <w:marTop w:val="0"/>
          <w:marBottom w:val="0"/>
          <w:divBdr>
            <w:top w:val="none" w:sz="0" w:space="0" w:color="auto"/>
            <w:left w:val="none" w:sz="0" w:space="0" w:color="auto"/>
            <w:bottom w:val="none" w:sz="0" w:space="0" w:color="auto"/>
            <w:right w:val="none" w:sz="0" w:space="0" w:color="auto"/>
          </w:divBdr>
          <w:divsChild>
            <w:div w:id="1214923065">
              <w:marLeft w:val="0"/>
              <w:marRight w:val="0"/>
              <w:marTop w:val="0"/>
              <w:marBottom w:val="0"/>
              <w:divBdr>
                <w:top w:val="none" w:sz="0" w:space="0" w:color="auto"/>
                <w:left w:val="none" w:sz="0" w:space="0" w:color="auto"/>
                <w:bottom w:val="none" w:sz="0" w:space="0" w:color="auto"/>
                <w:right w:val="none" w:sz="0" w:space="0" w:color="auto"/>
              </w:divBdr>
            </w:div>
          </w:divsChild>
        </w:div>
        <w:div w:id="1480419638">
          <w:marLeft w:val="0"/>
          <w:marRight w:val="0"/>
          <w:marTop w:val="0"/>
          <w:marBottom w:val="0"/>
          <w:divBdr>
            <w:top w:val="none" w:sz="0" w:space="0" w:color="auto"/>
            <w:left w:val="none" w:sz="0" w:space="0" w:color="auto"/>
            <w:bottom w:val="none" w:sz="0" w:space="0" w:color="auto"/>
            <w:right w:val="none" w:sz="0" w:space="0" w:color="auto"/>
          </w:divBdr>
          <w:divsChild>
            <w:div w:id="1033842964">
              <w:marLeft w:val="0"/>
              <w:marRight w:val="0"/>
              <w:marTop w:val="0"/>
              <w:marBottom w:val="0"/>
              <w:divBdr>
                <w:top w:val="none" w:sz="0" w:space="0" w:color="auto"/>
                <w:left w:val="none" w:sz="0" w:space="0" w:color="auto"/>
                <w:bottom w:val="none" w:sz="0" w:space="0" w:color="auto"/>
                <w:right w:val="none" w:sz="0" w:space="0" w:color="auto"/>
              </w:divBdr>
            </w:div>
          </w:divsChild>
        </w:div>
        <w:div w:id="1487211188">
          <w:marLeft w:val="0"/>
          <w:marRight w:val="0"/>
          <w:marTop w:val="0"/>
          <w:marBottom w:val="0"/>
          <w:divBdr>
            <w:top w:val="none" w:sz="0" w:space="0" w:color="auto"/>
            <w:left w:val="none" w:sz="0" w:space="0" w:color="auto"/>
            <w:bottom w:val="none" w:sz="0" w:space="0" w:color="auto"/>
            <w:right w:val="none" w:sz="0" w:space="0" w:color="auto"/>
          </w:divBdr>
          <w:divsChild>
            <w:div w:id="932011350">
              <w:marLeft w:val="0"/>
              <w:marRight w:val="0"/>
              <w:marTop w:val="0"/>
              <w:marBottom w:val="0"/>
              <w:divBdr>
                <w:top w:val="none" w:sz="0" w:space="0" w:color="auto"/>
                <w:left w:val="none" w:sz="0" w:space="0" w:color="auto"/>
                <w:bottom w:val="none" w:sz="0" w:space="0" w:color="auto"/>
                <w:right w:val="none" w:sz="0" w:space="0" w:color="auto"/>
              </w:divBdr>
            </w:div>
          </w:divsChild>
        </w:div>
        <w:div w:id="1509556884">
          <w:marLeft w:val="0"/>
          <w:marRight w:val="0"/>
          <w:marTop w:val="0"/>
          <w:marBottom w:val="0"/>
          <w:divBdr>
            <w:top w:val="none" w:sz="0" w:space="0" w:color="auto"/>
            <w:left w:val="none" w:sz="0" w:space="0" w:color="auto"/>
            <w:bottom w:val="none" w:sz="0" w:space="0" w:color="auto"/>
            <w:right w:val="none" w:sz="0" w:space="0" w:color="auto"/>
          </w:divBdr>
          <w:divsChild>
            <w:div w:id="1882353971">
              <w:marLeft w:val="0"/>
              <w:marRight w:val="0"/>
              <w:marTop w:val="0"/>
              <w:marBottom w:val="0"/>
              <w:divBdr>
                <w:top w:val="none" w:sz="0" w:space="0" w:color="auto"/>
                <w:left w:val="none" w:sz="0" w:space="0" w:color="auto"/>
                <w:bottom w:val="none" w:sz="0" w:space="0" w:color="auto"/>
                <w:right w:val="none" w:sz="0" w:space="0" w:color="auto"/>
              </w:divBdr>
            </w:div>
          </w:divsChild>
        </w:div>
        <w:div w:id="1530677478">
          <w:marLeft w:val="0"/>
          <w:marRight w:val="0"/>
          <w:marTop w:val="0"/>
          <w:marBottom w:val="0"/>
          <w:divBdr>
            <w:top w:val="none" w:sz="0" w:space="0" w:color="auto"/>
            <w:left w:val="none" w:sz="0" w:space="0" w:color="auto"/>
            <w:bottom w:val="none" w:sz="0" w:space="0" w:color="auto"/>
            <w:right w:val="none" w:sz="0" w:space="0" w:color="auto"/>
          </w:divBdr>
          <w:divsChild>
            <w:div w:id="581525713">
              <w:marLeft w:val="0"/>
              <w:marRight w:val="0"/>
              <w:marTop w:val="0"/>
              <w:marBottom w:val="0"/>
              <w:divBdr>
                <w:top w:val="none" w:sz="0" w:space="0" w:color="auto"/>
                <w:left w:val="none" w:sz="0" w:space="0" w:color="auto"/>
                <w:bottom w:val="none" w:sz="0" w:space="0" w:color="auto"/>
                <w:right w:val="none" w:sz="0" w:space="0" w:color="auto"/>
              </w:divBdr>
            </w:div>
          </w:divsChild>
        </w:div>
        <w:div w:id="1541044938">
          <w:marLeft w:val="0"/>
          <w:marRight w:val="0"/>
          <w:marTop w:val="0"/>
          <w:marBottom w:val="0"/>
          <w:divBdr>
            <w:top w:val="none" w:sz="0" w:space="0" w:color="auto"/>
            <w:left w:val="none" w:sz="0" w:space="0" w:color="auto"/>
            <w:bottom w:val="none" w:sz="0" w:space="0" w:color="auto"/>
            <w:right w:val="none" w:sz="0" w:space="0" w:color="auto"/>
          </w:divBdr>
          <w:divsChild>
            <w:div w:id="330332658">
              <w:marLeft w:val="0"/>
              <w:marRight w:val="0"/>
              <w:marTop w:val="0"/>
              <w:marBottom w:val="0"/>
              <w:divBdr>
                <w:top w:val="none" w:sz="0" w:space="0" w:color="auto"/>
                <w:left w:val="none" w:sz="0" w:space="0" w:color="auto"/>
                <w:bottom w:val="none" w:sz="0" w:space="0" w:color="auto"/>
                <w:right w:val="none" w:sz="0" w:space="0" w:color="auto"/>
              </w:divBdr>
            </w:div>
          </w:divsChild>
        </w:div>
        <w:div w:id="1776055651">
          <w:marLeft w:val="0"/>
          <w:marRight w:val="0"/>
          <w:marTop w:val="0"/>
          <w:marBottom w:val="0"/>
          <w:divBdr>
            <w:top w:val="none" w:sz="0" w:space="0" w:color="auto"/>
            <w:left w:val="none" w:sz="0" w:space="0" w:color="auto"/>
            <w:bottom w:val="none" w:sz="0" w:space="0" w:color="auto"/>
            <w:right w:val="none" w:sz="0" w:space="0" w:color="auto"/>
          </w:divBdr>
          <w:divsChild>
            <w:div w:id="1516848052">
              <w:marLeft w:val="0"/>
              <w:marRight w:val="0"/>
              <w:marTop w:val="0"/>
              <w:marBottom w:val="0"/>
              <w:divBdr>
                <w:top w:val="none" w:sz="0" w:space="0" w:color="auto"/>
                <w:left w:val="none" w:sz="0" w:space="0" w:color="auto"/>
                <w:bottom w:val="none" w:sz="0" w:space="0" w:color="auto"/>
                <w:right w:val="none" w:sz="0" w:space="0" w:color="auto"/>
              </w:divBdr>
            </w:div>
          </w:divsChild>
        </w:div>
        <w:div w:id="1838576499">
          <w:marLeft w:val="0"/>
          <w:marRight w:val="0"/>
          <w:marTop w:val="0"/>
          <w:marBottom w:val="0"/>
          <w:divBdr>
            <w:top w:val="none" w:sz="0" w:space="0" w:color="auto"/>
            <w:left w:val="none" w:sz="0" w:space="0" w:color="auto"/>
            <w:bottom w:val="none" w:sz="0" w:space="0" w:color="auto"/>
            <w:right w:val="none" w:sz="0" w:space="0" w:color="auto"/>
          </w:divBdr>
          <w:divsChild>
            <w:div w:id="1897357014">
              <w:marLeft w:val="0"/>
              <w:marRight w:val="0"/>
              <w:marTop w:val="0"/>
              <w:marBottom w:val="0"/>
              <w:divBdr>
                <w:top w:val="none" w:sz="0" w:space="0" w:color="auto"/>
                <w:left w:val="none" w:sz="0" w:space="0" w:color="auto"/>
                <w:bottom w:val="none" w:sz="0" w:space="0" w:color="auto"/>
                <w:right w:val="none" w:sz="0" w:space="0" w:color="auto"/>
              </w:divBdr>
            </w:div>
          </w:divsChild>
        </w:div>
        <w:div w:id="1866091100">
          <w:marLeft w:val="0"/>
          <w:marRight w:val="0"/>
          <w:marTop w:val="0"/>
          <w:marBottom w:val="0"/>
          <w:divBdr>
            <w:top w:val="none" w:sz="0" w:space="0" w:color="auto"/>
            <w:left w:val="none" w:sz="0" w:space="0" w:color="auto"/>
            <w:bottom w:val="none" w:sz="0" w:space="0" w:color="auto"/>
            <w:right w:val="none" w:sz="0" w:space="0" w:color="auto"/>
          </w:divBdr>
          <w:divsChild>
            <w:div w:id="386950514">
              <w:marLeft w:val="0"/>
              <w:marRight w:val="0"/>
              <w:marTop w:val="0"/>
              <w:marBottom w:val="0"/>
              <w:divBdr>
                <w:top w:val="none" w:sz="0" w:space="0" w:color="auto"/>
                <w:left w:val="none" w:sz="0" w:space="0" w:color="auto"/>
                <w:bottom w:val="none" w:sz="0" w:space="0" w:color="auto"/>
                <w:right w:val="none" w:sz="0" w:space="0" w:color="auto"/>
              </w:divBdr>
            </w:div>
          </w:divsChild>
        </w:div>
        <w:div w:id="1962765986">
          <w:marLeft w:val="0"/>
          <w:marRight w:val="0"/>
          <w:marTop w:val="0"/>
          <w:marBottom w:val="0"/>
          <w:divBdr>
            <w:top w:val="none" w:sz="0" w:space="0" w:color="auto"/>
            <w:left w:val="none" w:sz="0" w:space="0" w:color="auto"/>
            <w:bottom w:val="none" w:sz="0" w:space="0" w:color="auto"/>
            <w:right w:val="none" w:sz="0" w:space="0" w:color="auto"/>
          </w:divBdr>
          <w:divsChild>
            <w:div w:id="1986204950">
              <w:marLeft w:val="0"/>
              <w:marRight w:val="0"/>
              <w:marTop w:val="0"/>
              <w:marBottom w:val="0"/>
              <w:divBdr>
                <w:top w:val="none" w:sz="0" w:space="0" w:color="auto"/>
                <w:left w:val="none" w:sz="0" w:space="0" w:color="auto"/>
                <w:bottom w:val="none" w:sz="0" w:space="0" w:color="auto"/>
                <w:right w:val="none" w:sz="0" w:space="0" w:color="auto"/>
              </w:divBdr>
            </w:div>
          </w:divsChild>
        </w:div>
        <w:div w:id="2066954277">
          <w:marLeft w:val="0"/>
          <w:marRight w:val="0"/>
          <w:marTop w:val="0"/>
          <w:marBottom w:val="0"/>
          <w:divBdr>
            <w:top w:val="none" w:sz="0" w:space="0" w:color="auto"/>
            <w:left w:val="none" w:sz="0" w:space="0" w:color="auto"/>
            <w:bottom w:val="none" w:sz="0" w:space="0" w:color="auto"/>
            <w:right w:val="none" w:sz="0" w:space="0" w:color="auto"/>
          </w:divBdr>
          <w:divsChild>
            <w:div w:id="152243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500619">
      <w:bodyDiv w:val="1"/>
      <w:marLeft w:val="0"/>
      <w:marRight w:val="0"/>
      <w:marTop w:val="0"/>
      <w:marBottom w:val="0"/>
      <w:divBdr>
        <w:top w:val="none" w:sz="0" w:space="0" w:color="auto"/>
        <w:left w:val="none" w:sz="0" w:space="0" w:color="auto"/>
        <w:bottom w:val="none" w:sz="0" w:space="0" w:color="auto"/>
        <w:right w:val="none" w:sz="0" w:space="0" w:color="auto"/>
      </w:divBdr>
    </w:div>
    <w:div w:id="496918980">
      <w:bodyDiv w:val="1"/>
      <w:marLeft w:val="0"/>
      <w:marRight w:val="0"/>
      <w:marTop w:val="0"/>
      <w:marBottom w:val="0"/>
      <w:divBdr>
        <w:top w:val="none" w:sz="0" w:space="0" w:color="auto"/>
        <w:left w:val="none" w:sz="0" w:space="0" w:color="auto"/>
        <w:bottom w:val="none" w:sz="0" w:space="0" w:color="auto"/>
        <w:right w:val="none" w:sz="0" w:space="0" w:color="auto"/>
      </w:divBdr>
    </w:div>
    <w:div w:id="534121646">
      <w:bodyDiv w:val="1"/>
      <w:marLeft w:val="0"/>
      <w:marRight w:val="0"/>
      <w:marTop w:val="0"/>
      <w:marBottom w:val="0"/>
      <w:divBdr>
        <w:top w:val="none" w:sz="0" w:space="0" w:color="auto"/>
        <w:left w:val="none" w:sz="0" w:space="0" w:color="auto"/>
        <w:bottom w:val="none" w:sz="0" w:space="0" w:color="auto"/>
        <w:right w:val="none" w:sz="0" w:space="0" w:color="auto"/>
      </w:divBdr>
    </w:div>
    <w:div w:id="600723427">
      <w:bodyDiv w:val="1"/>
      <w:marLeft w:val="0"/>
      <w:marRight w:val="0"/>
      <w:marTop w:val="0"/>
      <w:marBottom w:val="0"/>
      <w:divBdr>
        <w:top w:val="none" w:sz="0" w:space="0" w:color="auto"/>
        <w:left w:val="none" w:sz="0" w:space="0" w:color="auto"/>
        <w:bottom w:val="none" w:sz="0" w:space="0" w:color="auto"/>
        <w:right w:val="none" w:sz="0" w:space="0" w:color="auto"/>
      </w:divBdr>
      <w:divsChild>
        <w:div w:id="58333181">
          <w:marLeft w:val="0"/>
          <w:marRight w:val="0"/>
          <w:marTop w:val="0"/>
          <w:marBottom w:val="0"/>
          <w:divBdr>
            <w:top w:val="none" w:sz="0" w:space="0" w:color="auto"/>
            <w:left w:val="none" w:sz="0" w:space="0" w:color="auto"/>
            <w:bottom w:val="none" w:sz="0" w:space="0" w:color="auto"/>
            <w:right w:val="none" w:sz="0" w:space="0" w:color="auto"/>
          </w:divBdr>
          <w:divsChild>
            <w:div w:id="548761951">
              <w:marLeft w:val="0"/>
              <w:marRight w:val="0"/>
              <w:marTop w:val="0"/>
              <w:marBottom w:val="0"/>
              <w:divBdr>
                <w:top w:val="none" w:sz="0" w:space="0" w:color="auto"/>
                <w:left w:val="none" w:sz="0" w:space="0" w:color="auto"/>
                <w:bottom w:val="none" w:sz="0" w:space="0" w:color="auto"/>
                <w:right w:val="none" w:sz="0" w:space="0" w:color="auto"/>
              </w:divBdr>
            </w:div>
          </w:divsChild>
        </w:div>
        <w:div w:id="139806688">
          <w:marLeft w:val="0"/>
          <w:marRight w:val="0"/>
          <w:marTop w:val="0"/>
          <w:marBottom w:val="0"/>
          <w:divBdr>
            <w:top w:val="none" w:sz="0" w:space="0" w:color="auto"/>
            <w:left w:val="none" w:sz="0" w:space="0" w:color="auto"/>
            <w:bottom w:val="none" w:sz="0" w:space="0" w:color="auto"/>
            <w:right w:val="none" w:sz="0" w:space="0" w:color="auto"/>
          </w:divBdr>
          <w:divsChild>
            <w:div w:id="75783565">
              <w:marLeft w:val="0"/>
              <w:marRight w:val="0"/>
              <w:marTop w:val="0"/>
              <w:marBottom w:val="0"/>
              <w:divBdr>
                <w:top w:val="none" w:sz="0" w:space="0" w:color="auto"/>
                <w:left w:val="none" w:sz="0" w:space="0" w:color="auto"/>
                <w:bottom w:val="none" w:sz="0" w:space="0" w:color="auto"/>
                <w:right w:val="none" w:sz="0" w:space="0" w:color="auto"/>
              </w:divBdr>
            </w:div>
          </w:divsChild>
        </w:div>
        <w:div w:id="196361179">
          <w:marLeft w:val="0"/>
          <w:marRight w:val="0"/>
          <w:marTop w:val="0"/>
          <w:marBottom w:val="0"/>
          <w:divBdr>
            <w:top w:val="none" w:sz="0" w:space="0" w:color="auto"/>
            <w:left w:val="none" w:sz="0" w:space="0" w:color="auto"/>
            <w:bottom w:val="none" w:sz="0" w:space="0" w:color="auto"/>
            <w:right w:val="none" w:sz="0" w:space="0" w:color="auto"/>
          </w:divBdr>
          <w:divsChild>
            <w:div w:id="582378380">
              <w:marLeft w:val="0"/>
              <w:marRight w:val="0"/>
              <w:marTop w:val="0"/>
              <w:marBottom w:val="0"/>
              <w:divBdr>
                <w:top w:val="none" w:sz="0" w:space="0" w:color="auto"/>
                <w:left w:val="none" w:sz="0" w:space="0" w:color="auto"/>
                <w:bottom w:val="none" w:sz="0" w:space="0" w:color="auto"/>
                <w:right w:val="none" w:sz="0" w:space="0" w:color="auto"/>
              </w:divBdr>
            </w:div>
          </w:divsChild>
        </w:div>
        <w:div w:id="218631015">
          <w:marLeft w:val="0"/>
          <w:marRight w:val="0"/>
          <w:marTop w:val="0"/>
          <w:marBottom w:val="0"/>
          <w:divBdr>
            <w:top w:val="none" w:sz="0" w:space="0" w:color="auto"/>
            <w:left w:val="none" w:sz="0" w:space="0" w:color="auto"/>
            <w:bottom w:val="none" w:sz="0" w:space="0" w:color="auto"/>
            <w:right w:val="none" w:sz="0" w:space="0" w:color="auto"/>
          </w:divBdr>
          <w:divsChild>
            <w:div w:id="119307840">
              <w:marLeft w:val="0"/>
              <w:marRight w:val="0"/>
              <w:marTop w:val="0"/>
              <w:marBottom w:val="0"/>
              <w:divBdr>
                <w:top w:val="none" w:sz="0" w:space="0" w:color="auto"/>
                <w:left w:val="none" w:sz="0" w:space="0" w:color="auto"/>
                <w:bottom w:val="none" w:sz="0" w:space="0" w:color="auto"/>
                <w:right w:val="none" w:sz="0" w:space="0" w:color="auto"/>
              </w:divBdr>
            </w:div>
          </w:divsChild>
        </w:div>
        <w:div w:id="242960471">
          <w:marLeft w:val="0"/>
          <w:marRight w:val="0"/>
          <w:marTop w:val="0"/>
          <w:marBottom w:val="0"/>
          <w:divBdr>
            <w:top w:val="none" w:sz="0" w:space="0" w:color="auto"/>
            <w:left w:val="none" w:sz="0" w:space="0" w:color="auto"/>
            <w:bottom w:val="none" w:sz="0" w:space="0" w:color="auto"/>
            <w:right w:val="none" w:sz="0" w:space="0" w:color="auto"/>
          </w:divBdr>
          <w:divsChild>
            <w:div w:id="205533558">
              <w:marLeft w:val="0"/>
              <w:marRight w:val="0"/>
              <w:marTop w:val="0"/>
              <w:marBottom w:val="0"/>
              <w:divBdr>
                <w:top w:val="none" w:sz="0" w:space="0" w:color="auto"/>
                <w:left w:val="none" w:sz="0" w:space="0" w:color="auto"/>
                <w:bottom w:val="none" w:sz="0" w:space="0" w:color="auto"/>
                <w:right w:val="none" w:sz="0" w:space="0" w:color="auto"/>
              </w:divBdr>
            </w:div>
          </w:divsChild>
        </w:div>
        <w:div w:id="260576438">
          <w:marLeft w:val="0"/>
          <w:marRight w:val="0"/>
          <w:marTop w:val="0"/>
          <w:marBottom w:val="0"/>
          <w:divBdr>
            <w:top w:val="none" w:sz="0" w:space="0" w:color="auto"/>
            <w:left w:val="none" w:sz="0" w:space="0" w:color="auto"/>
            <w:bottom w:val="none" w:sz="0" w:space="0" w:color="auto"/>
            <w:right w:val="none" w:sz="0" w:space="0" w:color="auto"/>
          </w:divBdr>
          <w:divsChild>
            <w:div w:id="669219949">
              <w:marLeft w:val="0"/>
              <w:marRight w:val="0"/>
              <w:marTop w:val="0"/>
              <w:marBottom w:val="0"/>
              <w:divBdr>
                <w:top w:val="none" w:sz="0" w:space="0" w:color="auto"/>
                <w:left w:val="none" w:sz="0" w:space="0" w:color="auto"/>
                <w:bottom w:val="none" w:sz="0" w:space="0" w:color="auto"/>
                <w:right w:val="none" w:sz="0" w:space="0" w:color="auto"/>
              </w:divBdr>
            </w:div>
          </w:divsChild>
        </w:div>
        <w:div w:id="278730576">
          <w:marLeft w:val="0"/>
          <w:marRight w:val="0"/>
          <w:marTop w:val="0"/>
          <w:marBottom w:val="0"/>
          <w:divBdr>
            <w:top w:val="none" w:sz="0" w:space="0" w:color="auto"/>
            <w:left w:val="none" w:sz="0" w:space="0" w:color="auto"/>
            <w:bottom w:val="none" w:sz="0" w:space="0" w:color="auto"/>
            <w:right w:val="none" w:sz="0" w:space="0" w:color="auto"/>
          </w:divBdr>
          <w:divsChild>
            <w:div w:id="374038075">
              <w:marLeft w:val="0"/>
              <w:marRight w:val="0"/>
              <w:marTop w:val="0"/>
              <w:marBottom w:val="0"/>
              <w:divBdr>
                <w:top w:val="none" w:sz="0" w:space="0" w:color="auto"/>
                <w:left w:val="none" w:sz="0" w:space="0" w:color="auto"/>
                <w:bottom w:val="none" w:sz="0" w:space="0" w:color="auto"/>
                <w:right w:val="none" w:sz="0" w:space="0" w:color="auto"/>
              </w:divBdr>
            </w:div>
          </w:divsChild>
        </w:div>
        <w:div w:id="308435534">
          <w:marLeft w:val="0"/>
          <w:marRight w:val="0"/>
          <w:marTop w:val="0"/>
          <w:marBottom w:val="0"/>
          <w:divBdr>
            <w:top w:val="none" w:sz="0" w:space="0" w:color="auto"/>
            <w:left w:val="none" w:sz="0" w:space="0" w:color="auto"/>
            <w:bottom w:val="none" w:sz="0" w:space="0" w:color="auto"/>
            <w:right w:val="none" w:sz="0" w:space="0" w:color="auto"/>
          </w:divBdr>
          <w:divsChild>
            <w:div w:id="1648049440">
              <w:marLeft w:val="0"/>
              <w:marRight w:val="0"/>
              <w:marTop w:val="0"/>
              <w:marBottom w:val="0"/>
              <w:divBdr>
                <w:top w:val="none" w:sz="0" w:space="0" w:color="auto"/>
                <w:left w:val="none" w:sz="0" w:space="0" w:color="auto"/>
                <w:bottom w:val="none" w:sz="0" w:space="0" w:color="auto"/>
                <w:right w:val="none" w:sz="0" w:space="0" w:color="auto"/>
              </w:divBdr>
            </w:div>
          </w:divsChild>
        </w:div>
        <w:div w:id="428892698">
          <w:marLeft w:val="0"/>
          <w:marRight w:val="0"/>
          <w:marTop w:val="0"/>
          <w:marBottom w:val="0"/>
          <w:divBdr>
            <w:top w:val="none" w:sz="0" w:space="0" w:color="auto"/>
            <w:left w:val="none" w:sz="0" w:space="0" w:color="auto"/>
            <w:bottom w:val="none" w:sz="0" w:space="0" w:color="auto"/>
            <w:right w:val="none" w:sz="0" w:space="0" w:color="auto"/>
          </w:divBdr>
          <w:divsChild>
            <w:div w:id="1486119326">
              <w:marLeft w:val="0"/>
              <w:marRight w:val="0"/>
              <w:marTop w:val="0"/>
              <w:marBottom w:val="0"/>
              <w:divBdr>
                <w:top w:val="none" w:sz="0" w:space="0" w:color="auto"/>
                <w:left w:val="none" w:sz="0" w:space="0" w:color="auto"/>
                <w:bottom w:val="none" w:sz="0" w:space="0" w:color="auto"/>
                <w:right w:val="none" w:sz="0" w:space="0" w:color="auto"/>
              </w:divBdr>
            </w:div>
          </w:divsChild>
        </w:div>
        <w:div w:id="437138269">
          <w:marLeft w:val="0"/>
          <w:marRight w:val="0"/>
          <w:marTop w:val="0"/>
          <w:marBottom w:val="0"/>
          <w:divBdr>
            <w:top w:val="none" w:sz="0" w:space="0" w:color="auto"/>
            <w:left w:val="none" w:sz="0" w:space="0" w:color="auto"/>
            <w:bottom w:val="none" w:sz="0" w:space="0" w:color="auto"/>
            <w:right w:val="none" w:sz="0" w:space="0" w:color="auto"/>
          </w:divBdr>
          <w:divsChild>
            <w:div w:id="1290552242">
              <w:marLeft w:val="0"/>
              <w:marRight w:val="0"/>
              <w:marTop w:val="0"/>
              <w:marBottom w:val="0"/>
              <w:divBdr>
                <w:top w:val="none" w:sz="0" w:space="0" w:color="auto"/>
                <w:left w:val="none" w:sz="0" w:space="0" w:color="auto"/>
                <w:bottom w:val="none" w:sz="0" w:space="0" w:color="auto"/>
                <w:right w:val="none" w:sz="0" w:space="0" w:color="auto"/>
              </w:divBdr>
            </w:div>
          </w:divsChild>
        </w:div>
        <w:div w:id="462116348">
          <w:marLeft w:val="0"/>
          <w:marRight w:val="0"/>
          <w:marTop w:val="0"/>
          <w:marBottom w:val="0"/>
          <w:divBdr>
            <w:top w:val="none" w:sz="0" w:space="0" w:color="auto"/>
            <w:left w:val="none" w:sz="0" w:space="0" w:color="auto"/>
            <w:bottom w:val="none" w:sz="0" w:space="0" w:color="auto"/>
            <w:right w:val="none" w:sz="0" w:space="0" w:color="auto"/>
          </w:divBdr>
          <w:divsChild>
            <w:div w:id="875049278">
              <w:marLeft w:val="0"/>
              <w:marRight w:val="0"/>
              <w:marTop w:val="0"/>
              <w:marBottom w:val="0"/>
              <w:divBdr>
                <w:top w:val="none" w:sz="0" w:space="0" w:color="auto"/>
                <w:left w:val="none" w:sz="0" w:space="0" w:color="auto"/>
                <w:bottom w:val="none" w:sz="0" w:space="0" w:color="auto"/>
                <w:right w:val="none" w:sz="0" w:space="0" w:color="auto"/>
              </w:divBdr>
            </w:div>
          </w:divsChild>
        </w:div>
        <w:div w:id="534655828">
          <w:marLeft w:val="0"/>
          <w:marRight w:val="0"/>
          <w:marTop w:val="0"/>
          <w:marBottom w:val="0"/>
          <w:divBdr>
            <w:top w:val="none" w:sz="0" w:space="0" w:color="auto"/>
            <w:left w:val="none" w:sz="0" w:space="0" w:color="auto"/>
            <w:bottom w:val="none" w:sz="0" w:space="0" w:color="auto"/>
            <w:right w:val="none" w:sz="0" w:space="0" w:color="auto"/>
          </w:divBdr>
          <w:divsChild>
            <w:div w:id="1003777576">
              <w:marLeft w:val="0"/>
              <w:marRight w:val="0"/>
              <w:marTop w:val="0"/>
              <w:marBottom w:val="0"/>
              <w:divBdr>
                <w:top w:val="none" w:sz="0" w:space="0" w:color="auto"/>
                <w:left w:val="none" w:sz="0" w:space="0" w:color="auto"/>
                <w:bottom w:val="none" w:sz="0" w:space="0" w:color="auto"/>
                <w:right w:val="none" w:sz="0" w:space="0" w:color="auto"/>
              </w:divBdr>
            </w:div>
          </w:divsChild>
        </w:div>
        <w:div w:id="592055459">
          <w:marLeft w:val="0"/>
          <w:marRight w:val="0"/>
          <w:marTop w:val="0"/>
          <w:marBottom w:val="0"/>
          <w:divBdr>
            <w:top w:val="none" w:sz="0" w:space="0" w:color="auto"/>
            <w:left w:val="none" w:sz="0" w:space="0" w:color="auto"/>
            <w:bottom w:val="none" w:sz="0" w:space="0" w:color="auto"/>
            <w:right w:val="none" w:sz="0" w:space="0" w:color="auto"/>
          </w:divBdr>
          <w:divsChild>
            <w:div w:id="536313482">
              <w:marLeft w:val="0"/>
              <w:marRight w:val="0"/>
              <w:marTop w:val="0"/>
              <w:marBottom w:val="0"/>
              <w:divBdr>
                <w:top w:val="none" w:sz="0" w:space="0" w:color="auto"/>
                <w:left w:val="none" w:sz="0" w:space="0" w:color="auto"/>
                <w:bottom w:val="none" w:sz="0" w:space="0" w:color="auto"/>
                <w:right w:val="none" w:sz="0" w:space="0" w:color="auto"/>
              </w:divBdr>
            </w:div>
          </w:divsChild>
        </w:div>
        <w:div w:id="672100780">
          <w:marLeft w:val="0"/>
          <w:marRight w:val="0"/>
          <w:marTop w:val="0"/>
          <w:marBottom w:val="0"/>
          <w:divBdr>
            <w:top w:val="none" w:sz="0" w:space="0" w:color="auto"/>
            <w:left w:val="none" w:sz="0" w:space="0" w:color="auto"/>
            <w:bottom w:val="none" w:sz="0" w:space="0" w:color="auto"/>
            <w:right w:val="none" w:sz="0" w:space="0" w:color="auto"/>
          </w:divBdr>
          <w:divsChild>
            <w:div w:id="765419267">
              <w:marLeft w:val="0"/>
              <w:marRight w:val="0"/>
              <w:marTop w:val="0"/>
              <w:marBottom w:val="0"/>
              <w:divBdr>
                <w:top w:val="none" w:sz="0" w:space="0" w:color="auto"/>
                <w:left w:val="none" w:sz="0" w:space="0" w:color="auto"/>
                <w:bottom w:val="none" w:sz="0" w:space="0" w:color="auto"/>
                <w:right w:val="none" w:sz="0" w:space="0" w:color="auto"/>
              </w:divBdr>
            </w:div>
          </w:divsChild>
        </w:div>
        <w:div w:id="792596387">
          <w:marLeft w:val="0"/>
          <w:marRight w:val="0"/>
          <w:marTop w:val="0"/>
          <w:marBottom w:val="0"/>
          <w:divBdr>
            <w:top w:val="none" w:sz="0" w:space="0" w:color="auto"/>
            <w:left w:val="none" w:sz="0" w:space="0" w:color="auto"/>
            <w:bottom w:val="none" w:sz="0" w:space="0" w:color="auto"/>
            <w:right w:val="none" w:sz="0" w:space="0" w:color="auto"/>
          </w:divBdr>
          <w:divsChild>
            <w:div w:id="745961451">
              <w:marLeft w:val="0"/>
              <w:marRight w:val="0"/>
              <w:marTop w:val="0"/>
              <w:marBottom w:val="0"/>
              <w:divBdr>
                <w:top w:val="none" w:sz="0" w:space="0" w:color="auto"/>
                <w:left w:val="none" w:sz="0" w:space="0" w:color="auto"/>
                <w:bottom w:val="none" w:sz="0" w:space="0" w:color="auto"/>
                <w:right w:val="none" w:sz="0" w:space="0" w:color="auto"/>
              </w:divBdr>
            </w:div>
          </w:divsChild>
        </w:div>
        <w:div w:id="872964238">
          <w:marLeft w:val="0"/>
          <w:marRight w:val="0"/>
          <w:marTop w:val="0"/>
          <w:marBottom w:val="0"/>
          <w:divBdr>
            <w:top w:val="none" w:sz="0" w:space="0" w:color="auto"/>
            <w:left w:val="none" w:sz="0" w:space="0" w:color="auto"/>
            <w:bottom w:val="none" w:sz="0" w:space="0" w:color="auto"/>
            <w:right w:val="none" w:sz="0" w:space="0" w:color="auto"/>
          </w:divBdr>
          <w:divsChild>
            <w:div w:id="969019981">
              <w:marLeft w:val="0"/>
              <w:marRight w:val="0"/>
              <w:marTop w:val="0"/>
              <w:marBottom w:val="0"/>
              <w:divBdr>
                <w:top w:val="none" w:sz="0" w:space="0" w:color="auto"/>
                <w:left w:val="none" w:sz="0" w:space="0" w:color="auto"/>
                <w:bottom w:val="none" w:sz="0" w:space="0" w:color="auto"/>
                <w:right w:val="none" w:sz="0" w:space="0" w:color="auto"/>
              </w:divBdr>
            </w:div>
          </w:divsChild>
        </w:div>
        <w:div w:id="898900301">
          <w:marLeft w:val="0"/>
          <w:marRight w:val="0"/>
          <w:marTop w:val="0"/>
          <w:marBottom w:val="0"/>
          <w:divBdr>
            <w:top w:val="none" w:sz="0" w:space="0" w:color="auto"/>
            <w:left w:val="none" w:sz="0" w:space="0" w:color="auto"/>
            <w:bottom w:val="none" w:sz="0" w:space="0" w:color="auto"/>
            <w:right w:val="none" w:sz="0" w:space="0" w:color="auto"/>
          </w:divBdr>
          <w:divsChild>
            <w:div w:id="843517868">
              <w:marLeft w:val="0"/>
              <w:marRight w:val="0"/>
              <w:marTop w:val="0"/>
              <w:marBottom w:val="0"/>
              <w:divBdr>
                <w:top w:val="none" w:sz="0" w:space="0" w:color="auto"/>
                <w:left w:val="none" w:sz="0" w:space="0" w:color="auto"/>
                <w:bottom w:val="none" w:sz="0" w:space="0" w:color="auto"/>
                <w:right w:val="none" w:sz="0" w:space="0" w:color="auto"/>
              </w:divBdr>
            </w:div>
          </w:divsChild>
        </w:div>
        <w:div w:id="939489158">
          <w:marLeft w:val="0"/>
          <w:marRight w:val="0"/>
          <w:marTop w:val="0"/>
          <w:marBottom w:val="0"/>
          <w:divBdr>
            <w:top w:val="none" w:sz="0" w:space="0" w:color="auto"/>
            <w:left w:val="none" w:sz="0" w:space="0" w:color="auto"/>
            <w:bottom w:val="none" w:sz="0" w:space="0" w:color="auto"/>
            <w:right w:val="none" w:sz="0" w:space="0" w:color="auto"/>
          </w:divBdr>
          <w:divsChild>
            <w:div w:id="630748660">
              <w:marLeft w:val="0"/>
              <w:marRight w:val="0"/>
              <w:marTop w:val="0"/>
              <w:marBottom w:val="0"/>
              <w:divBdr>
                <w:top w:val="none" w:sz="0" w:space="0" w:color="auto"/>
                <w:left w:val="none" w:sz="0" w:space="0" w:color="auto"/>
                <w:bottom w:val="none" w:sz="0" w:space="0" w:color="auto"/>
                <w:right w:val="none" w:sz="0" w:space="0" w:color="auto"/>
              </w:divBdr>
            </w:div>
          </w:divsChild>
        </w:div>
        <w:div w:id="985863941">
          <w:marLeft w:val="0"/>
          <w:marRight w:val="0"/>
          <w:marTop w:val="0"/>
          <w:marBottom w:val="0"/>
          <w:divBdr>
            <w:top w:val="none" w:sz="0" w:space="0" w:color="auto"/>
            <w:left w:val="none" w:sz="0" w:space="0" w:color="auto"/>
            <w:bottom w:val="none" w:sz="0" w:space="0" w:color="auto"/>
            <w:right w:val="none" w:sz="0" w:space="0" w:color="auto"/>
          </w:divBdr>
          <w:divsChild>
            <w:div w:id="317342499">
              <w:marLeft w:val="0"/>
              <w:marRight w:val="0"/>
              <w:marTop w:val="0"/>
              <w:marBottom w:val="0"/>
              <w:divBdr>
                <w:top w:val="none" w:sz="0" w:space="0" w:color="auto"/>
                <w:left w:val="none" w:sz="0" w:space="0" w:color="auto"/>
                <w:bottom w:val="none" w:sz="0" w:space="0" w:color="auto"/>
                <w:right w:val="none" w:sz="0" w:space="0" w:color="auto"/>
              </w:divBdr>
            </w:div>
          </w:divsChild>
        </w:div>
        <w:div w:id="1102720801">
          <w:marLeft w:val="0"/>
          <w:marRight w:val="0"/>
          <w:marTop w:val="0"/>
          <w:marBottom w:val="0"/>
          <w:divBdr>
            <w:top w:val="none" w:sz="0" w:space="0" w:color="auto"/>
            <w:left w:val="none" w:sz="0" w:space="0" w:color="auto"/>
            <w:bottom w:val="none" w:sz="0" w:space="0" w:color="auto"/>
            <w:right w:val="none" w:sz="0" w:space="0" w:color="auto"/>
          </w:divBdr>
          <w:divsChild>
            <w:div w:id="227499250">
              <w:marLeft w:val="0"/>
              <w:marRight w:val="0"/>
              <w:marTop w:val="0"/>
              <w:marBottom w:val="0"/>
              <w:divBdr>
                <w:top w:val="none" w:sz="0" w:space="0" w:color="auto"/>
                <w:left w:val="none" w:sz="0" w:space="0" w:color="auto"/>
                <w:bottom w:val="none" w:sz="0" w:space="0" w:color="auto"/>
                <w:right w:val="none" w:sz="0" w:space="0" w:color="auto"/>
              </w:divBdr>
            </w:div>
          </w:divsChild>
        </w:div>
        <w:div w:id="1135682191">
          <w:marLeft w:val="0"/>
          <w:marRight w:val="0"/>
          <w:marTop w:val="0"/>
          <w:marBottom w:val="0"/>
          <w:divBdr>
            <w:top w:val="none" w:sz="0" w:space="0" w:color="auto"/>
            <w:left w:val="none" w:sz="0" w:space="0" w:color="auto"/>
            <w:bottom w:val="none" w:sz="0" w:space="0" w:color="auto"/>
            <w:right w:val="none" w:sz="0" w:space="0" w:color="auto"/>
          </w:divBdr>
          <w:divsChild>
            <w:div w:id="1224372404">
              <w:marLeft w:val="0"/>
              <w:marRight w:val="0"/>
              <w:marTop w:val="0"/>
              <w:marBottom w:val="0"/>
              <w:divBdr>
                <w:top w:val="none" w:sz="0" w:space="0" w:color="auto"/>
                <w:left w:val="none" w:sz="0" w:space="0" w:color="auto"/>
                <w:bottom w:val="none" w:sz="0" w:space="0" w:color="auto"/>
                <w:right w:val="none" w:sz="0" w:space="0" w:color="auto"/>
              </w:divBdr>
            </w:div>
          </w:divsChild>
        </w:div>
        <w:div w:id="1416855512">
          <w:marLeft w:val="0"/>
          <w:marRight w:val="0"/>
          <w:marTop w:val="0"/>
          <w:marBottom w:val="0"/>
          <w:divBdr>
            <w:top w:val="none" w:sz="0" w:space="0" w:color="auto"/>
            <w:left w:val="none" w:sz="0" w:space="0" w:color="auto"/>
            <w:bottom w:val="none" w:sz="0" w:space="0" w:color="auto"/>
            <w:right w:val="none" w:sz="0" w:space="0" w:color="auto"/>
          </w:divBdr>
          <w:divsChild>
            <w:div w:id="225843064">
              <w:marLeft w:val="0"/>
              <w:marRight w:val="0"/>
              <w:marTop w:val="0"/>
              <w:marBottom w:val="0"/>
              <w:divBdr>
                <w:top w:val="none" w:sz="0" w:space="0" w:color="auto"/>
                <w:left w:val="none" w:sz="0" w:space="0" w:color="auto"/>
                <w:bottom w:val="none" w:sz="0" w:space="0" w:color="auto"/>
                <w:right w:val="none" w:sz="0" w:space="0" w:color="auto"/>
              </w:divBdr>
            </w:div>
          </w:divsChild>
        </w:div>
        <w:div w:id="1424255735">
          <w:marLeft w:val="0"/>
          <w:marRight w:val="0"/>
          <w:marTop w:val="0"/>
          <w:marBottom w:val="0"/>
          <w:divBdr>
            <w:top w:val="none" w:sz="0" w:space="0" w:color="auto"/>
            <w:left w:val="none" w:sz="0" w:space="0" w:color="auto"/>
            <w:bottom w:val="none" w:sz="0" w:space="0" w:color="auto"/>
            <w:right w:val="none" w:sz="0" w:space="0" w:color="auto"/>
          </w:divBdr>
          <w:divsChild>
            <w:div w:id="318191759">
              <w:marLeft w:val="0"/>
              <w:marRight w:val="0"/>
              <w:marTop w:val="0"/>
              <w:marBottom w:val="0"/>
              <w:divBdr>
                <w:top w:val="none" w:sz="0" w:space="0" w:color="auto"/>
                <w:left w:val="none" w:sz="0" w:space="0" w:color="auto"/>
                <w:bottom w:val="none" w:sz="0" w:space="0" w:color="auto"/>
                <w:right w:val="none" w:sz="0" w:space="0" w:color="auto"/>
              </w:divBdr>
            </w:div>
          </w:divsChild>
        </w:div>
        <w:div w:id="1483539358">
          <w:marLeft w:val="0"/>
          <w:marRight w:val="0"/>
          <w:marTop w:val="0"/>
          <w:marBottom w:val="0"/>
          <w:divBdr>
            <w:top w:val="none" w:sz="0" w:space="0" w:color="auto"/>
            <w:left w:val="none" w:sz="0" w:space="0" w:color="auto"/>
            <w:bottom w:val="none" w:sz="0" w:space="0" w:color="auto"/>
            <w:right w:val="none" w:sz="0" w:space="0" w:color="auto"/>
          </w:divBdr>
          <w:divsChild>
            <w:div w:id="444542107">
              <w:marLeft w:val="0"/>
              <w:marRight w:val="0"/>
              <w:marTop w:val="0"/>
              <w:marBottom w:val="0"/>
              <w:divBdr>
                <w:top w:val="none" w:sz="0" w:space="0" w:color="auto"/>
                <w:left w:val="none" w:sz="0" w:space="0" w:color="auto"/>
                <w:bottom w:val="none" w:sz="0" w:space="0" w:color="auto"/>
                <w:right w:val="none" w:sz="0" w:space="0" w:color="auto"/>
              </w:divBdr>
            </w:div>
          </w:divsChild>
        </w:div>
        <w:div w:id="1491825673">
          <w:marLeft w:val="0"/>
          <w:marRight w:val="0"/>
          <w:marTop w:val="0"/>
          <w:marBottom w:val="0"/>
          <w:divBdr>
            <w:top w:val="none" w:sz="0" w:space="0" w:color="auto"/>
            <w:left w:val="none" w:sz="0" w:space="0" w:color="auto"/>
            <w:bottom w:val="none" w:sz="0" w:space="0" w:color="auto"/>
            <w:right w:val="none" w:sz="0" w:space="0" w:color="auto"/>
          </w:divBdr>
          <w:divsChild>
            <w:div w:id="2117864251">
              <w:marLeft w:val="0"/>
              <w:marRight w:val="0"/>
              <w:marTop w:val="0"/>
              <w:marBottom w:val="0"/>
              <w:divBdr>
                <w:top w:val="none" w:sz="0" w:space="0" w:color="auto"/>
                <w:left w:val="none" w:sz="0" w:space="0" w:color="auto"/>
                <w:bottom w:val="none" w:sz="0" w:space="0" w:color="auto"/>
                <w:right w:val="none" w:sz="0" w:space="0" w:color="auto"/>
              </w:divBdr>
            </w:div>
          </w:divsChild>
        </w:div>
        <w:div w:id="1533616431">
          <w:marLeft w:val="0"/>
          <w:marRight w:val="0"/>
          <w:marTop w:val="0"/>
          <w:marBottom w:val="0"/>
          <w:divBdr>
            <w:top w:val="none" w:sz="0" w:space="0" w:color="auto"/>
            <w:left w:val="none" w:sz="0" w:space="0" w:color="auto"/>
            <w:bottom w:val="none" w:sz="0" w:space="0" w:color="auto"/>
            <w:right w:val="none" w:sz="0" w:space="0" w:color="auto"/>
          </w:divBdr>
          <w:divsChild>
            <w:div w:id="1377461034">
              <w:marLeft w:val="0"/>
              <w:marRight w:val="0"/>
              <w:marTop w:val="0"/>
              <w:marBottom w:val="0"/>
              <w:divBdr>
                <w:top w:val="none" w:sz="0" w:space="0" w:color="auto"/>
                <w:left w:val="none" w:sz="0" w:space="0" w:color="auto"/>
                <w:bottom w:val="none" w:sz="0" w:space="0" w:color="auto"/>
                <w:right w:val="none" w:sz="0" w:space="0" w:color="auto"/>
              </w:divBdr>
            </w:div>
          </w:divsChild>
        </w:div>
        <w:div w:id="1614704539">
          <w:marLeft w:val="0"/>
          <w:marRight w:val="0"/>
          <w:marTop w:val="0"/>
          <w:marBottom w:val="0"/>
          <w:divBdr>
            <w:top w:val="none" w:sz="0" w:space="0" w:color="auto"/>
            <w:left w:val="none" w:sz="0" w:space="0" w:color="auto"/>
            <w:bottom w:val="none" w:sz="0" w:space="0" w:color="auto"/>
            <w:right w:val="none" w:sz="0" w:space="0" w:color="auto"/>
          </w:divBdr>
          <w:divsChild>
            <w:div w:id="1894923764">
              <w:marLeft w:val="0"/>
              <w:marRight w:val="0"/>
              <w:marTop w:val="0"/>
              <w:marBottom w:val="0"/>
              <w:divBdr>
                <w:top w:val="none" w:sz="0" w:space="0" w:color="auto"/>
                <w:left w:val="none" w:sz="0" w:space="0" w:color="auto"/>
                <w:bottom w:val="none" w:sz="0" w:space="0" w:color="auto"/>
                <w:right w:val="none" w:sz="0" w:space="0" w:color="auto"/>
              </w:divBdr>
            </w:div>
          </w:divsChild>
        </w:div>
        <w:div w:id="1650133720">
          <w:marLeft w:val="0"/>
          <w:marRight w:val="0"/>
          <w:marTop w:val="0"/>
          <w:marBottom w:val="0"/>
          <w:divBdr>
            <w:top w:val="none" w:sz="0" w:space="0" w:color="auto"/>
            <w:left w:val="none" w:sz="0" w:space="0" w:color="auto"/>
            <w:bottom w:val="none" w:sz="0" w:space="0" w:color="auto"/>
            <w:right w:val="none" w:sz="0" w:space="0" w:color="auto"/>
          </w:divBdr>
          <w:divsChild>
            <w:div w:id="1928229161">
              <w:marLeft w:val="0"/>
              <w:marRight w:val="0"/>
              <w:marTop w:val="0"/>
              <w:marBottom w:val="0"/>
              <w:divBdr>
                <w:top w:val="none" w:sz="0" w:space="0" w:color="auto"/>
                <w:left w:val="none" w:sz="0" w:space="0" w:color="auto"/>
                <w:bottom w:val="none" w:sz="0" w:space="0" w:color="auto"/>
                <w:right w:val="none" w:sz="0" w:space="0" w:color="auto"/>
              </w:divBdr>
            </w:div>
          </w:divsChild>
        </w:div>
        <w:div w:id="1680615073">
          <w:marLeft w:val="0"/>
          <w:marRight w:val="0"/>
          <w:marTop w:val="0"/>
          <w:marBottom w:val="0"/>
          <w:divBdr>
            <w:top w:val="none" w:sz="0" w:space="0" w:color="auto"/>
            <w:left w:val="none" w:sz="0" w:space="0" w:color="auto"/>
            <w:bottom w:val="none" w:sz="0" w:space="0" w:color="auto"/>
            <w:right w:val="none" w:sz="0" w:space="0" w:color="auto"/>
          </w:divBdr>
          <w:divsChild>
            <w:div w:id="1956015111">
              <w:marLeft w:val="0"/>
              <w:marRight w:val="0"/>
              <w:marTop w:val="0"/>
              <w:marBottom w:val="0"/>
              <w:divBdr>
                <w:top w:val="none" w:sz="0" w:space="0" w:color="auto"/>
                <w:left w:val="none" w:sz="0" w:space="0" w:color="auto"/>
                <w:bottom w:val="none" w:sz="0" w:space="0" w:color="auto"/>
                <w:right w:val="none" w:sz="0" w:space="0" w:color="auto"/>
              </w:divBdr>
            </w:div>
          </w:divsChild>
        </w:div>
        <w:div w:id="1748112270">
          <w:marLeft w:val="0"/>
          <w:marRight w:val="0"/>
          <w:marTop w:val="0"/>
          <w:marBottom w:val="0"/>
          <w:divBdr>
            <w:top w:val="none" w:sz="0" w:space="0" w:color="auto"/>
            <w:left w:val="none" w:sz="0" w:space="0" w:color="auto"/>
            <w:bottom w:val="none" w:sz="0" w:space="0" w:color="auto"/>
            <w:right w:val="none" w:sz="0" w:space="0" w:color="auto"/>
          </w:divBdr>
          <w:divsChild>
            <w:div w:id="141700645">
              <w:marLeft w:val="0"/>
              <w:marRight w:val="0"/>
              <w:marTop w:val="0"/>
              <w:marBottom w:val="0"/>
              <w:divBdr>
                <w:top w:val="none" w:sz="0" w:space="0" w:color="auto"/>
                <w:left w:val="none" w:sz="0" w:space="0" w:color="auto"/>
                <w:bottom w:val="none" w:sz="0" w:space="0" w:color="auto"/>
                <w:right w:val="none" w:sz="0" w:space="0" w:color="auto"/>
              </w:divBdr>
            </w:div>
          </w:divsChild>
        </w:div>
        <w:div w:id="1868987411">
          <w:marLeft w:val="0"/>
          <w:marRight w:val="0"/>
          <w:marTop w:val="0"/>
          <w:marBottom w:val="0"/>
          <w:divBdr>
            <w:top w:val="none" w:sz="0" w:space="0" w:color="auto"/>
            <w:left w:val="none" w:sz="0" w:space="0" w:color="auto"/>
            <w:bottom w:val="none" w:sz="0" w:space="0" w:color="auto"/>
            <w:right w:val="none" w:sz="0" w:space="0" w:color="auto"/>
          </w:divBdr>
          <w:divsChild>
            <w:div w:id="1008412037">
              <w:marLeft w:val="0"/>
              <w:marRight w:val="0"/>
              <w:marTop w:val="0"/>
              <w:marBottom w:val="0"/>
              <w:divBdr>
                <w:top w:val="none" w:sz="0" w:space="0" w:color="auto"/>
                <w:left w:val="none" w:sz="0" w:space="0" w:color="auto"/>
                <w:bottom w:val="none" w:sz="0" w:space="0" w:color="auto"/>
                <w:right w:val="none" w:sz="0" w:space="0" w:color="auto"/>
              </w:divBdr>
            </w:div>
            <w:div w:id="1461998723">
              <w:marLeft w:val="0"/>
              <w:marRight w:val="0"/>
              <w:marTop w:val="0"/>
              <w:marBottom w:val="0"/>
              <w:divBdr>
                <w:top w:val="none" w:sz="0" w:space="0" w:color="auto"/>
                <w:left w:val="none" w:sz="0" w:space="0" w:color="auto"/>
                <w:bottom w:val="none" w:sz="0" w:space="0" w:color="auto"/>
                <w:right w:val="none" w:sz="0" w:space="0" w:color="auto"/>
              </w:divBdr>
            </w:div>
          </w:divsChild>
        </w:div>
        <w:div w:id="2000578039">
          <w:marLeft w:val="0"/>
          <w:marRight w:val="0"/>
          <w:marTop w:val="0"/>
          <w:marBottom w:val="0"/>
          <w:divBdr>
            <w:top w:val="none" w:sz="0" w:space="0" w:color="auto"/>
            <w:left w:val="none" w:sz="0" w:space="0" w:color="auto"/>
            <w:bottom w:val="none" w:sz="0" w:space="0" w:color="auto"/>
            <w:right w:val="none" w:sz="0" w:space="0" w:color="auto"/>
          </w:divBdr>
          <w:divsChild>
            <w:div w:id="1246763136">
              <w:marLeft w:val="0"/>
              <w:marRight w:val="0"/>
              <w:marTop w:val="0"/>
              <w:marBottom w:val="0"/>
              <w:divBdr>
                <w:top w:val="none" w:sz="0" w:space="0" w:color="auto"/>
                <w:left w:val="none" w:sz="0" w:space="0" w:color="auto"/>
                <w:bottom w:val="none" w:sz="0" w:space="0" w:color="auto"/>
                <w:right w:val="none" w:sz="0" w:space="0" w:color="auto"/>
              </w:divBdr>
            </w:div>
          </w:divsChild>
        </w:div>
        <w:div w:id="2011057952">
          <w:marLeft w:val="0"/>
          <w:marRight w:val="0"/>
          <w:marTop w:val="0"/>
          <w:marBottom w:val="0"/>
          <w:divBdr>
            <w:top w:val="none" w:sz="0" w:space="0" w:color="auto"/>
            <w:left w:val="none" w:sz="0" w:space="0" w:color="auto"/>
            <w:bottom w:val="none" w:sz="0" w:space="0" w:color="auto"/>
            <w:right w:val="none" w:sz="0" w:space="0" w:color="auto"/>
          </w:divBdr>
          <w:divsChild>
            <w:div w:id="1510607088">
              <w:marLeft w:val="0"/>
              <w:marRight w:val="0"/>
              <w:marTop w:val="0"/>
              <w:marBottom w:val="0"/>
              <w:divBdr>
                <w:top w:val="none" w:sz="0" w:space="0" w:color="auto"/>
                <w:left w:val="none" w:sz="0" w:space="0" w:color="auto"/>
                <w:bottom w:val="none" w:sz="0" w:space="0" w:color="auto"/>
                <w:right w:val="none" w:sz="0" w:space="0" w:color="auto"/>
              </w:divBdr>
            </w:div>
          </w:divsChild>
        </w:div>
        <w:div w:id="2027511181">
          <w:marLeft w:val="0"/>
          <w:marRight w:val="0"/>
          <w:marTop w:val="0"/>
          <w:marBottom w:val="0"/>
          <w:divBdr>
            <w:top w:val="none" w:sz="0" w:space="0" w:color="auto"/>
            <w:left w:val="none" w:sz="0" w:space="0" w:color="auto"/>
            <w:bottom w:val="none" w:sz="0" w:space="0" w:color="auto"/>
            <w:right w:val="none" w:sz="0" w:space="0" w:color="auto"/>
          </w:divBdr>
          <w:divsChild>
            <w:div w:id="1779447394">
              <w:marLeft w:val="0"/>
              <w:marRight w:val="0"/>
              <w:marTop w:val="0"/>
              <w:marBottom w:val="0"/>
              <w:divBdr>
                <w:top w:val="none" w:sz="0" w:space="0" w:color="auto"/>
                <w:left w:val="none" w:sz="0" w:space="0" w:color="auto"/>
                <w:bottom w:val="none" w:sz="0" w:space="0" w:color="auto"/>
                <w:right w:val="none" w:sz="0" w:space="0" w:color="auto"/>
              </w:divBdr>
            </w:div>
          </w:divsChild>
        </w:div>
        <w:div w:id="2094349164">
          <w:marLeft w:val="0"/>
          <w:marRight w:val="0"/>
          <w:marTop w:val="0"/>
          <w:marBottom w:val="0"/>
          <w:divBdr>
            <w:top w:val="none" w:sz="0" w:space="0" w:color="auto"/>
            <w:left w:val="none" w:sz="0" w:space="0" w:color="auto"/>
            <w:bottom w:val="none" w:sz="0" w:space="0" w:color="auto"/>
            <w:right w:val="none" w:sz="0" w:space="0" w:color="auto"/>
          </w:divBdr>
          <w:divsChild>
            <w:div w:id="35438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8568">
      <w:bodyDiv w:val="1"/>
      <w:marLeft w:val="0"/>
      <w:marRight w:val="0"/>
      <w:marTop w:val="0"/>
      <w:marBottom w:val="0"/>
      <w:divBdr>
        <w:top w:val="none" w:sz="0" w:space="0" w:color="auto"/>
        <w:left w:val="none" w:sz="0" w:space="0" w:color="auto"/>
        <w:bottom w:val="none" w:sz="0" w:space="0" w:color="auto"/>
        <w:right w:val="none" w:sz="0" w:space="0" w:color="auto"/>
      </w:divBdr>
    </w:div>
    <w:div w:id="633679065">
      <w:bodyDiv w:val="1"/>
      <w:marLeft w:val="0"/>
      <w:marRight w:val="0"/>
      <w:marTop w:val="0"/>
      <w:marBottom w:val="0"/>
      <w:divBdr>
        <w:top w:val="none" w:sz="0" w:space="0" w:color="auto"/>
        <w:left w:val="none" w:sz="0" w:space="0" w:color="auto"/>
        <w:bottom w:val="none" w:sz="0" w:space="0" w:color="auto"/>
        <w:right w:val="none" w:sz="0" w:space="0" w:color="auto"/>
      </w:divBdr>
      <w:divsChild>
        <w:div w:id="208689854">
          <w:marLeft w:val="0"/>
          <w:marRight w:val="0"/>
          <w:marTop w:val="0"/>
          <w:marBottom w:val="0"/>
          <w:divBdr>
            <w:top w:val="none" w:sz="0" w:space="0" w:color="auto"/>
            <w:left w:val="none" w:sz="0" w:space="0" w:color="auto"/>
            <w:bottom w:val="none" w:sz="0" w:space="0" w:color="auto"/>
            <w:right w:val="none" w:sz="0" w:space="0" w:color="auto"/>
          </w:divBdr>
          <w:divsChild>
            <w:div w:id="63990895">
              <w:marLeft w:val="0"/>
              <w:marRight w:val="0"/>
              <w:marTop w:val="0"/>
              <w:marBottom w:val="0"/>
              <w:divBdr>
                <w:top w:val="none" w:sz="0" w:space="0" w:color="auto"/>
                <w:left w:val="none" w:sz="0" w:space="0" w:color="auto"/>
                <w:bottom w:val="none" w:sz="0" w:space="0" w:color="auto"/>
                <w:right w:val="none" w:sz="0" w:space="0" w:color="auto"/>
              </w:divBdr>
            </w:div>
          </w:divsChild>
        </w:div>
        <w:div w:id="870805945">
          <w:marLeft w:val="0"/>
          <w:marRight w:val="0"/>
          <w:marTop w:val="0"/>
          <w:marBottom w:val="0"/>
          <w:divBdr>
            <w:top w:val="none" w:sz="0" w:space="0" w:color="auto"/>
            <w:left w:val="none" w:sz="0" w:space="0" w:color="auto"/>
            <w:bottom w:val="none" w:sz="0" w:space="0" w:color="auto"/>
            <w:right w:val="none" w:sz="0" w:space="0" w:color="auto"/>
          </w:divBdr>
          <w:divsChild>
            <w:div w:id="176235934">
              <w:marLeft w:val="0"/>
              <w:marRight w:val="0"/>
              <w:marTop w:val="0"/>
              <w:marBottom w:val="0"/>
              <w:divBdr>
                <w:top w:val="none" w:sz="0" w:space="0" w:color="auto"/>
                <w:left w:val="none" w:sz="0" w:space="0" w:color="auto"/>
                <w:bottom w:val="none" w:sz="0" w:space="0" w:color="auto"/>
                <w:right w:val="none" w:sz="0" w:space="0" w:color="auto"/>
              </w:divBdr>
            </w:div>
            <w:div w:id="527989423">
              <w:marLeft w:val="0"/>
              <w:marRight w:val="0"/>
              <w:marTop w:val="0"/>
              <w:marBottom w:val="0"/>
              <w:divBdr>
                <w:top w:val="none" w:sz="0" w:space="0" w:color="auto"/>
                <w:left w:val="none" w:sz="0" w:space="0" w:color="auto"/>
                <w:bottom w:val="none" w:sz="0" w:space="0" w:color="auto"/>
                <w:right w:val="none" w:sz="0" w:space="0" w:color="auto"/>
              </w:divBdr>
            </w:div>
            <w:div w:id="1039892406">
              <w:marLeft w:val="0"/>
              <w:marRight w:val="0"/>
              <w:marTop w:val="0"/>
              <w:marBottom w:val="0"/>
              <w:divBdr>
                <w:top w:val="none" w:sz="0" w:space="0" w:color="auto"/>
                <w:left w:val="none" w:sz="0" w:space="0" w:color="auto"/>
                <w:bottom w:val="none" w:sz="0" w:space="0" w:color="auto"/>
                <w:right w:val="none" w:sz="0" w:space="0" w:color="auto"/>
              </w:divBdr>
            </w:div>
            <w:div w:id="1202086554">
              <w:marLeft w:val="0"/>
              <w:marRight w:val="0"/>
              <w:marTop w:val="0"/>
              <w:marBottom w:val="0"/>
              <w:divBdr>
                <w:top w:val="none" w:sz="0" w:space="0" w:color="auto"/>
                <w:left w:val="none" w:sz="0" w:space="0" w:color="auto"/>
                <w:bottom w:val="none" w:sz="0" w:space="0" w:color="auto"/>
                <w:right w:val="none" w:sz="0" w:space="0" w:color="auto"/>
              </w:divBdr>
            </w:div>
            <w:div w:id="1244679588">
              <w:marLeft w:val="0"/>
              <w:marRight w:val="0"/>
              <w:marTop w:val="0"/>
              <w:marBottom w:val="0"/>
              <w:divBdr>
                <w:top w:val="none" w:sz="0" w:space="0" w:color="auto"/>
                <w:left w:val="none" w:sz="0" w:space="0" w:color="auto"/>
                <w:bottom w:val="none" w:sz="0" w:space="0" w:color="auto"/>
                <w:right w:val="none" w:sz="0" w:space="0" w:color="auto"/>
              </w:divBdr>
            </w:div>
          </w:divsChild>
        </w:div>
        <w:div w:id="1690445334">
          <w:marLeft w:val="0"/>
          <w:marRight w:val="0"/>
          <w:marTop w:val="0"/>
          <w:marBottom w:val="0"/>
          <w:divBdr>
            <w:top w:val="none" w:sz="0" w:space="0" w:color="auto"/>
            <w:left w:val="none" w:sz="0" w:space="0" w:color="auto"/>
            <w:bottom w:val="none" w:sz="0" w:space="0" w:color="auto"/>
            <w:right w:val="none" w:sz="0" w:space="0" w:color="auto"/>
          </w:divBdr>
        </w:div>
      </w:divsChild>
    </w:div>
    <w:div w:id="644093194">
      <w:bodyDiv w:val="1"/>
      <w:marLeft w:val="0"/>
      <w:marRight w:val="0"/>
      <w:marTop w:val="0"/>
      <w:marBottom w:val="0"/>
      <w:divBdr>
        <w:top w:val="none" w:sz="0" w:space="0" w:color="auto"/>
        <w:left w:val="none" w:sz="0" w:space="0" w:color="auto"/>
        <w:bottom w:val="none" w:sz="0" w:space="0" w:color="auto"/>
        <w:right w:val="none" w:sz="0" w:space="0" w:color="auto"/>
      </w:divBdr>
    </w:div>
    <w:div w:id="822697034">
      <w:bodyDiv w:val="1"/>
      <w:marLeft w:val="0"/>
      <w:marRight w:val="0"/>
      <w:marTop w:val="0"/>
      <w:marBottom w:val="0"/>
      <w:divBdr>
        <w:top w:val="none" w:sz="0" w:space="0" w:color="auto"/>
        <w:left w:val="none" w:sz="0" w:space="0" w:color="auto"/>
        <w:bottom w:val="none" w:sz="0" w:space="0" w:color="auto"/>
        <w:right w:val="none" w:sz="0" w:space="0" w:color="auto"/>
      </w:divBdr>
      <w:divsChild>
        <w:div w:id="344595626">
          <w:marLeft w:val="0"/>
          <w:marRight w:val="0"/>
          <w:marTop w:val="0"/>
          <w:marBottom w:val="0"/>
          <w:divBdr>
            <w:top w:val="none" w:sz="0" w:space="0" w:color="auto"/>
            <w:left w:val="none" w:sz="0" w:space="0" w:color="auto"/>
            <w:bottom w:val="none" w:sz="0" w:space="0" w:color="auto"/>
            <w:right w:val="none" w:sz="0" w:space="0" w:color="auto"/>
          </w:divBdr>
        </w:div>
        <w:div w:id="618074981">
          <w:marLeft w:val="0"/>
          <w:marRight w:val="0"/>
          <w:marTop w:val="0"/>
          <w:marBottom w:val="0"/>
          <w:divBdr>
            <w:top w:val="none" w:sz="0" w:space="0" w:color="auto"/>
            <w:left w:val="none" w:sz="0" w:space="0" w:color="auto"/>
            <w:bottom w:val="none" w:sz="0" w:space="0" w:color="auto"/>
            <w:right w:val="none" w:sz="0" w:space="0" w:color="auto"/>
          </w:divBdr>
          <w:divsChild>
            <w:div w:id="177159183">
              <w:marLeft w:val="0"/>
              <w:marRight w:val="0"/>
              <w:marTop w:val="0"/>
              <w:marBottom w:val="0"/>
              <w:divBdr>
                <w:top w:val="none" w:sz="0" w:space="0" w:color="auto"/>
                <w:left w:val="none" w:sz="0" w:space="0" w:color="auto"/>
                <w:bottom w:val="none" w:sz="0" w:space="0" w:color="auto"/>
                <w:right w:val="none" w:sz="0" w:space="0" w:color="auto"/>
              </w:divBdr>
            </w:div>
            <w:div w:id="262687678">
              <w:marLeft w:val="0"/>
              <w:marRight w:val="0"/>
              <w:marTop w:val="0"/>
              <w:marBottom w:val="0"/>
              <w:divBdr>
                <w:top w:val="none" w:sz="0" w:space="0" w:color="auto"/>
                <w:left w:val="none" w:sz="0" w:space="0" w:color="auto"/>
                <w:bottom w:val="none" w:sz="0" w:space="0" w:color="auto"/>
                <w:right w:val="none" w:sz="0" w:space="0" w:color="auto"/>
              </w:divBdr>
            </w:div>
            <w:div w:id="292176609">
              <w:marLeft w:val="0"/>
              <w:marRight w:val="0"/>
              <w:marTop w:val="0"/>
              <w:marBottom w:val="0"/>
              <w:divBdr>
                <w:top w:val="none" w:sz="0" w:space="0" w:color="auto"/>
                <w:left w:val="none" w:sz="0" w:space="0" w:color="auto"/>
                <w:bottom w:val="none" w:sz="0" w:space="0" w:color="auto"/>
                <w:right w:val="none" w:sz="0" w:space="0" w:color="auto"/>
              </w:divBdr>
            </w:div>
            <w:div w:id="449209582">
              <w:marLeft w:val="0"/>
              <w:marRight w:val="0"/>
              <w:marTop w:val="0"/>
              <w:marBottom w:val="0"/>
              <w:divBdr>
                <w:top w:val="none" w:sz="0" w:space="0" w:color="auto"/>
                <w:left w:val="none" w:sz="0" w:space="0" w:color="auto"/>
                <w:bottom w:val="none" w:sz="0" w:space="0" w:color="auto"/>
                <w:right w:val="none" w:sz="0" w:space="0" w:color="auto"/>
              </w:divBdr>
            </w:div>
            <w:div w:id="627392253">
              <w:marLeft w:val="0"/>
              <w:marRight w:val="0"/>
              <w:marTop w:val="0"/>
              <w:marBottom w:val="0"/>
              <w:divBdr>
                <w:top w:val="none" w:sz="0" w:space="0" w:color="auto"/>
                <w:left w:val="none" w:sz="0" w:space="0" w:color="auto"/>
                <w:bottom w:val="none" w:sz="0" w:space="0" w:color="auto"/>
                <w:right w:val="none" w:sz="0" w:space="0" w:color="auto"/>
              </w:divBdr>
            </w:div>
            <w:div w:id="637494364">
              <w:marLeft w:val="0"/>
              <w:marRight w:val="0"/>
              <w:marTop w:val="0"/>
              <w:marBottom w:val="0"/>
              <w:divBdr>
                <w:top w:val="none" w:sz="0" w:space="0" w:color="auto"/>
                <w:left w:val="none" w:sz="0" w:space="0" w:color="auto"/>
                <w:bottom w:val="none" w:sz="0" w:space="0" w:color="auto"/>
                <w:right w:val="none" w:sz="0" w:space="0" w:color="auto"/>
              </w:divBdr>
            </w:div>
            <w:div w:id="724137470">
              <w:marLeft w:val="0"/>
              <w:marRight w:val="0"/>
              <w:marTop w:val="0"/>
              <w:marBottom w:val="0"/>
              <w:divBdr>
                <w:top w:val="none" w:sz="0" w:space="0" w:color="auto"/>
                <w:left w:val="none" w:sz="0" w:space="0" w:color="auto"/>
                <w:bottom w:val="none" w:sz="0" w:space="0" w:color="auto"/>
                <w:right w:val="none" w:sz="0" w:space="0" w:color="auto"/>
              </w:divBdr>
            </w:div>
            <w:div w:id="950627021">
              <w:marLeft w:val="0"/>
              <w:marRight w:val="0"/>
              <w:marTop w:val="0"/>
              <w:marBottom w:val="0"/>
              <w:divBdr>
                <w:top w:val="none" w:sz="0" w:space="0" w:color="auto"/>
                <w:left w:val="none" w:sz="0" w:space="0" w:color="auto"/>
                <w:bottom w:val="none" w:sz="0" w:space="0" w:color="auto"/>
                <w:right w:val="none" w:sz="0" w:space="0" w:color="auto"/>
              </w:divBdr>
            </w:div>
            <w:div w:id="983968124">
              <w:marLeft w:val="0"/>
              <w:marRight w:val="0"/>
              <w:marTop w:val="0"/>
              <w:marBottom w:val="0"/>
              <w:divBdr>
                <w:top w:val="none" w:sz="0" w:space="0" w:color="auto"/>
                <w:left w:val="none" w:sz="0" w:space="0" w:color="auto"/>
                <w:bottom w:val="none" w:sz="0" w:space="0" w:color="auto"/>
                <w:right w:val="none" w:sz="0" w:space="0" w:color="auto"/>
              </w:divBdr>
            </w:div>
            <w:div w:id="1043333712">
              <w:marLeft w:val="0"/>
              <w:marRight w:val="0"/>
              <w:marTop w:val="0"/>
              <w:marBottom w:val="0"/>
              <w:divBdr>
                <w:top w:val="none" w:sz="0" w:space="0" w:color="auto"/>
                <w:left w:val="none" w:sz="0" w:space="0" w:color="auto"/>
                <w:bottom w:val="none" w:sz="0" w:space="0" w:color="auto"/>
                <w:right w:val="none" w:sz="0" w:space="0" w:color="auto"/>
              </w:divBdr>
            </w:div>
            <w:div w:id="1098870447">
              <w:marLeft w:val="0"/>
              <w:marRight w:val="0"/>
              <w:marTop w:val="0"/>
              <w:marBottom w:val="0"/>
              <w:divBdr>
                <w:top w:val="none" w:sz="0" w:space="0" w:color="auto"/>
                <w:left w:val="none" w:sz="0" w:space="0" w:color="auto"/>
                <w:bottom w:val="none" w:sz="0" w:space="0" w:color="auto"/>
                <w:right w:val="none" w:sz="0" w:space="0" w:color="auto"/>
              </w:divBdr>
            </w:div>
            <w:div w:id="1116876545">
              <w:marLeft w:val="0"/>
              <w:marRight w:val="0"/>
              <w:marTop w:val="0"/>
              <w:marBottom w:val="0"/>
              <w:divBdr>
                <w:top w:val="none" w:sz="0" w:space="0" w:color="auto"/>
                <w:left w:val="none" w:sz="0" w:space="0" w:color="auto"/>
                <w:bottom w:val="none" w:sz="0" w:space="0" w:color="auto"/>
                <w:right w:val="none" w:sz="0" w:space="0" w:color="auto"/>
              </w:divBdr>
            </w:div>
            <w:div w:id="1201237378">
              <w:marLeft w:val="0"/>
              <w:marRight w:val="0"/>
              <w:marTop w:val="0"/>
              <w:marBottom w:val="0"/>
              <w:divBdr>
                <w:top w:val="none" w:sz="0" w:space="0" w:color="auto"/>
                <w:left w:val="none" w:sz="0" w:space="0" w:color="auto"/>
                <w:bottom w:val="none" w:sz="0" w:space="0" w:color="auto"/>
                <w:right w:val="none" w:sz="0" w:space="0" w:color="auto"/>
              </w:divBdr>
            </w:div>
            <w:div w:id="1231774530">
              <w:marLeft w:val="0"/>
              <w:marRight w:val="0"/>
              <w:marTop w:val="0"/>
              <w:marBottom w:val="0"/>
              <w:divBdr>
                <w:top w:val="none" w:sz="0" w:space="0" w:color="auto"/>
                <w:left w:val="none" w:sz="0" w:space="0" w:color="auto"/>
                <w:bottom w:val="none" w:sz="0" w:space="0" w:color="auto"/>
                <w:right w:val="none" w:sz="0" w:space="0" w:color="auto"/>
              </w:divBdr>
            </w:div>
            <w:div w:id="1664624060">
              <w:marLeft w:val="0"/>
              <w:marRight w:val="0"/>
              <w:marTop w:val="0"/>
              <w:marBottom w:val="0"/>
              <w:divBdr>
                <w:top w:val="none" w:sz="0" w:space="0" w:color="auto"/>
                <w:left w:val="none" w:sz="0" w:space="0" w:color="auto"/>
                <w:bottom w:val="none" w:sz="0" w:space="0" w:color="auto"/>
                <w:right w:val="none" w:sz="0" w:space="0" w:color="auto"/>
              </w:divBdr>
            </w:div>
            <w:div w:id="1667441938">
              <w:marLeft w:val="0"/>
              <w:marRight w:val="0"/>
              <w:marTop w:val="0"/>
              <w:marBottom w:val="0"/>
              <w:divBdr>
                <w:top w:val="none" w:sz="0" w:space="0" w:color="auto"/>
                <w:left w:val="none" w:sz="0" w:space="0" w:color="auto"/>
                <w:bottom w:val="none" w:sz="0" w:space="0" w:color="auto"/>
                <w:right w:val="none" w:sz="0" w:space="0" w:color="auto"/>
              </w:divBdr>
            </w:div>
            <w:div w:id="1678119140">
              <w:marLeft w:val="0"/>
              <w:marRight w:val="0"/>
              <w:marTop w:val="0"/>
              <w:marBottom w:val="0"/>
              <w:divBdr>
                <w:top w:val="none" w:sz="0" w:space="0" w:color="auto"/>
                <w:left w:val="none" w:sz="0" w:space="0" w:color="auto"/>
                <w:bottom w:val="none" w:sz="0" w:space="0" w:color="auto"/>
                <w:right w:val="none" w:sz="0" w:space="0" w:color="auto"/>
              </w:divBdr>
            </w:div>
            <w:div w:id="1919049862">
              <w:marLeft w:val="0"/>
              <w:marRight w:val="0"/>
              <w:marTop w:val="0"/>
              <w:marBottom w:val="0"/>
              <w:divBdr>
                <w:top w:val="none" w:sz="0" w:space="0" w:color="auto"/>
                <w:left w:val="none" w:sz="0" w:space="0" w:color="auto"/>
                <w:bottom w:val="none" w:sz="0" w:space="0" w:color="auto"/>
                <w:right w:val="none" w:sz="0" w:space="0" w:color="auto"/>
              </w:divBdr>
            </w:div>
            <w:div w:id="1977292814">
              <w:marLeft w:val="0"/>
              <w:marRight w:val="0"/>
              <w:marTop w:val="0"/>
              <w:marBottom w:val="0"/>
              <w:divBdr>
                <w:top w:val="none" w:sz="0" w:space="0" w:color="auto"/>
                <w:left w:val="none" w:sz="0" w:space="0" w:color="auto"/>
                <w:bottom w:val="none" w:sz="0" w:space="0" w:color="auto"/>
                <w:right w:val="none" w:sz="0" w:space="0" w:color="auto"/>
              </w:divBdr>
            </w:div>
          </w:divsChild>
        </w:div>
        <w:div w:id="885487948">
          <w:marLeft w:val="0"/>
          <w:marRight w:val="0"/>
          <w:marTop w:val="0"/>
          <w:marBottom w:val="0"/>
          <w:divBdr>
            <w:top w:val="none" w:sz="0" w:space="0" w:color="auto"/>
            <w:left w:val="none" w:sz="0" w:space="0" w:color="auto"/>
            <w:bottom w:val="none" w:sz="0" w:space="0" w:color="auto"/>
            <w:right w:val="none" w:sz="0" w:space="0" w:color="auto"/>
          </w:divBdr>
          <w:divsChild>
            <w:div w:id="559167900">
              <w:marLeft w:val="-75"/>
              <w:marRight w:val="0"/>
              <w:marTop w:val="30"/>
              <w:marBottom w:val="30"/>
              <w:divBdr>
                <w:top w:val="none" w:sz="0" w:space="0" w:color="auto"/>
                <w:left w:val="none" w:sz="0" w:space="0" w:color="auto"/>
                <w:bottom w:val="none" w:sz="0" w:space="0" w:color="auto"/>
                <w:right w:val="none" w:sz="0" w:space="0" w:color="auto"/>
              </w:divBdr>
              <w:divsChild>
                <w:div w:id="580409259">
                  <w:marLeft w:val="0"/>
                  <w:marRight w:val="0"/>
                  <w:marTop w:val="0"/>
                  <w:marBottom w:val="0"/>
                  <w:divBdr>
                    <w:top w:val="none" w:sz="0" w:space="0" w:color="auto"/>
                    <w:left w:val="none" w:sz="0" w:space="0" w:color="auto"/>
                    <w:bottom w:val="none" w:sz="0" w:space="0" w:color="auto"/>
                    <w:right w:val="none" w:sz="0" w:space="0" w:color="auto"/>
                  </w:divBdr>
                  <w:divsChild>
                    <w:div w:id="507986276">
                      <w:marLeft w:val="0"/>
                      <w:marRight w:val="0"/>
                      <w:marTop w:val="0"/>
                      <w:marBottom w:val="0"/>
                      <w:divBdr>
                        <w:top w:val="none" w:sz="0" w:space="0" w:color="auto"/>
                        <w:left w:val="none" w:sz="0" w:space="0" w:color="auto"/>
                        <w:bottom w:val="none" w:sz="0" w:space="0" w:color="auto"/>
                        <w:right w:val="none" w:sz="0" w:space="0" w:color="auto"/>
                      </w:divBdr>
                    </w:div>
                  </w:divsChild>
                </w:div>
                <w:div w:id="771163757">
                  <w:marLeft w:val="0"/>
                  <w:marRight w:val="0"/>
                  <w:marTop w:val="0"/>
                  <w:marBottom w:val="0"/>
                  <w:divBdr>
                    <w:top w:val="none" w:sz="0" w:space="0" w:color="auto"/>
                    <w:left w:val="none" w:sz="0" w:space="0" w:color="auto"/>
                    <w:bottom w:val="none" w:sz="0" w:space="0" w:color="auto"/>
                    <w:right w:val="none" w:sz="0" w:space="0" w:color="auto"/>
                  </w:divBdr>
                  <w:divsChild>
                    <w:div w:id="1674915671">
                      <w:marLeft w:val="0"/>
                      <w:marRight w:val="0"/>
                      <w:marTop w:val="0"/>
                      <w:marBottom w:val="0"/>
                      <w:divBdr>
                        <w:top w:val="none" w:sz="0" w:space="0" w:color="auto"/>
                        <w:left w:val="none" w:sz="0" w:space="0" w:color="auto"/>
                        <w:bottom w:val="none" w:sz="0" w:space="0" w:color="auto"/>
                        <w:right w:val="none" w:sz="0" w:space="0" w:color="auto"/>
                      </w:divBdr>
                    </w:div>
                  </w:divsChild>
                </w:div>
                <w:div w:id="930773182">
                  <w:marLeft w:val="0"/>
                  <w:marRight w:val="0"/>
                  <w:marTop w:val="0"/>
                  <w:marBottom w:val="0"/>
                  <w:divBdr>
                    <w:top w:val="none" w:sz="0" w:space="0" w:color="auto"/>
                    <w:left w:val="none" w:sz="0" w:space="0" w:color="auto"/>
                    <w:bottom w:val="none" w:sz="0" w:space="0" w:color="auto"/>
                    <w:right w:val="none" w:sz="0" w:space="0" w:color="auto"/>
                  </w:divBdr>
                  <w:divsChild>
                    <w:div w:id="577862296">
                      <w:marLeft w:val="0"/>
                      <w:marRight w:val="0"/>
                      <w:marTop w:val="0"/>
                      <w:marBottom w:val="0"/>
                      <w:divBdr>
                        <w:top w:val="none" w:sz="0" w:space="0" w:color="auto"/>
                        <w:left w:val="none" w:sz="0" w:space="0" w:color="auto"/>
                        <w:bottom w:val="none" w:sz="0" w:space="0" w:color="auto"/>
                        <w:right w:val="none" w:sz="0" w:space="0" w:color="auto"/>
                      </w:divBdr>
                    </w:div>
                  </w:divsChild>
                </w:div>
                <w:div w:id="983317650">
                  <w:marLeft w:val="0"/>
                  <w:marRight w:val="0"/>
                  <w:marTop w:val="0"/>
                  <w:marBottom w:val="0"/>
                  <w:divBdr>
                    <w:top w:val="none" w:sz="0" w:space="0" w:color="auto"/>
                    <w:left w:val="none" w:sz="0" w:space="0" w:color="auto"/>
                    <w:bottom w:val="none" w:sz="0" w:space="0" w:color="auto"/>
                    <w:right w:val="none" w:sz="0" w:space="0" w:color="auto"/>
                  </w:divBdr>
                  <w:divsChild>
                    <w:div w:id="1340698099">
                      <w:marLeft w:val="0"/>
                      <w:marRight w:val="0"/>
                      <w:marTop w:val="0"/>
                      <w:marBottom w:val="0"/>
                      <w:divBdr>
                        <w:top w:val="none" w:sz="0" w:space="0" w:color="auto"/>
                        <w:left w:val="none" w:sz="0" w:space="0" w:color="auto"/>
                        <w:bottom w:val="none" w:sz="0" w:space="0" w:color="auto"/>
                        <w:right w:val="none" w:sz="0" w:space="0" w:color="auto"/>
                      </w:divBdr>
                    </w:div>
                  </w:divsChild>
                </w:div>
                <w:div w:id="1216235495">
                  <w:marLeft w:val="0"/>
                  <w:marRight w:val="0"/>
                  <w:marTop w:val="0"/>
                  <w:marBottom w:val="0"/>
                  <w:divBdr>
                    <w:top w:val="none" w:sz="0" w:space="0" w:color="auto"/>
                    <w:left w:val="none" w:sz="0" w:space="0" w:color="auto"/>
                    <w:bottom w:val="none" w:sz="0" w:space="0" w:color="auto"/>
                    <w:right w:val="none" w:sz="0" w:space="0" w:color="auto"/>
                  </w:divBdr>
                  <w:divsChild>
                    <w:div w:id="287900547">
                      <w:marLeft w:val="0"/>
                      <w:marRight w:val="0"/>
                      <w:marTop w:val="0"/>
                      <w:marBottom w:val="0"/>
                      <w:divBdr>
                        <w:top w:val="none" w:sz="0" w:space="0" w:color="auto"/>
                        <w:left w:val="none" w:sz="0" w:space="0" w:color="auto"/>
                        <w:bottom w:val="none" w:sz="0" w:space="0" w:color="auto"/>
                        <w:right w:val="none" w:sz="0" w:space="0" w:color="auto"/>
                      </w:divBdr>
                    </w:div>
                  </w:divsChild>
                </w:div>
                <w:div w:id="1495948122">
                  <w:marLeft w:val="0"/>
                  <w:marRight w:val="0"/>
                  <w:marTop w:val="0"/>
                  <w:marBottom w:val="0"/>
                  <w:divBdr>
                    <w:top w:val="none" w:sz="0" w:space="0" w:color="auto"/>
                    <w:left w:val="none" w:sz="0" w:space="0" w:color="auto"/>
                    <w:bottom w:val="none" w:sz="0" w:space="0" w:color="auto"/>
                    <w:right w:val="none" w:sz="0" w:space="0" w:color="auto"/>
                  </w:divBdr>
                  <w:divsChild>
                    <w:div w:id="1403454273">
                      <w:marLeft w:val="0"/>
                      <w:marRight w:val="0"/>
                      <w:marTop w:val="0"/>
                      <w:marBottom w:val="0"/>
                      <w:divBdr>
                        <w:top w:val="none" w:sz="0" w:space="0" w:color="auto"/>
                        <w:left w:val="none" w:sz="0" w:space="0" w:color="auto"/>
                        <w:bottom w:val="none" w:sz="0" w:space="0" w:color="auto"/>
                        <w:right w:val="none" w:sz="0" w:space="0" w:color="auto"/>
                      </w:divBdr>
                    </w:div>
                  </w:divsChild>
                </w:div>
                <w:div w:id="1812364312">
                  <w:marLeft w:val="0"/>
                  <w:marRight w:val="0"/>
                  <w:marTop w:val="0"/>
                  <w:marBottom w:val="0"/>
                  <w:divBdr>
                    <w:top w:val="none" w:sz="0" w:space="0" w:color="auto"/>
                    <w:left w:val="none" w:sz="0" w:space="0" w:color="auto"/>
                    <w:bottom w:val="none" w:sz="0" w:space="0" w:color="auto"/>
                    <w:right w:val="none" w:sz="0" w:space="0" w:color="auto"/>
                  </w:divBdr>
                  <w:divsChild>
                    <w:div w:id="1067529012">
                      <w:marLeft w:val="0"/>
                      <w:marRight w:val="0"/>
                      <w:marTop w:val="0"/>
                      <w:marBottom w:val="0"/>
                      <w:divBdr>
                        <w:top w:val="none" w:sz="0" w:space="0" w:color="auto"/>
                        <w:left w:val="none" w:sz="0" w:space="0" w:color="auto"/>
                        <w:bottom w:val="none" w:sz="0" w:space="0" w:color="auto"/>
                        <w:right w:val="none" w:sz="0" w:space="0" w:color="auto"/>
                      </w:divBdr>
                    </w:div>
                  </w:divsChild>
                </w:div>
                <w:div w:id="1952737273">
                  <w:marLeft w:val="0"/>
                  <w:marRight w:val="0"/>
                  <w:marTop w:val="0"/>
                  <w:marBottom w:val="0"/>
                  <w:divBdr>
                    <w:top w:val="none" w:sz="0" w:space="0" w:color="auto"/>
                    <w:left w:val="none" w:sz="0" w:space="0" w:color="auto"/>
                    <w:bottom w:val="none" w:sz="0" w:space="0" w:color="auto"/>
                    <w:right w:val="none" w:sz="0" w:space="0" w:color="auto"/>
                  </w:divBdr>
                  <w:divsChild>
                    <w:div w:id="531575354">
                      <w:marLeft w:val="0"/>
                      <w:marRight w:val="0"/>
                      <w:marTop w:val="0"/>
                      <w:marBottom w:val="0"/>
                      <w:divBdr>
                        <w:top w:val="none" w:sz="0" w:space="0" w:color="auto"/>
                        <w:left w:val="none" w:sz="0" w:space="0" w:color="auto"/>
                        <w:bottom w:val="none" w:sz="0" w:space="0" w:color="auto"/>
                        <w:right w:val="none" w:sz="0" w:space="0" w:color="auto"/>
                      </w:divBdr>
                    </w:div>
                  </w:divsChild>
                </w:div>
                <w:div w:id="2107538521">
                  <w:marLeft w:val="0"/>
                  <w:marRight w:val="0"/>
                  <w:marTop w:val="0"/>
                  <w:marBottom w:val="0"/>
                  <w:divBdr>
                    <w:top w:val="none" w:sz="0" w:space="0" w:color="auto"/>
                    <w:left w:val="none" w:sz="0" w:space="0" w:color="auto"/>
                    <w:bottom w:val="none" w:sz="0" w:space="0" w:color="auto"/>
                    <w:right w:val="none" w:sz="0" w:space="0" w:color="auto"/>
                  </w:divBdr>
                  <w:divsChild>
                    <w:div w:id="82846528">
                      <w:marLeft w:val="0"/>
                      <w:marRight w:val="0"/>
                      <w:marTop w:val="0"/>
                      <w:marBottom w:val="0"/>
                      <w:divBdr>
                        <w:top w:val="none" w:sz="0" w:space="0" w:color="auto"/>
                        <w:left w:val="none" w:sz="0" w:space="0" w:color="auto"/>
                        <w:bottom w:val="none" w:sz="0" w:space="0" w:color="auto"/>
                        <w:right w:val="none" w:sz="0" w:space="0" w:color="auto"/>
                      </w:divBdr>
                    </w:div>
                    <w:div w:id="1773546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809424">
      <w:bodyDiv w:val="1"/>
      <w:marLeft w:val="0"/>
      <w:marRight w:val="0"/>
      <w:marTop w:val="0"/>
      <w:marBottom w:val="0"/>
      <w:divBdr>
        <w:top w:val="none" w:sz="0" w:space="0" w:color="auto"/>
        <w:left w:val="none" w:sz="0" w:space="0" w:color="auto"/>
        <w:bottom w:val="none" w:sz="0" w:space="0" w:color="auto"/>
        <w:right w:val="none" w:sz="0" w:space="0" w:color="auto"/>
      </w:divBdr>
      <w:divsChild>
        <w:div w:id="87048737">
          <w:marLeft w:val="0"/>
          <w:marRight w:val="0"/>
          <w:marTop w:val="0"/>
          <w:marBottom w:val="0"/>
          <w:divBdr>
            <w:top w:val="none" w:sz="0" w:space="0" w:color="auto"/>
            <w:left w:val="none" w:sz="0" w:space="0" w:color="auto"/>
            <w:bottom w:val="none" w:sz="0" w:space="0" w:color="auto"/>
            <w:right w:val="none" w:sz="0" w:space="0" w:color="auto"/>
          </w:divBdr>
          <w:divsChild>
            <w:div w:id="1075319953">
              <w:marLeft w:val="0"/>
              <w:marRight w:val="0"/>
              <w:marTop w:val="0"/>
              <w:marBottom w:val="0"/>
              <w:divBdr>
                <w:top w:val="none" w:sz="0" w:space="0" w:color="auto"/>
                <w:left w:val="none" w:sz="0" w:space="0" w:color="auto"/>
                <w:bottom w:val="none" w:sz="0" w:space="0" w:color="auto"/>
                <w:right w:val="none" w:sz="0" w:space="0" w:color="auto"/>
              </w:divBdr>
            </w:div>
          </w:divsChild>
        </w:div>
        <w:div w:id="107969818">
          <w:marLeft w:val="0"/>
          <w:marRight w:val="0"/>
          <w:marTop w:val="0"/>
          <w:marBottom w:val="0"/>
          <w:divBdr>
            <w:top w:val="none" w:sz="0" w:space="0" w:color="auto"/>
            <w:left w:val="none" w:sz="0" w:space="0" w:color="auto"/>
            <w:bottom w:val="none" w:sz="0" w:space="0" w:color="auto"/>
            <w:right w:val="none" w:sz="0" w:space="0" w:color="auto"/>
          </w:divBdr>
          <w:divsChild>
            <w:div w:id="420026530">
              <w:marLeft w:val="0"/>
              <w:marRight w:val="0"/>
              <w:marTop w:val="0"/>
              <w:marBottom w:val="0"/>
              <w:divBdr>
                <w:top w:val="none" w:sz="0" w:space="0" w:color="auto"/>
                <w:left w:val="none" w:sz="0" w:space="0" w:color="auto"/>
                <w:bottom w:val="none" w:sz="0" w:space="0" w:color="auto"/>
                <w:right w:val="none" w:sz="0" w:space="0" w:color="auto"/>
              </w:divBdr>
            </w:div>
          </w:divsChild>
        </w:div>
        <w:div w:id="108477276">
          <w:marLeft w:val="0"/>
          <w:marRight w:val="0"/>
          <w:marTop w:val="0"/>
          <w:marBottom w:val="0"/>
          <w:divBdr>
            <w:top w:val="none" w:sz="0" w:space="0" w:color="auto"/>
            <w:left w:val="none" w:sz="0" w:space="0" w:color="auto"/>
            <w:bottom w:val="none" w:sz="0" w:space="0" w:color="auto"/>
            <w:right w:val="none" w:sz="0" w:space="0" w:color="auto"/>
          </w:divBdr>
          <w:divsChild>
            <w:div w:id="491456102">
              <w:marLeft w:val="0"/>
              <w:marRight w:val="0"/>
              <w:marTop w:val="0"/>
              <w:marBottom w:val="0"/>
              <w:divBdr>
                <w:top w:val="none" w:sz="0" w:space="0" w:color="auto"/>
                <w:left w:val="none" w:sz="0" w:space="0" w:color="auto"/>
                <w:bottom w:val="none" w:sz="0" w:space="0" w:color="auto"/>
                <w:right w:val="none" w:sz="0" w:space="0" w:color="auto"/>
              </w:divBdr>
            </w:div>
          </w:divsChild>
        </w:div>
        <w:div w:id="112750211">
          <w:marLeft w:val="0"/>
          <w:marRight w:val="0"/>
          <w:marTop w:val="0"/>
          <w:marBottom w:val="0"/>
          <w:divBdr>
            <w:top w:val="none" w:sz="0" w:space="0" w:color="auto"/>
            <w:left w:val="none" w:sz="0" w:space="0" w:color="auto"/>
            <w:bottom w:val="none" w:sz="0" w:space="0" w:color="auto"/>
            <w:right w:val="none" w:sz="0" w:space="0" w:color="auto"/>
          </w:divBdr>
          <w:divsChild>
            <w:div w:id="706682659">
              <w:marLeft w:val="0"/>
              <w:marRight w:val="0"/>
              <w:marTop w:val="0"/>
              <w:marBottom w:val="0"/>
              <w:divBdr>
                <w:top w:val="none" w:sz="0" w:space="0" w:color="auto"/>
                <w:left w:val="none" w:sz="0" w:space="0" w:color="auto"/>
                <w:bottom w:val="none" w:sz="0" w:space="0" w:color="auto"/>
                <w:right w:val="none" w:sz="0" w:space="0" w:color="auto"/>
              </w:divBdr>
            </w:div>
          </w:divsChild>
        </w:div>
        <w:div w:id="125978591">
          <w:marLeft w:val="0"/>
          <w:marRight w:val="0"/>
          <w:marTop w:val="0"/>
          <w:marBottom w:val="0"/>
          <w:divBdr>
            <w:top w:val="none" w:sz="0" w:space="0" w:color="auto"/>
            <w:left w:val="none" w:sz="0" w:space="0" w:color="auto"/>
            <w:bottom w:val="none" w:sz="0" w:space="0" w:color="auto"/>
            <w:right w:val="none" w:sz="0" w:space="0" w:color="auto"/>
          </w:divBdr>
          <w:divsChild>
            <w:div w:id="1987007067">
              <w:marLeft w:val="0"/>
              <w:marRight w:val="0"/>
              <w:marTop w:val="0"/>
              <w:marBottom w:val="0"/>
              <w:divBdr>
                <w:top w:val="none" w:sz="0" w:space="0" w:color="auto"/>
                <w:left w:val="none" w:sz="0" w:space="0" w:color="auto"/>
                <w:bottom w:val="none" w:sz="0" w:space="0" w:color="auto"/>
                <w:right w:val="none" w:sz="0" w:space="0" w:color="auto"/>
              </w:divBdr>
            </w:div>
          </w:divsChild>
        </w:div>
        <w:div w:id="290747403">
          <w:marLeft w:val="0"/>
          <w:marRight w:val="0"/>
          <w:marTop w:val="0"/>
          <w:marBottom w:val="0"/>
          <w:divBdr>
            <w:top w:val="none" w:sz="0" w:space="0" w:color="auto"/>
            <w:left w:val="none" w:sz="0" w:space="0" w:color="auto"/>
            <w:bottom w:val="none" w:sz="0" w:space="0" w:color="auto"/>
            <w:right w:val="none" w:sz="0" w:space="0" w:color="auto"/>
          </w:divBdr>
          <w:divsChild>
            <w:div w:id="277495439">
              <w:marLeft w:val="0"/>
              <w:marRight w:val="0"/>
              <w:marTop w:val="0"/>
              <w:marBottom w:val="0"/>
              <w:divBdr>
                <w:top w:val="none" w:sz="0" w:space="0" w:color="auto"/>
                <w:left w:val="none" w:sz="0" w:space="0" w:color="auto"/>
                <w:bottom w:val="none" w:sz="0" w:space="0" w:color="auto"/>
                <w:right w:val="none" w:sz="0" w:space="0" w:color="auto"/>
              </w:divBdr>
            </w:div>
          </w:divsChild>
        </w:div>
        <w:div w:id="290984464">
          <w:marLeft w:val="0"/>
          <w:marRight w:val="0"/>
          <w:marTop w:val="0"/>
          <w:marBottom w:val="0"/>
          <w:divBdr>
            <w:top w:val="none" w:sz="0" w:space="0" w:color="auto"/>
            <w:left w:val="none" w:sz="0" w:space="0" w:color="auto"/>
            <w:bottom w:val="none" w:sz="0" w:space="0" w:color="auto"/>
            <w:right w:val="none" w:sz="0" w:space="0" w:color="auto"/>
          </w:divBdr>
          <w:divsChild>
            <w:div w:id="1906988168">
              <w:marLeft w:val="0"/>
              <w:marRight w:val="0"/>
              <w:marTop w:val="0"/>
              <w:marBottom w:val="0"/>
              <w:divBdr>
                <w:top w:val="none" w:sz="0" w:space="0" w:color="auto"/>
                <w:left w:val="none" w:sz="0" w:space="0" w:color="auto"/>
                <w:bottom w:val="none" w:sz="0" w:space="0" w:color="auto"/>
                <w:right w:val="none" w:sz="0" w:space="0" w:color="auto"/>
              </w:divBdr>
            </w:div>
          </w:divsChild>
        </w:div>
        <w:div w:id="365789139">
          <w:marLeft w:val="0"/>
          <w:marRight w:val="0"/>
          <w:marTop w:val="0"/>
          <w:marBottom w:val="0"/>
          <w:divBdr>
            <w:top w:val="none" w:sz="0" w:space="0" w:color="auto"/>
            <w:left w:val="none" w:sz="0" w:space="0" w:color="auto"/>
            <w:bottom w:val="none" w:sz="0" w:space="0" w:color="auto"/>
            <w:right w:val="none" w:sz="0" w:space="0" w:color="auto"/>
          </w:divBdr>
          <w:divsChild>
            <w:div w:id="83647605">
              <w:marLeft w:val="0"/>
              <w:marRight w:val="0"/>
              <w:marTop w:val="0"/>
              <w:marBottom w:val="0"/>
              <w:divBdr>
                <w:top w:val="none" w:sz="0" w:space="0" w:color="auto"/>
                <w:left w:val="none" w:sz="0" w:space="0" w:color="auto"/>
                <w:bottom w:val="none" w:sz="0" w:space="0" w:color="auto"/>
                <w:right w:val="none" w:sz="0" w:space="0" w:color="auto"/>
              </w:divBdr>
            </w:div>
          </w:divsChild>
        </w:div>
        <w:div w:id="430512527">
          <w:marLeft w:val="0"/>
          <w:marRight w:val="0"/>
          <w:marTop w:val="0"/>
          <w:marBottom w:val="0"/>
          <w:divBdr>
            <w:top w:val="none" w:sz="0" w:space="0" w:color="auto"/>
            <w:left w:val="none" w:sz="0" w:space="0" w:color="auto"/>
            <w:bottom w:val="none" w:sz="0" w:space="0" w:color="auto"/>
            <w:right w:val="none" w:sz="0" w:space="0" w:color="auto"/>
          </w:divBdr>
          <w:divsChild>
            <w:div w:id="1842112620">
              <w:marLeft w:val="0"/>
              <w:marRight w:val="0"/>
              <w:marTop w:val="0"/>
              <w:marBottom w:val="0"/>
              <w:divBdr>
                <w:top w:val="none" w:sz="0" w:space="0" w:color="auto"/>
                <w:left w:val="none" w:sz="0" w:space="0" w:color="auto"/>
                <w:bottom w:val="none" w:sz="0" w:space="0" w:color="auto"/>
                <w:right w:val="none" w:sz="0" w:space="0" w:color="auto"/>
              </w:divBdr>
            </w:div>
          </w:divsChild>
        </w:div>
        <w:div w:id="464585480">
          <w:marLeft w:val="0"/>
          <w:marRight w:val="0"/>
          <w:marTop w:val="0"/>
          <w:marBottom w:val="0"/>
          <w:divBdr>
            <w:top w:val="none" w:sz="0" w:space="0" w:color="auto"/>
            <w:left w:val="none" w:sz="0" w:space="0" w:color="auto"/>
            <w:bottom w:val="none" w:sz="0" w:space="0" w:color="auto"/>
            <w:right w:val="none" w:sz="0" w:space="0" w:color="auto"/>
          </w:divBdr>
          <w:divsChild>
            <w:div w:id="142165374">
              <w:marLeft w:val="0"/>
              <w:marRight w:val="0"/>
              <w:marTop w:val="0"/>
              <w:marBottom w:val="0"/>
              <w:divBdr>
                <w:top w:val="none" w:sz="0" w:space="0" w:color="auto"/>
                <w:left w:val="none" w:sz="0" w:space="0" w:color="auto"/>
                <w:bottom w:val="none" w:sz="0" w:space="0" w:color="auto"/>
                <w:right w:val="none" w:sz="0" w:space="0" w:color="auto"/>
              </w:divBdr>
            </w:div>
          </w:divsChild>
        </w:div>
        <w:div w:id="523979478">
          <w:marLeft w:val="0"/>
          <w:marRight w:val="0"/>
          <w:marTop w:val="0"/>
          <w:marBottom w:val="0"/>
          <w:divBdr>
            <w:top w:val="none" w:sz="0" w:space="0" w:color="auto"/>
            <w:left w:val="none" w:sz="0" w:space="0" w:color="auto"/>
            <w:bottom w:val="none" w:sz="0" w:space="0" w:color="auto"/>
            <w:right w:val="none" w:sz="0" w:space="0" w:color="auto"/>
          </w:divBdr>
          <w:divsChild>
            <w:div w:id="214660408">
              <w:marLeft w:val="0"/>
              <w:marRight w:val="0"/>
              <w:marTop w:val="0"/>
              <w:marBottom w:val="0"/>
              <w:divBdr>
                <w:top w:val="none" w:sz="0" w:space="0" w:color="auto"/>
                <w:left w:val="none" w:sz="0" w:space="0" w:color="auto"/>
                <w:bottom w:val="none" w:sz="0" w:space="0" w:color="auto"/>
                <w:right w:val="none" w:sz="0" w:space="0" w:color="auto"/>
              </w:divBdr>
            </w:div>
          </w:divsChild>
        </w:div>
        <w:div w:id="585840552">
          <w:marLeft w:val="0"/>
          <w:marRight w:val="0"/>
          <w:marTop w:val="0"/>
          <w:marBottom w:val="0"/>
          <w:divBdr>
            <w:top w:val="none" w:sz="0" w:space="0" w:color="auto"/>
            <w:left w:val="none" w:sz="0" w:space="0" w:color="auto"/>
            <w:bottom w:val="none" w:sz="0" w:space="0" w:color="auto"/>
            <w:right w:val="none" w:sz="0" w:space="0" w:color="auto"/>
          </w:divBdr>
          <w:divsChild>
            <w:div w:id="2003583555">
              <w:marLeft w:val="0"/>
              <w:marRight w:val="0"/>
              <w:marTop w:val="0"/>
              <w:marBottom w:val="0"/>
              <w:divBdr>
                <w:top w:val="none" w:sz="0" w:space="0" w:color="auto"/>
                <w:left w:val="none" w:sz="0" w:space="0" w:color="auto"/>
                <w:bottom w:val="none" w:sz="0" w:space="0" w:color="auto"/>
                <w:right w:val="none" w:sz="0" w:space="0" w:color="auto"/>
              </w:divBdr>
            </w:div>
          </w:divsChild>
        </w:div>
        <w:div w:id="670184091">
          <w:marLeft w:val="0"/>
          <w:marRight w:val="0"/>
          <w:marTop w:val="0"/>
          <w:marBottom w:val="0"/>
          <w:divBdr>
            <w:top w:val="none" w:sz="0" w:space="0" w:color="auto"/>
            <w:left w:val="none" w:sz="0" w:space="0" w:color="auto"/>
            <w:bottom w:val="none" w:sz="0" w:space="0" w:color="auto"/>
            <w:right w:val="none" w:sz="0" w:space="0" w:color="auto"/>
          </w:divBdr>
          <w:divsChild>
            <w:div w:id="1200363105">
              <w:marLeft w:val="0"/>
              <w:marRight w:val="0"/>
              <w:marTop w:val="0"/>
              <w:marBottom w:val="0"/>
              <w:divBdr>
                <w:top w:val="none" w:sz="0" w:space="0" w:color="auto"/>
                <w:left w:val="none" w:sz="0" w:space="0" w:color="auto"/>
                <w:bottom w:val="none" w:sz="0" w:space="0" w:color="auto"/>
                <w:right w:val="none" w:sz="0" w:space="0" w:color="auto"/>
              </w:divBdr>
            </w:div>
          </w:divsChild>
        </w:div>
        <w:div w:id="673266859">
          <w:marLeft w:val="0"/>
          <w:marRight w:val="0"/>
          <w:marTop w:val="0"/>
          <w:marBottom w:val="0"/>
          <w:divBdr>
            <w:top w:val="none" w:sz="0" w:space="0" w:color="auto"/>
            <w:left w:val="none" w:sz="0" w:space="0" w:color="auto"/>
            <w:bottom w:val="none" w:sz="0" w:space="0" w:color="auto"/>
            <w:right w:val="none" w:sz="0" w:space="0" w:color="auto"/>
          </w:divBdr>
          <w:divsChild>
            <w:div w:id="158732897">
              <w:marLeft w:val="0"/>
              <w:marRight w:val="0"/>
              <w:marTop w:val="0"/>
              <w:marBottom w:val="0"/>
              <w:divBdr>
                <w:top w:val="none" w:sz="0" w:space="0" w:color="auto"/>
                <w:left w:val="none" w:sz="0" w:space="0" w:color="auto"/>
                <w:bottom w:val="none" w:sz="0" w:space="0" w:color="auto"/>
                <w:right w:val="none" w:sz="0" w:space="0" w:color="auto"/>
              </w:divBdr>
            </w:div>
          </w:divsChild>
        </w:div>
        <w:div w:id="853614540">
          <w:marLeft w:val="0"/>
          <w:marRight w:val="0"/>
          <w:marTop w:val="0"/>
          <w:marBottom w:val="0"/>
          <w:divBdr>
            <w:top w:val="none" w:sz="0" w:space="0" w:color="auto"/>
            <w:left w:val="none" w:sz="0" w:space="0" w:color="auto"/>
            <w:bottom w:val="none" w:sz="0" w:space="0" w:color="auto"/>
            <w:right w:val="none" w:sz="0" w:space="0" w:color="auto"/>
          </w:divBdr>
          <w:divsChild>
            <w:div w:id="701710098">
              <w:marLeft w:val="0"/>
              <w:marRight w:val="0"/>
              <w:marTop w:val="0"/>
              <w:marBottom w:val="0"/>
              <w:divBdr>
                <w:top w:val="none" w:sz="0" w:space="0" w:color="auto"/>
                <w:left w:val="none" w:sz="0" w:space="0" w:color="auto"/>
                <w:bottom w:val="none" w:sz="0" w:space="0" w:color="auto"/>
                <w:right w:val="none" w:sz="0" w:space="0" w:color="auto"/>
              </w:divBdr>
            </w:div>
          </w:divsChild>
        </w:div>
        <w:div w:id="895045028">
          <w:marLeft w:val="0"/>
          <w:marRight w:val="0"/>
          <w:marTop w:val="0"/>
          <w:marBottom w:val="0"/>
          <w:divBdr>
            <w:top w:val="none" w:sz="0" w:space="0" w:color="auto"/>
            <w:left w:val="none" w:sz="0" w:space="0" w:color="auto"/>
            <w:bottom w:val="none" w:sz="0" w:space="0" w:color="auto"/>
            <w:right w:val="none" w:sz="0" w:space="0" w:color="auto"/>
          </w:divBdr>
          <w:divsChild>
            <w:div w:id="1339231347">
              <w:marLeft w:val="0"/>
              <w:marRight w:val="0"/>
              <w:marTop w:val="0"/>
              <w:marBottom w:val="0"/>
              <w:divBdr>
                <w:top w:val="none" w:sz="0" w:space="0" w:color="auto"/>
                <w:left w:val="none" w:sz="0" w:space="0" w:color="auto"/>
                <w:bottom w:val="none" w:sz="0" w:space="0" w:color="auto"/>
                <w:right w:val="none" w:sz="0" w:space="0" w:color="auto"/>
              </w:divBdr>
            </w:div>
          </w:divsChild>
        </w:div>
        <w:div w:id="939145087">
          <w:marLeft w:val="0"/>
          <w:marRight w:val="0"/>
          <w:marTop w:val="0"/>
          <w:marBottom w:val="0"/>
          <w:divBdr>
            <w:top w:val="none" w:sz="0" w:space="0" w:color="auto"/>
            <w:left w:val="none" w:sz="0" w:space="0" w:color="auto"/>
            <w:bottom w:val="none" w:sz="0" w:space="0" w:color="auto"/>
            <w:right w:val="none" w:sz="0" w:space="0" w:color="auto"/>
          </w:divBdr>
          <w:divsChild>
            <w:div w:id="1883130376">
              <w:marLeft w:val="0"/>
              <w:marRight w:val="0"/>
              <w:marTop w:val="0"/>
              <w:marBottom w:val="0"/>
              <w:divBdr>
                <w:top w:val="none" w:sz="0" w:space="0" w:color="auto"/>
                <w:left w:val="none" w:sz="0" w:space="0" w:color="auto"/>
                <w:bottom w:val="none" w:sz="0" w:space="0" w:color="auto"/>
                <w:right w:val="none" w:sz="0" w:space="0" w:color="auto"/>
              </w:divBdr>
            </w:div>
          </w:divsChild>
        </w:div>
        <w:div w:id="958339652">
          <w:marLeft w:val="0"/>
          <w:marRight w:val="0"/>
          <w:marTop w:val="0"/>
          <w:marBottom w:val="0"/>
          <w:divBdr>
            <w:top w:val="none" w:sz="0" w:space="0" w:color="auto"/>
            <w:left w:val="none" w:sz="0" w:space="0" w:color="auto"/>
            <w:bottom w:val="none" w:sz="0" w:space="0" w:color="auto"/>
            <w:right w:val="none" w:sz="0" w:space="0" w:color="auto"/>
          </w:divBdr>
          <w:divsChild>
            <w:div w:id="125398979">
              <w:marLeft w:val="0"/>
              <w:marRight w:val="0"/>
              <w:marTop w:val="0"/>
              <w:marBottom w:val="0"/>
              <w:divBdr>
                <w:top w:val="none" w:sz="0" w:space="0" w:color="auto"/>
                <w:left w:val="none" w:sz="0" w:space="0" w:color="auto"/>
                <w:bottom w:val="none" w:sz="0" w:space="0" w:color="auto"/>
                <w:right w:val="none" w:sz="0" w:space="0" w:color="auto"/>
              </w:divBdr>
            </w:div>
            <w:div w:id="1968509436">
              <w:marLeft w:val="0"/>
              <w:marRight w:val="0"/>
              <w:marTop w:val="0"/>
              <w:marBottom w:val="0"/>
              <w:divBdr>
                <w:top w:val="none" w:sz="0" w:space="0" w:color="auto"/>
                <w:left w:val="none" w:sz="0" w:space="0" w:color="auto"/>
                <w:bottom w:val="none" w:sz="0" w:space="0" w:color="auto"/>
                <w:right w:val="none" w:sz="0" w:space="0" w:color="auto"/>
              </w:divBdr>
            </w:div>
          </w:divsChild>
        </w:div>
        <w:div w:id="966203976">
          <w:marLeft w:val="0"/>
          <w:marRight w:val="0"/>
          <w:marTop w:val="0"/>
          <w:marBottom w:val="0"/>
          <w:divBdr>
            <w:top w:val="none" w:sz="0" w:space="0" w:color="auto"/>
            <w:left w:val="none" w:sz="0" w:space="0" w:color="auto"/>
            <w:bottom w:val="none" w:sz="0" w:space="0" w:color="auto"/>
            <w:right w:val="none" w:sz="0" w:space="0" w:color="auto"/>
          </w:divBdr>
          <w:divsChild>
            <w:div w:id="899942769">
              <w:marLeft w:val="0"/>
              <w:marRight w:val="0"/>
              <w:marTop w:val="0"/>
              <w:marBottom w:val="0"/>
              <w:divBdr>
                <w:top w:val="none" w:sz="0" w:space="0" w:color="auto"/>
                <w:left w:val="none" w:sz="0" w:space="0" w:color="auto"/>
                <w:bottom w:val="none" w:sz="0" w:space="0" w:color="auto"/>
                <w:right w:val="none" w:sz="0" w:space="0" w:color="auto"/>
              </w:divBdr>
            </w:div>
          </w:divsChild>
        </w:div>
        <w:div w:id="981731775">
          <w:marLeft w:val="0"/>
          <w:marRight w:val="0"/>
          <w:marTop w:val="0"/>
          <w:marBottom w:val="0"/>
          <w:divBdr>
            <w:top w:val="none" w:sz="0" w:space="0" w:color="auto"/>
            <w:left w:val="none" w:sz="0" w:space="0" w:color="auto"/>
            <w:bottom w:val="none" w:sz="0" w:space="0" w:color="auto"/>
            <w:right w:val="none" w:sz="0" w:space="0" w:color="auto"/>
          </w:divBdr>
          <w:divsChild>
            <w:div w:id="420219326">
              <w:marLeft w:val="0"/>
              <w:marRight w:val="0"/>
              <w:marTop w:val="0"/>
              <w:marBottom w:val="0"/>
              <w:divBdr>
                <w:top w:val="none" w:sz="0" w:space="0" w:color="auto"/>
                <w:left w:val="none" w:sz="0" w:space="0" w:color="auto"/>
                <w:bottom w:val="none" w:sz="0" w:space="0" w:color="auto"/>
                <w:right w:val="none" w:sz="0" w:space="0" w:color="auto"/>
              </w:divBdr>
            </w:div>
          </w:divsChild>
        </w:div>
        <w:div w:id="997735875">
          <w:marLeft w:val="0"/>
          <w:marRight w:val="0"/>
          <w:marTop w:val="0"/>
          <w:marBottom w:val="0"/>
          <w:divBdr>
            <w:top w:val="none" w:sz="0" w:space="0" w:color="auto"/>
            <w:left w:val="none" w:sz="0" w:space="0" w:color="auto"/>
            <w:bottom w:val="none" w:sz="0" w:space="0" w:color="auto"/>
            <w:right w:val="none" w:sz="0" w:space="0" w:color="auto"/>
          </w:divBdr>
          <w:divsChild>
            <w:div w:id="180970948">
              <w:marLeft w:val="0"/>
              <w:marRight w:val="0"/>
              <w:marTop w:val="0"/>
              <w:marBottom w:val="0"/>
              <w:divBdr>
                <w:top w:val="none" w:sz="0" w:space="0" w:color="auto"/>
                <w:left w:val="none" w:sz="0" w:space="0" w:color="auto"/>
                <w:bottom w:val="none" w:sz="0" w:space="0" w:color="auto"/>
                <w:right w:val="none" w:sz="0" w:space="0" w:color="auto"/>
              </w:divBdr>
            </w:div>
          </w:divsChild>
        </w:div>
        <w:div w:id="1129788872">
          <w:marLeft w:val="0"/>
          <w:marRight w:val="0"/>
          <w:marTop w:val="0"/>
          <w:marBottom w:val="0"/>
          <w:divBdr>
            <w:top w:val="none" w:sz="0" w:space="0" w:color="auto"/>
            <w:left w:val="none" w:sz="0" w:space="0" w:color="auto"/>
            <w:bottom w:val="none" w:sz="0" w:space="0" w:color="auto"/>
            <w:right w:val="none" w:sz="0" w:space="0" w:color="auto"/>
          </w:divBdr>
          <w:divsChild>
            <w:div w:id="404228972">
              <w:marLeft w:val="0"/>
              <w:marRight w:val="0"/>
              <w:marTop w:val="0"/>
              <w:marBottom w:val="0"/>
              <w:divBdr>
                <w:top w:val="none" w:sz="0" w:space="0" w:color="auto"/>
                <w:left w:val="none" w:sz="0" w:space="0" w:color="auto"/>
                <w:bottom w:val="none" w:sz="0" w:space="0" w:color="auto"/>
                <w:right w:val="none" w:sz="0" w:space="0" w:color="auto"/>
              </w:divBdr>
            </w:div>
          </w:divsChild>
        </w:div>
        <w:div w:id="1176847313">
          <w:marLeft w:val="0"/>
          <w:marRight w:val="0"/>
          <w:marTop w:val="0"/>
          <w:marBottom w:val="0"/>
          <w:divBdr>
            <w:top w:val="none" w:sz="0" w:space="0" w:color="auto"/>
            <w:left w:val="none" w:sz="0" w:space="0" w:color="auto"/>
            <w:bottom w:val="none" w:sz="0" w:space="0" w:color="auto"/>
            <w:right w:val="none" w:sz="0" w:space="0" w:color="auto"/>
          </w:divBdr>
          <w:divsChild>
            <w:div w:id="1413698878">
              <w:marLeft w:val="0"/>
              <w:marRight w:val="0"/>
              <w:marTop w:val="0"/>
              <w:marBottom w:val="0"/>
              <w:divBdr>
                <w:top w:val="none" w:sz="0" w:space="0" w:color="auto"/>
                <w:left w:val="none" w:sz="0" w:space="0" w:color="auto"/>
                <w:bottom w:val="none" w:sz="0" w:space="0" w:color="auto"/>
                <w:right w:val="none" w:sz="0" w:space="0" w:color="auto"/>
              </w:divBdr>
            </w:div>
          </w:divsChild>
        </w:div>
        <w:div w:id="1191452027">
          <w:marLeft w:val="0"/>
          <w:marRight w:val="0"/>
          <w:marTop w:val="0"/>
          <w:marBottom w:val="0"/>
          <w:divBdr>
            <w:top w:val="none" w:sz="0" w:space="0" w:color="auto"/>
            <w:left w:val="none" w:sz="0" w:space="0" w:color="auto"/>
            <w:bottom w:val="none" w:sz="0" w:space="0" w:color="auto"/>
            <w:right w:val="none" w:sz="0" w:space="0" w:color="auto"/>
          </w:divBdr>
          <w:divsChild>
            <w:div w:id="2030133994">
              <w:marLeft w:val="0"/>
              <w:marRight w:val="0"/>
              <w:marTop w:val="0"/>
              <w:marBottom w:val="0"/>
              <w:divBdr>
                <w:top w:val="none" w:sz="0" w:space="0" w:color="auto"/>
                <w:left w:val="none" w:sz="0" w:space="0" w:color="auto"/>
                <w:bottom w:val="none" w:sz="0" w:space="0" w:color="auto"/>
                <w:right w:val="none" w:sz="0" w:space="0" w:color="auto"/>
              </w:divBdr>
            </w:div>
          </w:divsChild>
        </w:div>
        <w:div w:id="1192769584">
          <w:marLeft w:val="0"/>
          <w:marRight w:val="0"/>
          <w:marTop w:val="0"/>
          <w:marBottom w:val="0"/>
          <w:divBdr>
            <w:top w:val="none" w:sz="0" w:space="0" w:color="auto"/>
            <w:left w:val="none" w:sz="0" w:space="0" w:color="auto"/>
            <w:bottom w:val="none" w:sz="0" w:space="0" w:color="auto"/>
            <w:right w:val="none" w:sz="0" w:space="0" w:color="auto"/>
          </w:divBdr>
          <w:divsChild>
            <w:div w:id="1147086612">
              <w:marLeft w:val="0"/>
              <w:marRight w:val="0"/>
              <w:marTop w:val="0"/>
              <w:marBottom w:val="0"/>
              <w:divBdr>
                <w:top w:val="none" w:sz="0" w:space="0" w:color="auto"/>
                <w:left w:val="none" w:sz="0" w:space="0" w:color="auto"/>
                <w:bottom w:val="none" w:sz="0" w:space="0" w:color="auto"/>
                <w:right w:val="none" w:sz="0" w:space="0" w:color="auto"/>
              </w:divBdr>
            </w:div>
          </w:divsChild>
        </w:div>
        <w:div w:id="1193417273">
          <w:marLeft w:val="0"/>
          <w:marRight w:val="0"/>
          <w:marTop w:val="0"/>
          <w:marBottom w:val="0"/>
          <w:divBdr>
            <w:top w:val="none" w:sz="0" w:space="0" w:color="auto"/>
            <w:left w:val="none" w:sz="0" w:space="0" w:color="auto"/>
            <w:bottom w:val="none" w:sz="0" w:space="0" w:color="auto"/>
            <w:right w:val="none" w:sz="0" w:space="0" w:color="auto"/>
          </w:divBdr>
          <w:divsChild>
            <w:div w:id="796752186">
              <w:marLeft w:val="0"/>
              <w:marRight w:val="0"/>
              <w:marTop w:val="0"/>
              <w:marBottom w:val="0"/>
              <w:divBdr>
                <w:top w:val="none" w:sz="0" w:space="0" w:color="auto"/>
                <w:left w:val="none" w:sz="0" w:space="0" w:color="auto"/>
                <w:bottom w:val="none" w:sz="0" w:space="0" w:color="auto"/>
                <w:right w:val="none" w:sz="0" w:space="0" w:color="auto"/>
              </w:divBdr>
            </w:div>
          </w:divsChild>
        </w:div>
        <w:div w:id="1238638551">
          <w:marLeft w:val="0"/>
          <w:marRight w:val="0"/>
          <w:marTop w:val="0"/>
          <w:marBottom w:val="0"/>
          <w:divBdr>
            <w:top w:val="none" w:sz="0" w:space="0" w:color="auto"/>
            <w:left w:val="none" w:sz="0" w:space="0" w:color="auto"/>
            <w:bottom w:val="none" w:sz="0" w:space="0" w:color="auto"/>
            <w:right w:val="none" w:sz="0" w:space="0" w:color="auto"/>
          </w:divBdr>
          <w:divsChild>
            <w:div w:id="2029407659">
              <w:marLeft w:val="0"/>
              <w:marRight w:val="0"/>
              <w:marTop w:val="0"/>
              <w:marBottom w:val="0"/>
              <w:divBdr>
                <w:top w:val="none" w:sz="0" w:space="0" w:color="auto"/>
                <w:left w:val="none" w:sz="0" w:space="0" w:color="auto"/>
                <w:bottom w:val="none" w:sz="0" w:space="0" w:color="auto"/>
                <w:right w:val="none" w:sz="0" w:space="0" w:color="auto"/>
              </w:divBdr>
            </w:div>
          </w:divsChild>
        </w:div>
        <w:div w:id="1268582562">
          <w:marLeft w:val="0"/>
          <w:marRight w:val="0"/>
          <w:marTop w:val="0"/>
          <w:marBottom w:val="0"/>
          <w:divBdr>
            <w:top w:val="none" w:sz="0" w:space="0" w:color="auto"/>
            <w:left w:val="none" w:sz="0" w:space="0" w:color="auto"/>
            <w:bottom w:val="none" w:sz="0" w:space="0" w:color="auto"/>
            <w:right w:val="none" w:sz="0" w:space="0" w:color="auto"/>
          </w:divBdr>
          <w:divsChild>
            <w:div w:id="1935741955">
              <w:marLeft w:val="0"/>
              <w:marRight w:val="0"/>
              <w:marTop w:val="0"/>
              <w:marBottom w:val="0"/>
              <w:divBdr>
                <w:top w:val="none" w:sz="0" w:space="0" w:color="auto"/>
                <w:left w:val="none" w:sz="0" w:space="0" w:color="auto"/>
                <w:bottom w:val="none" w:sz="0" w:space="0" w:color="auto"/>
                <w:right w:val="none" w:sz="0" w:space="0" w:color="auto"/>
              </w:divBdr>
            </w:div>
          </w:divsChild>
        </w:div>
        <w:div w:id="1329483305">
          <w:marLeft w:val="0"/>
          <w:marRight w:val="0"/>
          <w:marTop w:val="0"/>
          <w:marBottom w:val="0"/>
          <w:divBdr>
            <w:top w:val="none" w:sz="0" w:space="0" w:color="auto"/>
            <w:left w:val="none" w:sz="0" w:space="0" w:color="auto"/>
            <w:bottom w:val="none" w:sz="0" w:space="0" w:color="auto"/>
            <w:right w:val="none" w:sz="0" w:space="0" w:color="auto"/>
          </w:divBdr>
          <w:divsChild>
            <w:div w:id="322856068">
              <w:marLeft w:val="0"/>
              <w:marRight w:val="0"/>
              <w:marTop w:val="0"/>
              <w:marBottom w:val="0"/>
              <w:divBdr>
                <w:top w:val="none" w:sz="0" w:space="0" w:color="auto"/>
                <w:left w:val="none" w:sz="0" w:space="0" w:color="auto"/>
                <w:bottom w:val="none" w:sz="0" w:space="0" w:color="auto"/>
                <w:right w:val="none" w:sz="0" w:space="0" w:color="auto"/>
              </w:divBdr>
            </w:div>
          </w:divsChild>
        </w:div>
        <w:div w:id="1421218068">
          <w:marLeft w:val="0"/>
          <w:marRight w:val="0"/>
          <w:marTop w:val="0"/>
          <w:marBottom w:val="0"/>
          <w:divBdr>
            <w:top w:val="none" w:sz="0" w:space="0" w:color="auto"/>
            <w:left w:val="none" w:sz="0" w:space="0" w:color="auto"/>
            <w:bottom w:val="none" w:sz="0" w:space="0" w:color="auto"/>
            <w:right w:val="none" w:sz="0" w:space="0" w:color="auto"/>
          </w:divBdr>
          <w:divsChild>
            <w:div w:id="1314792689">
              <w:marLeft w:val="0"/>
              <w:marRight w:val="0"/>
              <w:marTop w:val="0"/>
              <w:marBottom w:val="0"/>
              <w:divBdr>
                <w:top w:val="none" w:sz="0" w:space="0" w:color="auto"/>
                <w:left w:val="none" w:sz="0" w:space="0" w:color="auto"/>
                <w:bottom w:val="none" w:sz="0" w:space="0" w:color="auto"/>
                <w:right w:val="none" w:sz="0" w:space="0" w:color="auto"/>
              </w:divBdr>
            </w:div>
          </w:divsChild>
        </w:div>
        <w:div w:id="1477408440">
          <w:marLeft w:val="0"/>
          <w:marRight w:val="0"/>
          <w:marTop w:val="0"/>
          <w:marBottom w:val="0"/>
          <w:divBdr>
            <w:top w:val="none" w:sz="0" w:space="0" w:color="auto"/>
            <w:left w:val="none" w:sz="0" w:space="0" w:color="auto"/>
            <w:bottom w:val="none" w:sz="0" w:space="0" w:color="auto"/>
            <w:right w:val="none" w:sz="0" w:space="0" w:color="auto"/>
          </w:divBdr>
          <w:divsChild>
            <w:div w:id="264843770">
              <w:marLeft w:val="0"/>
              <w:marRight w:val="0"/>
              <w:marTop w:val="0"/>
              <w:marBottom w:val="0"/>
              <w:divBdr>
                <w:top w:val="none" w:sz="0" w:space="0" w:color="auto"/>
                <w:left w:val="none" w:sz="0" w:space="0" w:color="auto"/>
                <w:bottom w:val="none" w:sz="0" w:space="0" w:color="auto"/>
                <w:right w:val="none" w:sz="0" w:space="0" w:color="auto"/>
              </w:divBdr>
            </w:div>
          </w:divsChild>
        </w:div>
        <w:div w:id="1607038948">
          <w:marLeft w:val="0"/>
          <w:marRight w:val="0"/>
          <w:marTop w:val="0"/>
          <w:marBottom w:val="0"/>
          <w:divBdr>
            <w:top w:val="none" w:sz="0" w:space="0" w:color="auto"/>
            <w:left w:val="none" w:sz="0" w:space="0" w:color="auto"/>
            <w:bottom w:val="none" w:sz="0" w:space="0" w:color="auto"/>
            <w:right w:val="none" w:sz="0" w:space="0" w:color="auto"/>
          </w:divBdr>
          <w:divsChild>
            <w:div w:id="695228621">
              <w:marLeft w:val="0"/>
              <w:marRight w:val="0"/>
              <w:marTop w:val="0"/>
              <w:marBottom w:val="0"/>
              <w:divBdr>
                <w:top w:val="none" w:sz="0" w:space="0" w:color="auto"/>
                <w:left w:val="none" w:sz="0" w:space="0" w:color="auto"/>
                <w:bottom w:val="none" w:sz="0" w:space="0" w:color="auto"/>
                <w:right w:val="none" w:sz="0" w:space="0" w:color="auto"/>
              </w:divBdr>
            </w:div>
          </w:divsChild>
        </w:div>
        <w:div w:id="2066293175">
          <w:marLeft w:val="0"/>
          <w:marRight w:val="0"/>
          <w:marTop w:val="0"/>
          <w:marBottom w:val="0"/>
          <w:divBdr>
            <w:top w:val="none" w:sz="0" w:space="0" w:color="auto"/>
            <w:left w:val="none" w:sz="0" w:space="0" w:color="auto"/>
            <w:bottom w:val="none" w:sz="0" w:space="0" w:color="auto"/>
            <w:right w:val="none" w:sz="0" w:space="0" w:color="auto"/>
          </w:divBdr>
          <w:divsChild>
            <w:div w:id="276256624">
              <w:marLeft w:val="0"/>
              <w:marRight w:val="0"/>
              <w:marTop w:val="0"/>
              <w:marBottom w:val="0"/>
              <w:divBdr>
                <w:top w:val="none" w:sz="0" w:space="0" w:color="auto"/>
                <w:left w:val="none" w:sz="0" w:space="0" w:color="auto"/>
                <w:bottom w:val="none" w:sz="0" w:space="0" w:color="auto"/>
                <w:right w:val="none" w:sz="0" w:space="0" w:color="auto"/>
              </w:divBdr>
            </w:div>
          </w:divsChild>
        </w:div>
        <w:div w:id="2073189286">
          <w:marLeft w:val="0"/>
          <w:marRight w:val="0"/>
          <w:marTop w:val="0"/>
          <w:marBottom w:val="0"/>
          <w:divBdr>
            <w:top w:val="none" w:sz="0" w:space="0" w:color="auto"/>
            <w:left w:val="none" w:sz="0" w:space="0" w:color="auto"/>
            <w:bottom w:val="none" w:sz="0" w:space="0" w:color="auto"/>
            <w:right w:val="none" w:sz="0" w:space="0" w:color="auto"/>
          </w:divBdr>
          <w:divsChild>
            <w:div w:id="1364943155">
              <w:marLeft w:val="0"/>
              <w:marRight w:val="0"/>
              <w:marTop w:val="0"/>
              <w:marBottom w:val="0"/>
              <w:divBdr>
                <w:top w:val="none" w:sz="0" w:space="0" w:color="auto"/>
                <w:left w:val="none" w:sz="0" w:space="0" w:color="auto"/>
                <w:bottom w:val="none" w:sz="0" w:space="0" w:color="auto"/>
                <w:right w:val="none" w:sz="0" w:space="0" w:color="auto"/>
              </w:divBdr>
            </w:div>
          </w:divsChild>
        </w:div>
        <w:div w:id="2114133994">
          <w:marLeft w:val="0"/>
          <w:marRight w:val="0"/>
          <w:marTop w:val="0"/>
          <w:marBottom w:val="0"/>
          <w:divBdr>
            <w:top w:val="none" w:sz="0" w:space="0" w:color="auto"/>
            <w:left w:val="none" w:sz="0" w:space="0" w:color="auto"/>
            <w:bottom w:val="none" w:sz="0" w:space="0" w:color="auto"/>
            <w:right w:val="none" w:sz="0" w:space="0" w:color="auto"/>
          </w:divBdr>
          <w:divsChild>
            <w:div w:id="51442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050622">
      <w:bodyDiv w:val="1"/>
      <w:marLeft w:val="0"/>
      <w:marRight w:val="0"/>
      <w:marTop w:val="0"/>
      <w:marBottom w:val="0"/>
      <w:divBdr>
        <w:top w:val="none" w:sz="0" w:space="0" w:color="auto"/>
        <w:left w:val="none" w:sz="0" w:space="0" w:color="auto"/>
        <w:bottom w:val="none" w:sz="0" w:space="0" w:color="auto"/>
        <w:right w:val="none" w:sz="0" w:space="0" w:color="auto"/>
      </w:divBdr>
    </w:div>
    <w:div w:id="970986310">
      <w:bodyDiv w:val="1"/>
      <w:marLeft w:val="0"/>
      <w:marRight w:val="0"/>
      <w:marTop w:val="0"/>
      <w:marBottom w:val="0"/>
      <w:divBdr>
        <w:top w:val="none" w:sz="0" w:space="0" w:color="auto"/>
        <w:left w:val="none" w:sz="0" w:space="0" w:color="auto"/>
        <w:bottom w:val="none" w:sz="0" w:space="0" w:color="auto"/>
        <w:right w:val="none" w:sz="0" w:space="0" w:color="auto"/>
      </w:divBdr>
      <w:divsChild>
        <w:div w:id="175845286">
          <w:marLeft w:val="0"/>
          <w:marRight w:val="0"/>
          <w:marTop w:val="0"/>
          <w:marBottom w:val="0"/>
          <w:divBdr>
            <w:top w:val="none" w:sz="0" w:space="0" w:color="auto"/>
            <w:left w:val="none" w:sz="0" w:space="0" w:color="auto"/>
            <w:bottom w:val="none" w:sz="0" w:space="0" w:color="auto"/>
            <w:right w:val="none" w:sz="0" w:space="0" w:color="auto"/>
          </w:divBdr>
          <w:divsChild>
            <w:div w:id="490876711">
              <w:marLeft w:val="0"/>
              <w:marRight w:val="0"/>
              <w:marTop w:val="0"/>
              <w:marBottom w:val="0"/>
              <w:divBdr>
                <w:top w:val="none" w:sz="0" w:space="0" w:color="auto"/>
                <w:left w:val="none" w:sz="0" w:space="0" w:color="auto"/>
                <w:bottom w:val="none" w:sz="0" w:space="0" w:color="auto"/>
                <w:right w:val="none" w:sz="0" w:space="0" w:color="auto"/>
              </w:divBdr>
            </w:div>
          </w:divsChild>
        </w:div>
        <w:div w:id="195774835">
          <w:marLeft w:val="0"/>
          <w:marRight w:val="0"/>
          <w:marTop w:val="0"/>
          <w:marBottom w:val="0"/>
          <w:divBdr>
            <w:top w:val="none" w:sz="0" w:space="0" w:color="auto"/>
            <w:left w:val="none" w:sz="0" w:space="0" w:color="auto"/>
            <w:bottom w:val="none" w:sz="0" w:space="0" w:color="auto"/>
            <w:right w:val="none" w:sz="0" w:space="0" w:color="auto"/>
          </w:divBdr>
          <w:divsChild>
            <w:div w:id="1244530238">
              <w:marLeft w:val="0"/>
              <w:marRight w:val="0"/>
              <w:marTop w:val="0"/>
              <w:marBottom w:val="0"/>
              <w:divBdr>
                <w:top w:val="none" w:sz="0" w:space="0" w:color="auto"/>
                <w:left w:val="none" w:sz="0" w:space="0" w:color="auto"/>
                <w:bottom w:val="none" w:sz="0" w:space="0" w:color="auto"/>
                <w:right w:val="none" w:sz="0" w:space="0" w:color="auto"/>
              </w:divBdr>
            </w:div>
          </w:divsChild>
        </w:div>
        <w:div w:id="442192734">
          <w:marLeft w:val="0"/>
          <w:marRight w:val="0"/>
          <w:marTop w:val="0"/>
          <w:marBottom w:val="0"/>
          <w:divBdr>
            <w:top w:val="none" w:sz="0" w:space="0" w:color="auto"/>
            <w:left w:val="none" w:sz="0" w:space="0" w:color="auto"/>
            <w:bottom w:val="none" w:sz="0" w:space="0" w:color="auto"/>
            <w:right w:val="none" w:sz="0" w:space="0" w:color="auto"/>
          </w:divBdr>
          <w:divsChild>
            <w:div w:id="1381515112">
              <w:marLeft w:val="0"/>
              <w:marRight w:val="0"/>
              <w:marTop w:val="0"/>
              <w:marBottom w:val="0"/>
              <w:divBdr>
                <w:top w:val="none" w:sz="0" w:space="0" w:color="auto"/>
                <w:left w:val="none" w:sz="0" w:space="0" w:color="auto"/>
                <w:bottom w:val="none" w:sz="0" w:space="0" w:color="auto"/>
                <w:right w:val="none" w:sz="0" w:space="0" w:color="auto"/>
              </w:divBdr>
            </w:div>
          </w:divsChild>
        </w:div>
        <w:div w:id="452675090">
          <w:marLeft w:val="0"/>
          <w:marRight w:val="0"/>
          <w:marTop w:val="0"/>
          <w:marBottom w:val="0"/>
          <w:divBdr>
            <w:top w:val="none" w:sz="0" w:space="0" w:color="auto"/>
            <w:left w:val="none" w:sz="0" w:space="0" w:color="auto"/>
            <w:bottom w:val="none" w:sz="0" w:space="0" w:color="auto"/>
            <w:right w:val="none" w:sz="0" w:space="0" w:color="auto"/>
          </w:divBdr>
          <w:divsChild>
            <w:div w:id="1363700911">
              <w:marLeft w:val="0"/>
              <w:marRight w:val="0"/>
              <w:marTop w:val="0"/>
              <w:marBottom w:val="0"/>
              <w:divBdr>
                <w:top w:val="none" w:sz="0" w:space="0" w:color="auto"/>
                <w:left w:val="none" w:sz="0" w:space="0" w:color="auto"/>
                <w:bottom w:val="none" w:sz="0" w:space="0" w:color="auto"/>
                <w:right w:val="none" w:sz="0" w:space="0" w:color="auto"/>
              </w:divBdr>
            </w:div>
          </w:divsChild>
        </w:div>
        <w:div w:id="464666846">
          <w:marLeft w:val="0"/>
          <w:marRight w:val="0"/>
          <w:marTop w:val="0"/>
          <w:marBottom w:val="0"/>
          <w:divBdr>
            <w:top w:val="none" w:sz="0" w:space="0" w:color="auto"/>
            <w:left w:val="none" w:sz="0" w:space="0" w:color="auto"/>
            <w:bottom w:val="none" w:sz="0" w:space="0" w:color="auto"/>
            <w:right w:val="none" w:sz="0" w:space="0" w:color="auto"/>
          </w:divBdr>
          <w:divsChild>
            <w:div w:id="1651665451">
              <w:marLeft w:val="0"/>
              <w:marRight w:val="0"/>
              <w:marTop w:val="0"/>
              <w:marBottom w:val="0"/>
              <w:divBdr>
                <w:top w:val="none" w:sz="0" w:space="0" w:color="auto"/>
                <w:left w:val="none" w:sz="0" w:space="0" w:color="auto"/>
                <w:bottom w:val="none" w:sz="0" w:space="0" w:color="auto"/>
                <w:right w:val="none" w:sz="0" w:space="0" w:color="auto"/>
              </w:divBdr>
            </w:div>
          </w:divsChild>
        </w:div>
        <w:div w:id="496459659">
          <w:marLeft w:val="0"/>
          <w:marRight w:val="0"/>
          <w:marTop w:val="0"/>
          <w:marBottom w:val="0"/>
          <w:divBdr>
            <w:top w:val="none" w:sz="0" w:space="0" w:color="auto"/>
            <w:left w:val="none" w:sz="0" w:space="0" w:color="auto"/>
            <w:bottom w:val="none" w:sz="0" w:space="0" w:color="auto"/>
            <w:right w:val="none" w:sz="0" w:space="0" w:color="auto"/>
          </w:divBdr>
          <w:divsChild>
            <w:div w:id="2053383855">
              <w:marLeft w:val="0"/>
              <w:marRight w:val="0"/>
              <w:marTop w:val="0"/>
              <w:marBottom w:val="0"/>
              <w:divBdr>
                <w:top w:val="none" w:sz="0" w:space="0" w:color="auto"/>
                <w:left w:val="none" w:sz="0" w:space="0" w:color="auto"/>
                <w:bottom w:val="none" w:sz="0" w:space="0" w:color="auto"/>
                <w:right w:val="none" w:sz="0" w:space="0" w:color="auto"/>
              </w:divBdr>
            </w:div>
          </w:divsChild>
        </w:div>
        <w:div w:id="525675042">
          <w:marLeft w:val="0"/>
          <w:marRight w:val="0"/>
          <w:marTop w:val="0"/>
          <w:marBottom w:val="0"/>
          <w:divBdr>
            <w:top w:val="none" w:sz="0" w:space="0" w:color="auto"/>
            <w:left w:val="none" w:sz="0" w:space="0" w:color="auto"/>
            <w:bottom w:val="none" w:sz="0" w:space="0" w:color="auto"/>
            <w:right w:val="none" w:sz="0" w:space="0" w:color="auto"/>
          </w:divBdr>
          <w:divsChild>
            <w:div w:id="1096633020">
              <w:marLeft w:val="0"/>
              <w:marRight w:val="0"/>
              <w:marTop w:val="0"/>
              <w:marBottom w:val="0"/>
              <w:divBdr>
                <w:top w:val="none" w:sz="0" w:space="0" w:color="auto"/>
                <w:left w:val="none" w:sz="0" w:space="0" w:color="auto"/>
                <w:bottom w:val="none" w:sz="0" w:space="0" w:color="auto"/>
                <w:right w:val="none" w:sz="0" w:space="0" w:color="auto"/>
              </w:divBdr>
            </w:div>
          </w:divsChild>
        </w:div>
        <w:div w:id="615984641">
          <w:marLeft w:val="0"/>
          <w:marRight w:val="0"/>
          <w:marTop w:val="0"/>
          <w:marBottom w:val="0"/>
          <w:divBdr>
            <w:top w:val="none" w:sz="0" w:space="0" w:color="auto"/>
            <w:left w:val="none" w:sz="0" w:space="0" w:color="auto"/>
            <w:bottom w:val="none" w:sz="0" w:space="0" w:color="auto"/>
            <w:right w:val="none" w:sz="0" w:space="0" w:color="auto"/>
          </w:divBdr>
          <w:divsChild>
            <w:div w:id="924726273">
              <w:marLeft w:val="0"/>
              <w:marRight w:val="0"/>
              <w:marTop w:val="0"/>
              <w:marBottom w:val="0"/>
              <w:divBdr>
                <w:top w:val="none" w:sz="0" w:space="0" w:color="auto"/>
                <w:left w:val="none" w:sz="0" w:space="0" w:color="auto"/>
                <w:bottom w:val="none" w:sz="0" w:space="0" w:color="auto"/>
                <w:right w:val="none" w:sz="0" w:space="0" w:color="auto"/>
              </w:divBdr>
            </w:div>
            <w:div w:id="1455978472">
              <w:marLeft w:val="0"/>
              <w:marRight w:val="0"/>
              <w:marTop w:val="0"/>
              <w:marBottom w:val="0"/>
              <w:divBdr>
                <w:top w:val="none" w:sz="0" w:space="0" w:color="auto"/>
                <w:left w:val="none" w:sz="0" w:space="0" w:color="auto"/>
                <w:bottom w:val="none" w:sz="0" w:space="0" w:color="auto"/>
                <w:right w:val="none" w:sz="0" w:space="0" w:color="auto"/>
              </w:divBdr>
            </w:div>
          </w:divsChild>
        </w:div>
        <w:div w:id="661086082">
          <w:marLeft w:val="0"/>
          <w:marRight w:val="0"/>
          <w:marTop w:val="0"/>
          <w:marBottom w:val="0"/>
          <w:divBdr>
            <w:top w:val="none" w:sz="0" w:space="0" w:color="auto"/>
            <w:left w:val="none" w:sz="0" w:space="0" w:color="auto"/>
            <w:bottom w:val="none" w:sz="0" w:space="0" w:color="auto"/>
            <w:right w:val="none" w:sz="0" w:space="0" w:color="auto"/>
          </w:divBdr>
          <w:divsChild>
            <w:div w:id="370499141">
              <w:marLeft w:val="0"/>
              <w:marRight w:val="0"/>
              <w:marTop w:val="0"/>
              <w:marBottom w:val="0"/>
              <w:divBdr>
                <w:top w:val="none" w:sz="0" w:space="0" w:color="auto"/>
                <w:left w:val="none" w:sz="0" w:space="0" w:color="auto"/>
                <w:bottom w:val="none" w:sz="0" w:space="0" w:color="auto"/>
                <w:right w:val="none" w:sz="0" w:space="0" w:color="auto"/>
              </w:divBdr>
            </w:div>
          </w:divsChild>
        </w:div>
        <w:div w:id="701515065">
          <w:marLeft w:val="0"/>
          <w:marRight w:val="0"/>
          <w:marTop w:val="0"/>
          <w:marBottom w:val="0"/>
          <w:divBdr>
            <w:top w:val="none" w:sz="0" w:space="0" w:color="auto"/>
            <w:left w:val="none" w:sz="0" w:space="0" w:color="auto"/>
            <w:bottom w:val="none" w:sz="0" w:space="0" w:color="auto"/>
            <w:right w:val="none" w:sz="0" w:space="0" w:color="auto"/>
          </w:divBdr>
          <w:divsChild>
            <w:div w:id="1411199397">
              <w:marLeft w:val="0"/>
              <w:marRight w:val="0"/>
              <w:marTop w:val="0"/>
              <w:marBottom w:val="0"/>
              <w:divBdr>
                <w:top w:val="none" w:sz="0" w:space="0" w:color="auto"/>
                <w:left w:val="none" w:sz="0" w:space="0" w:color="auto"/>
                <w:bottom w:val="none" w:sz="0" w:space="0" w:color="auto"/>
                <w:right w:val="none" w:sz="0" w:space="0" w:color="auto"/>
              </w:divBdr>
            </w:div>
          </w:divsChild>
        </w:div>
        <w:div w:id="788207575">
          <w:marLeft w:val="0"/>
          <w:marRight w:val="0"/>
          <w:marTop w:val="0"/>
          <w:marBottom w:val="0"/>
          <w:divBdr>
            <w:top w:val="none" w:sz="0" w:space="0" w:color="auto"/>
            <w:left w:val="none" w:sz="0" w:space="0" w:color="auto"/>
            <w:bottom w:val="none" w:sz="0" w:space="0" w:color="auto"/>
            <w:right w:val="none" w:sz="0" w:space="0" w:color="auto"/>
          </w:divBdr>
          <w:divsChild>
            <w:div w:id="2127381833">
              <w:marLeft w:val="0"/>
              <w:marRight w:val="0"/>
              <w:marTop w:val="0"/>
              <w:marBottom w:val="0"/>
              <w:divBdr>
                <w:top w:val="none" w:sz="0" w:space="0" w:color="auto"/>
                <w:left w:val="none" w:sz="0" w:space="0" w:color="auto"/>
                <w:bottom w:val="none" w:sz="0" w:space="0" w:color="auto"/>
                <w:right w:val="none" w:sz="0" w:space="0" w:color="auto"/>
              </w:divBdr>
            </w:div>
          </w:divsChild>
        </w:div>
        <w:div w:id="846098106">
          <w:marLeft w:val="0"/>
          <w:marRight w:val="0"/>
          <w:marTop w:val="0"/>
          <w:marBottom w:val="0"/>
          <w:divBdr>
            <w:top w:val="none" w:sz="0" w:space="0" w:color="auto"/>
            <w:left w:val="none" w:sz="0" w:space="0" w:color="auto"/>
            <w:bottom w:val="none" w:sz="0" w:space="0" w:color="auto"/>
            <w:right w:val="none" w:sz="0" w:space="0" w:color="auto"/>
          </w:divBdr>
          <w:divsChild>
            <w:div w:id="1913202218">
              <w:marLeft w:val="0"/>
              <w:marRight w:val="0"/>
              <w:marTop w:val="0"/>
              <w:marBottom w:val="0"/>
              <w:divBdr>
                <w:top w:val="none" w:sz="0" w:space="0" w:color="auto"/>
                <w:left w:val="none" w:sz="0" w:space="0" w:color="auto"/>
                <w:bottom w:val="none" w:sz="0" w:space="0" w:color="auto"/>
                <w:right w:val="none" w:sz="0" w:space="0" w:color="auto"/>
              </w:divBdr>
            </w:div>
          </w:divsChild>
        </w:div>
        <w:div w:id="1018889501">
          <w:marLeft w:val="0"/>
          <w:marRight w:val="0"/>
          <w:marTop w:val="0"/>
          <w:marBottom w:val="0"/>
          <w:divBdr>
            <w:top w:val="none" w:sz="0" w:space="0" w:color="auto"/>
            <w:left w:val="none" w:sz="0" w:space="0" w:color="auto"/>
            <w:bottom w:val="none" w:sz="0" w:space="0" w:color="auto"/>
            <w:right w:val="none" w:sz="0" w:space="0" w:color="auto"/>
          </w:divBdr>
          <w:divsChild>
            <w:div w:id="533080322">
              <w:marLeft w:val="0"/>
              <w:marRight w:val="0"/>
              <w:marTop w:val="0"/>
              <w:marBottom w:val="0"/>
              <w:divBdr>
                <w:top w:val="none" w:sz="0" w:space="0" w:color="auto"/>
                <w:left w:val="none" w:sz="0" w:space="0" w:color="auto"/>
                <w:bottom w:val="none" w:sz="0" w:space="0" w:color="auto"/>
                <w:right w:val="none" w:sz="0" w:space="0" w:color="auto"/>
              </w:divBdr>
            </w:div>
          </w:divsChild>
        </w:div>
        <w:div w:id="1038312293">
          <w:marLeft w:val="0"/>
          <w:marRight w:val="0"/>
          <w:marTop w:val="0"/>
          <w:marBottom w:val="0"/>
          <w:divBdr>
            <w:top w:val="none" w:sz="0" w:space="0" w:color="auto"/>
            <w:left w:val="none" w:sz="0" w:space="0" w:color="auto"/>
            <w:bottom w:val="none" w:sz="0" w:space="0" w:color="auto"/>
            <w:right w:val="none" w:sz="0" w:space="0" w:color="auto"/>
          </w:divBdr>
          <w:divsChild>
            <w:div w:id="1988777738">
              <w:marLeft w:val="0"/>
              <w:marRight w:val="0"/>
              <w:marTop w:val="0"/>
              <w:marBottom w:val="0"/>
              <w:divBdr>
                <w:top w:val="none" w:sz="0" w:space="0" w:color="auto"/>
                <w:left w:val="none" w:sz="0" w:space="0" w:color="auto"/>
                <w:bottom w:val="none" w:sz="0" w:space="0" w:color="auto"/>
                <w:right w:val="none" w:sz="0" w:space="0" w:color="auto"/>
              </w:divBdr>
            </w:div>
          </w:divsChild>
        </w:div>
        <w:div w:id="1063911605">
          <w:marLeft w:val="0"/>
          <w:marRight w:val="0"/>
          <w:marTop w:val="0"/>
          <w:marBottom w:val="0"/>
          <w:divBdr>
            <w:top w:val="none" w:sz="0" w:space="0" w:color="auto"/>
            <w:left w:val="none" w:sz="0" w:space="0" w:color="auto"/>
            <w:bottom w:val="none" w:sz="0" w:space="0" w:color="auto"/>
            <w:right w:val="none" w:sz="0" w:space="0" w:color="auto"/>
          </w:divBdr>
          <w:divsChild>
            <w:div w:id="2011984989">
              <w:marLeft w:val="0"/>
              <w:marRight w:val="0"/>
              <w:marTop w:val="0"/>
              <w:marBottom w:val="0"/>
              <w:divBdr>
                <w:top w:val="none" w:sz="0" w:space="0" w:color="auto"/>
                <w:left w:val="none" w:sz="0" w:space="0" w:color="auto"/>
                <w:bottom w:val="none" w:sz="0" w:space="0" w:color="auto"/>
                <w:right w:val="none" w:sz="0" w:space="0" w:color="auto"/>
              </w:divBdr>
            </w:div>
          </w:divsChild>
        </w:div>
        <w:div w:id="1178470984">
          <w:marLeft w:val="0"/>
          <w:marRight w:val="0"/>
          <w:marTop w:val="0"/>
          <w:marBottom w:val="0"/>
          <w:divBdr>
            <w:top w:val="none" w:sz="0" w:space="0" w:color="auto"/>
            <w:left w:val="none" w:sz="0" w:space="0" w:color="auto"/>
            <w:bottom w:val="none" w:sz="0" w:space="0" w:color="auto"/>
            <w:right w:val="none" w:sz="0" w:space="0" w:color="auto"/>
          </w:divBdr>
          <w:divsChild>
            <w:div w:id="1624967267">
              <w:marLeft w:val="0"/>
              <w:marRight w:val="0"/>
              <w:marTop w:val="0"/>
              <w:marBottom w:val="0"/>
              <w:divBdr>
                <w:top w:val="none" w:sz="0" w:space="0" w:color="auto"/>
                <w:left w:val="none" w:sz="0" w:space="0" w:color="auto"/>
                <w:bottom w:val="none" w:sz="0" w:space="0" w:color="auto"/>
                <w:right w:val="none" w:sz="0" w:space="0" w:color="auto"/>
              </w:divBdr>
            </w:div>
          </w:divsChild>
        </w:div>
        <w:div w:id="1199121420">
          <w:marLeft w:val="0"/>
          <w:marRight w:val="0"/>
          <w:marTop w:val="0"/>
          <w:marBottom w:val="0"/>
          <w:divBdr>
            <w:top w:val="none" w:sz="0" w:space="0" w:color="auto"/>
            <w:left w:val="none" w:sz="0" w:space="0" w:color="auto"/>
            <w:bottom w:val="none" w:sz="0" w:space="0" w:color="auto"/>
            <w:right w:val="none" w:sz="0" w:space="0" w:color="auto"/>
          </w:divBdr>
          <w:divsChild>
            <w:div w:id="1066338209">
              <w:marLeft w:val="0"/>
              <w:marRight w:val="0"/>
              <w:marTop w:val="0"/>
              <w:marBottom w:val="0"/>
              <w:divBdr>
                <w:top w:val="none" w:sz="0" w:space="0" w:color="auto"/>
                <w:left w:val="none" w:sz="0" w:space="0" w:color="auto"/>
                <w:bottom w:val="none" w:sz="0" w:space="0" w:color="auto"/>
                <w:right w:val="none" w:sz="0" w:space="0" w:color="auto"/>
              </w:divBdr>
            </w:div>
          </w:divsChild>
        </w:div>
        <w:div w:id="1200514681">
          <w:marLeft w:val="0"/>
          <w:marRight w:val="0"/>
          <w:marTop w:val="0"/>
          <w:marBottom w:val="0"/>
          <w:divBdr>
            <w:top w:val="none" w:sz="0" w:space="0" w:color="auto"/>
            <w:left w:val="none" w:sz="0" w:space="0" w:color="auto"/>
            <w:bottom w:val="none" w:sz="0" w:space="0" w:color="auto"/>
            <w:right w:val="none" w:sz="0" w:space="0" w:color="auto"/>
          </w:divBdr>
          <w:divsChild>
            <w:div w:id="1158839070">
              <w:marLeft w:val="0"/>
              <w:marRight w:val="0"/>
              <w:marTop w:val="0"/>
              <w:marBottom w:val="0"/>
              <w:divBdr>
                <w:top w:val="none" w:sz="0" w:space="0" w:color="auto"/>
                <w:left w:val="none" w:sz="0" w:space="0" w:color="auto"/>
                <w:bottom w:val="none" w:sz="0" w:space="0" w:color="auto"/>
                <w:right w:val="none" w:sz="0" w:space="0" w:color="auto"/>
              </w:divBdr>
            </w:div>
          </w:divsChild>
        </w:div>
        <w:div w:id="1212111647">
          <w:marLeft w:val="0"/>
          <w:marRight w:val="0"/>
          <w:marTop w:val="0"/>
          <w:marBottom w:val="0"/>
          <w:divBdr>
            <w:top w:val="none" w:sz="0" w:space="0" w:color="auto"/>
            <w:left w:val="none" w:sz="0" w:space="0" w:color="auto"/>
            <w:bottom w:val="none" w:sz="0" w:space="0" w:color="auto"/>
            <w:right w:val="none" w:sz="0" w:space="0" w:color="auto"/>
          </w:divBdr>
          <w:divsChild>
            <w:div w:id="1892959389">
              <w:marLeft w:val="0"/>
              <w:marRight w:val="0"/>
              <w:marTop w:val="0"/>
              <w:marBottom w:val="0"/>
              <w:divBdr>
                <w:top w:val="none" w:sz="0" w:space="0" w:color="auto"/>
                <w:left w:val="none" w:sz="0" w:space="0" w:color="auto"/>
                <w:bottom w:val="none" w:sz="0" w:space="0" w:color="auto"/>
                <w:right w:val="none" w:sz="0" w:space="0" w:color="auto"/>
              </w:divBdr>
            </w:div>
          </w:divsChild>
        </w:div>
        <w:div w:id="1218006430">
          <w:marLeft w:val="0"/>
          <w:marRight w:val="0"/>
          <w:marTop w:val="0"/>
          <w:marBottom w:val="0"/>
          <w:divBdr>
            <w:top w:val="none" w:sz="0" w:space="0" w:color="auto"/>
            <w:left w:val="none" w:sz="0" w:space="0" w:color="auto"/>
            <w:bottom w:val="none" w:sz="0" w:space="0" w:color="auto"/>
            <w:right w:val="none" w:sz="0" w:space="0" w:color="auto"/>
          </w:divBdr>
          <w:divsChild>
            <w:div w:id="108397103">
              <w:marLeft w:val="0"/>
              <w:marRight w:val="0"/>
              <w:marTop w:val="0"/>
              <w:marBottom w:val="0"/>
              <w:divBdr>
                <w:top w:val="none" w:sz="0" w:space="0" w:color="auto"/>
                <w:left w:val="none" w:sz="0" w:space="0" w:color="auto"/>
                <w:bottom w:val="none" w:sz="0" w:space="0" w:color="auto"/>
                <w:right w:val="none" w:sz="0" w:space="0" w:color="auto"/>
              </w:divBdr>
            </w:div>
          </w:divsChild>
        </w:div>
        <w:div w:id="1229266458">
          <w:marLeft w:val="0"/>
          <w:marRight w:val="0"/>
          <w:marTop w:val="0"/>
          <w:marBottom w:val="0"/>
          <w:divBdr>
            <w:top w:val="none" w:sz="0" w:space="0" w:color="auto"/>
            <w:left w:val="none" w:sz="0" w:space="0" w:color="auto"/>
            <w:bottom w:val="none" w:sz="0" w:space="0" w:color="auto"/>
            <w:right w:val="none" w:sz="0" w:space="0" w:color="auto"/>
          </w:divBdr>
          <w:divsChild>
            <w:div w:id="481433370">
              <w:marLeft w:val="0"/>
              <w:marRight w:val="0"/>
              <w:marTop w:val="0"/>
              <w:marBottom w:val="0"/>
              <w:divBdr>
                <w:top w:val="none" w:sz="0" w:space="0" w:color="auto"/>
                <w:left w:val="none" w:sz="0" w:space="0" w:color="auto"/>
                <w:bottom w:val="none" w:sz="0" w:space="0" w:color="auto"/>
                <w:right w:val="none" w:sz="0" w:space="0" w:color="auto"/>
              </w:divBdr>
            </w:div>
          </w:divsChild>
        </w:div>
        <w:div w:id="1286738962">
          <w:marLeft w:val="0"/>
          <w:marRight w:val="0"/>
          <w:marTop w:val="0"/>
          <w:marBottom w:val="0"/>
          <w:divBdr>
            <w:top w:val="none" w:sz="0" w:space="0" w:color="auto"/>
            <w:left w:val="none" w:sz="0" w:space="0" w:color="auto"/>
            <w:bottom w:val="none" w:sz="0" w:space="0" w:color="auto"/>
            <w:right w:val="none" w:sz="0" w:space="0" w:color="auto"/>
          </w:divBdr>
          <w:divsChild>
            <w:div w:id="332102303">
              <w:marLeft w:val="0"/>
              <w:marRight w:val="0"/>
              <w:marTop w:val="0"/>
              <w:marBottom w:val="0"/>
              <w:divBdr>
                <w:top w:val="none" w:sz="0" w:space="0" w:color="auto"/>
                <w:left w:val="none" w:sz="0" w:space="0" w:color="auto"/>
                <w:bottom w:val="none" w:sz="0" w:space="0" w:color="auto"/>
                <w:right w:val="none" w:sz="0" w:space="0" w:color="auto"/>
              </w:divBdr>
            </w:div>
          </w:divsChild>
        </w:div>
        <w:div w:id="1372152577">
          <w:marLeft w:val="0"/>
          <w:marRight w:val="0"/>
          <w:marTop w:val="0"/>
          <w:marBottom w:val="0"/>
          <w:divBdr>
            <w:top w:val="none" w:sz="0" w:space="0" w:color="auto"/>
            <w:left w:val="none" w:sz="0" w:space="0" w:color="auto"/>
            <w:bottom w:val="none" w:sz="0" w:space="0" w:color="auto"/>
            <w:right w:val="none" w:sz="0" w:space="0" w:color="auto"/>
          </w:divBdr>
          <w:divsChild>
            <w:div w:id="1288776709">
              <w:marLeft w:val="0"/>
              <w:marRight w:val="0"/>
              <w:marTop w:val="0"/>
              <w:marBottom w:val="0"/>
              <w:divBdr>
                <w:top w:val="none" w:sz="0" w:space="0" w:color="auto"/>
                <w:left w:val="none" w:sz="0" w:space="0" w:color="auto"/>
                <w:bottom w:val="none" w:sz="0" w:space="0" w:color="auto"/>
                <w:right w:val="none" w:sz="0" w:space="0" w:color="auto"/>
              </w:divBdr>
            </w:div>
          </w:divsChild>
        </w:div>
        <w:div w:id="1496457203">
          <w:marLeft w:val="0"/>
          <w:marRight w:val="0"/>
          <w:marTop w:val="0"/>
          <w:marBottom w:val="0"/>
          <w:divBdr>
            <w:top w:val="none" w:sz="0" w:space="0" w:color="auto"/>
            <w:left w:val="none" w:sz="0" w:space="0" w:color="auto"/>
            <w:bottom w:val="none" w:sz="0" w:space="0" w:color="auto"/>
            <w:right w:val="none" w:sz="0" w:space="0" w:color="auto"/>
          </w:divBdr>
          <w:divsChild>
            <w:div w:id="4792748">
              <w:marLeft w:val="0"/>
              <w:marRight w:val="0"/>
              <w:marTop w:val="0"/>
              <w:marBottom w:val="0"/>
              <w:divBdr>
                <w:top w:val="none" w:sz="0" w:space="0" w:color="auto"/>
                <w:left w:val="none" w:sz="0" w:space="0" w:color="auto"/>
                <w:bottom w:val="none" w:sz="0" w:space="0" w:color="auto"/>
                <w:right w:val="none" w:sz="0" w:space="0" w:color="auto"/>
              </w:divBdr>
            </w:div>
          </w:divsChild>
        </w:div>
        <w:div w:id="1535852547">
          <w:marLeft w:val="0"/>
          <w:marRight w:val="0"/>
          <w:marTop w:val="0"/>
          <w:marBottom w:val="0"/>
          <w:divBdr>
            <w:top w:val="none" w:sz="0" w:space="0" w:color="auto"/>
            <w:left w:val="none" w:sz="0" w:space="0" w:color="auto"/>
            <w:bottom w:val="none" w:sz="0" w:space="0" w:color="auto"/>
            <w:right w:val="none" w:sz="0" w:space="0" w:color="auto"/>
          </w:divBdr>
          <w:divsChild>
            <w:div w:id="1839810657">
              <w:marLeft w:val="0"/>
              <w:marRight w:val="0"/>
              <w:marTop w:val="0"/>
              <w:marBottom w:val="0"/>
              <w:divBdr>
                <w:top w:val="none" w:sz="0" w:space="0" w:color="auto"/>
                <w:left w:val="none" w:sz="0" w:space="0" w:color="auto"/>
                <w:bottom w:val="none" w:sz="0" w:space="0" w:color="auto"/>
                <w:right w:val="none" w:sz="0" w:space="0" w:color="auto"/>
              </w:divBdr>
            </w:div>
          </w:divsChild>
        </w:div>
        <w:div w:id="1540169585">
          <w:marLeft w:val="0"/>
          <w:marRight w:val="0"/>
          <w:marTop w:val="0"/>
          <w:marBottom w:val="0"/>
          <w:divBdr>
            <w:top w:val="none" w:sz="0" w:space="0" w:color="auto"/>
            <w:left w:val="none" w:sz="0" w:space="0" w:color="auto"/>
            <w:bottom w:val="none" w:sz="0" w:space="0" w:color="auto"/>
            <w:right w:val="none" w:sz="0" w:space="0" w:color="auto"/>
          </w:divBdr>
          <w:divsChild>
            <w:div w:id="666371391">
              <w:marLeft w:val="0"/>
              <w:marRight w:val="0"/>
              <w:marTop w:val="0"/>
              <w:marBottom w:val="0"/>
              <w:divBdr>
                <w:top w:val="none" w:sz="0" w:space="0" w:color="auto"/>
                <w:left w:val="none" w:sz="0" w:space="0" w:color="auto"/>
                <w:bottom w:val="none" w:sz="0" w:space="0" w:color="auto"/>
                <w:right w:val="none" w:sz="0" w:space="0" w:color="auto"/>
              </w:divBdr>
            </w:div>
          </w:divsChild>
        </w:div>
        <w:div w:id="1577474842">
          <w:marLeft w:val="0"/>
          <w:marRight w:val="0"/>
          <w:marTop w:val="0"/>
          <w:marBottom w:val="0"/>
          <w:divBdr>
            <w:top w:val="none" w:sz="0" w:space="0" w:color="auto"/>
            <w:left w:val="none" w:sz="0" w:space="0" w:color="auto"/>
            <w:bottom w:val="none" w:sz="0" w:space="0" w:color="auto"/>
            <w:right w:val="none" w:sz="0" w:space="0" w:color="auto"/>
          </w:divBdr>
          <w:divsChild>
            <w:div w:id="1808274819">
              <w:marLeft w:val="0"/>
              <w:marRight w:val="0"/>
              <w:marTop w:val="0"/>
              <w:marBottom w:val="0"/>
              <w:divBdr>
                <w:top w:val="none" w:sz="0" w:space="0" w:color="auto"/>
                <w:left w:val="none" w:sz="0" w:space="0" w:color="auto"/>
                <w:bottom w:val="none" w:sz="0" w:space="0" w:color="auto"/>
                <w:right w:val="none" w:sz="0" w:space="0" w:color="auto"/>
              </w:divBdr>
            </w:div>
          </w:divsChild>
        </w:div>
        <w:div w:id="1588493750">
          <w:marLeft w:val="0"/>
          <w:marRight w:val="0"/>
          <w:marTop w:val="0"/>
          <w:marBottom w:val="0"/>
          <w:divBdr>
            <w:top w:val="none" w:sz="0" w:space="0" w:color="auto"/>
            <w:left w:val="none" w:sz="0" w:space="0" w:color="auto"/>
            <w:bottom w:val="none" w:sz="0" w:space="0" w:color="auto"/>
            <w:right w:val="none" w:sz="0" w:space="0" w:color="auto"/>
          </w:divBdr>
          <w:divsChild>
            <w:div w:id="2056653981">
              <w:marLeft w:val="0"/>
              <w:marRight w:val="0"/>
              <w:marTop w:val="0"/>
              <w:marBottom w:val="0"/>
              <w:divBdr>
                <w:top w:val="none" w:sz="0" w:space="0" w:color="auto"/>
                <w:left w:val="none" w:sz="0" w:space="0" w:color="auto"/>
                <w:bottom w:val="none" w:sz="0" w:space="0" w:color="auto"/>
                <w:right w:val="none" w:sz="0" w:space="0" w:color="auto"/>
              </w:divBdr>
            </w:div>
          </w:divsChild>
        </w:div>
        <w:div w:id="1627471270">
          <w:marLeft w:val="0"/>
          <w:marRight w:val="0"/>
          <w:marTop w:val="0"/>
          <w:marBottom w:val="0"/>
          <w:divBdr>
            <w:top w:val="none" w:sz="0" w:space="0" w:color="auto"/>
            <w:left w:val="none" w:sz="0" w:space="0" w:color="auto"/>
            <w:bottom w:val="none" w:sz="0" w:space="0" w:color="auto"/>
            <w:right w:val="none" w:sz="0" w:space="0" w:color="auto"/>
          </w:divBdr>
          <w:divsChild>
            <w:div w:id="610942726">
              <w:marLeft w:val="0"/>
              <w:marRight w:val="0"/>
              <w:marTop w:val="0"/>
              <w:marBottom w:val="0"/>
              <w:divBdr>
                <w:top w:val="none" w:sz="0" w:space="0" w:color="auto"/>
                <w:left w:val="none" w:sz="0" w:space="0" w:color="auto"/>
                <w:bottom w:val="none" w:sz="0" w:space="0" w:color="auto"/>
                <w:right w:val="none" w:sz="0" w:space="0" w:color="auto"/>
              </w:divBdr>
            </w:div>
          </w:divsChild>
        </w:div>
        <w:div w:id="1856655756">
          <w:marLeft w:val="0"/>
          <w:marRight w:val="0"/>
          <w:marTop w:val="0"/>
          <w:marBottom w:val="0"/>
          <w:divBdr>
            <w:top w:val="none" w:sz="0" w:space="0" w:color="auto"/>
            <w:left w:val="none" w:sz="0" w:space="0" w:color="auto"/>
            <w:bottom w:val="none" w:sz="0" w:space="0" w:color="auto"/>
            <w:right w:val="none" w:sz="0" w:space="0" w:color="auto"/>
          </w:divBdr>
          <w:divsChild>
            <w:div w:id="1086532557">
              <w:marLeft w:val="0"/>
              <w:marRight w:val="0"/>
              <w:marTop w:val="0"/>
              <w:marBottom w:val="0"/>
              <w:divBdr>
                <w:top w:val="none" w:sz="0" w:space="0" w:color="auto"/>
                <w:left w:val="none" w:sz="0" w:space="0" w:color="auto"/>
                <w:bottom w:val="none" w:sz="0" w:space="0" w:color="auto"/>
                <w:right w:val="none" w:sz="0" w:space="0" w:color="auto"/>
              </w:divBdr>
            </w:div>
          </w:divsChild>
        </w:div>
        <w:div w:id="1901749378">
          <w:marLeft w:val="0"/>
          <w:marRight w:val="0"/>
          <w:marTop w:val="0"/>
          <w:marBottom w:val="0"/>
          <w:divBdr>
            <w:top w:val="none" w:sz="0" w:space="0" w:color="auto"/>
            <w:left w:val="none" w:sz="0" w:space="0" w:color="auto"/>
            <w:bottom w:val="none" w:sz="0" w:space="0" w:color="auto"/>
            <w:right w:val="none" w:sz="0" w:space="0" w:color="auto"/>
          </w:divBdr>
          <w:divsChild>
            <w:div w:id="1486437163">
              <w:marLeft w:val="0"/>
              <w:marRight w:val="0"/>
              <w:marTop w:val="0"/>
              <w:marBottom w:val="0"/>
              <w:divBdr>
                <w:top w:val="none" w:sz="0" w:space="0" w:color="auto"/>
                <w:left w:val="none" w:sz="0" w:space="0" w:color="auto"/>
                <w:bottom w:val="none" w:sz="0" w:space="0" w:color="auto"/>
                <w:right w:val="none" w:sz="0" w:space="0" w:color="auto"/>
              </w:divBdr>
            </w:div>
          </w:divsChild>
        </w:div>
        <w:div w:id="1930962855">
          <w:marLeft w:val="0"/>
          <w:marRight w:val="0"/>
          <w:marTop w:val="0"/>
          <w:marBottom w:val="0"/>
          <w:divBdr>
            <w:top w:val="none" w:sz="0" w:space="0" w:color="auto"/>
            <w:left w:val="none" w:sz="0" w:space="0" w:color="auto"/>
            <w:bottom w:val="none" w:sz="0" w:space="0" w:color="auto"/>
            <w:right w:val="none" w:sz="0" w:space="0" w:color="auto"/>
          </w:divBdr>
          <w:divsChild>
            <w:div w:id="239145551">
              <w:marLeft w:val="0"/>
              <w:marRight w:val="0"/>
              <w:marTop w:val="0"/>
              <w:marBottom w:val="0"/>
              <w:divBdr>
                <w:top w:val="none" w:sz="0" w:space="0" w:color="auto"/>
                <w:left w:val="none" w:sz="0" w:space="0" w:color="auto"/>
                <w:bottom w:val="none" w:sz="0" w:space="0" w:color="auto"/>
                <w:right w:val="none" w:sz="0" w:space="0" w:color="auto"/>
              </w:divBdr>
            </w:div>
          </w:divsChild>
        </w:div>
        <w:div w:id="1946108552">
          <w:marLeft w:val="0"/>
          <w:marRight w:val="0"/>
          <w:marTop w:val="0"/>
          <w:marBottom w:val="0"/>
          <w:divBdr>
            <w:top w:val="none" w:sz="0" w:space="0" w:color="auto"/>
            <w:left w:val="none" w:sz="0" w:space="0" w:color="auto"/>
            <w:bottom w:val="none" w:sz="0" w:space="0" w:color="auto"/>
            <w:right w:val="none" w:sz="0" w:space="0" w:color="auto"/>
          </w:divBdr>
          <w:divsChild>
            <w:div w:id="402262266">
              <w:marLeft w:val="0"/>
              <w:marRight w:val="0"/>
              <w:marTop w:val="0"/>
              <w:marBottom w:val="0"/>
              <w:divBdr>
                <w:top w:val="none" w:sz="0" w:space="0" w:color="auto"/>
                <w:left w:val="none" w:sz="0" w:space="0" w:color="auto"/>
                <w:bottom w:val="none" w:sz="0" w:space="0" w:color="auto"/>
                <w:right w:val="none" w:sz="0" w:space="0" w:color="auto"/>
              </w:divBdr>
            </w:div>
          </w:divsChild>
        </w:div>
        <w:div w:id="1978996757">
          <w:marLeft w:val="0"/>
          <w:marRight w:val="0"/>
          <w:marTop w:val="0"/>
          <w:marBottom w:val="0"/>
          <w:divBdr>
            <w:top w:val="none" w:sz="0" w:space="0" w:color="auto"/>
            <w:left w:val="none" w:sz="0" w:space="0" w:color="auto"/>
            <w:bottom w:val="none" w:sz="0" w:space="0" w:color="auto"/>
            <w:right w:val="none" w:sz="0" w:space="0" w:color="auto"/>
          </w:divBdr>
          <w:divsChild>
            <w:div w:id="930310178">
              <w:marLeft w:val="0"/>
              <w:marRight w:val="0"/>
              <w:marTop w:val="0"/>
              <w:marBottom w:val="0"/>
              <w:divBdr>
                <w:top w:val="none" w:sz="0" w:space="0" w:color="auto"/>
                <w:left w:val="none" w:sz="0" w:space="0" w:color="auto"/>
                <w:bottom w:val="none" w:sz="0" w:space="0" w:color="auto"/>
                <w:right w:val="none" w:sz="0" w:space="0" w:color="auto"/>
              </w:divBdr>
            </w:div>
          </w:divsChild>
        </w:div>
        <w:div w:id="2053067188">
          <w:marLeft w:val="0"/>
          <w:marRight w:val="0"/>
          <w:marTop w:val="0"/>
          <w:marBottom w:val="0"/>
          <w:divBdr>
            <w:top w:val="none" w:sz="0" w:space="0" w:color="auto"/>
            <w:left w:val="none" w:sz="0" w:space="0" w:color="auto"/>
            <w:bottom w:val="none" w:sz="0" w:space="0" w:color="auto"/>
            <w:right w:val="none" w:sz="0" w:space="0" w:color="auto"/>
          </w:divBdr>
          <w:divsChild>
            <w:div w:id="90047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025223">
      <w:bodyDiv w:val="1"/>
      <w:marLeft w:val="0"/>
      <w:marRight w:val="0"/>
      <w:marTop w:val="0"/>
      <w:marBottom w:val="0"/>
      <w:divBdr>
        <w:top w:val="none" w:sz="0" w:space="0" w:color="auto"/>
        <w:left w:val="none" w:sz="0" w:space="0" w:color="auto"/>
        <w:bottom w:val="none" w:sz="0" w:space="0" w:color="auto"/>
        <w:right w:val="none" w:sz="0" w:space="0" w:color="auto"/>
      </w:divBdr>
    </w:div>
    <w:div w:id="1062875254">
      <w:bodyDiv w:val="1"/>
      <w:marLeft w:val="0"/>
      <w:marRight w:val="0"/>
      <w:marTop w:val="0"/>
      <w:marBottom w:val="0"/>
      <w:divBdr>
        <w:top w:val="none" w:sz="0" w:space="0" w:color="auto"/>
        <w:left w:val="none" w:sz="0" w:space="0" w:color="auto"/>
        <w:bottom w:val="none" w:sz="0" w:space="0" w:color="auto"/>
        <w:right w:val="none" w:sz="0" w:space="0" w:color="auto"/>
      </w:divBdr>
    </w:div>
    <w:div w:id="1093744011">
      <w:bodyDiv w:val="1"/>
      <w:marLeft w:val="0"/>
      <w:marRight w:val="0"/>
      <w:marTop w:val="0"/>
      <w:marBottom w:val="0"/>
      <w:divBdr>
        <w:top w:val="none" w:sz="0" w:space="0" w:color="auto"/>
        <w:left w:val="none" w:sz="0" w:space="0" w:color="auto"/>
        <w:bottom w:val="none" w:sz="0" w:space="0" w:color="auto"/>
        <w:right w:val="none" w:sz="0" w:space="0" w:color="auto"/>
      </w:divBdr>
      <w:divsChild>
        <w:div w:id="21367892">
          <w:marLeft w:val="0"/>
          <w:marRight w:val="0"/>
          <w:marTop w:val="0"/>
          <w:marBottom w:val="0"/>
          <w:divBdr>
            <w:top w:val="none" w:sz="0" w:space="0" w:color="auto"/>
            <w:left w:val="none" w:sz="0" w:space="0" w:color="auto"/>
            <w:bottom w:val="none" w:sz="0" w:space="0" w:color="auto"/>
            <w:right w:val="none" w:sz="0" w:space="0" w:color="auto"/>
          </w:divBdr>
        </w:div>
        <w:div w:id="2134320079">
          <w:marLeft w:val="0"/>
          <w:marRight w:val="0"/>
          <w:marTop w:val="0"/>
          <w:marBottom w:val="0"/>
          <w:divBdr>
            <w:top w:val="none" w:sz="0" w:space="0" w:color="auto"/>
            <w:left w:val="none" w:sz="0" w:space="0" w:color="auto"/>
            <w:bottom w:val="none" w:sz="0" w:space="0" w:color="auto"/>
            <w:right w:val="none" w:sz="0" w:space="0" w:color="auto"/>
          </w:divBdr>
        </w:div>
      </w:divsChild>
    </w:div>
    <w:div w:id="1142311641">
      <w:bodyDiv w:val="1"/>
      <w:marLeft w:val="0"/>
      <w:marRight w:val="0"/>
      <w:marTop w:val="0"/>
      <w:marBottom w:val="0"/>
      <w:divBdr>
        <w:top w:val="none" w:sz="0" w:space="0" w:color="auto"/>
        <w:left w:val="none" w:sz="0" w:space="0" w:color="auto"/>
        <w:bottom w:val="none" w:sz="0" w:space="0" w:color="auto"/>
        <w:right w:val="none" w:sz="0" w:space="0" w:color="auto"/>
      </w:divBdr>
    </w:div>
    <w:div w:id="1233584738">
      <w:bodyDiv w:val="1"/>
      <w:marLeft w:val="0"/>
      <w:marRight w:val="0"/>
      <w:marTop w:val="0"/>
      <w:marBottom w:val="0"/>
      <w:divBdr>
        <w:top w:val="none" w:sz="0" w:space="0" w:color="auto"/>
        <w:left w:val="none" w:sz="0" w:space="0" w:color="auto"/>
        <w:bottom w:val="none" w:sz="0" w:space="0" w:color="auto"/>
        <w:right w:val="none" w:sz="0" w:space="0" w:color="auto"/>
      </w:divBdr>
      <w:divsChild>
        <w:div w:id="373043659">
          <w:marLeft w:val="0"/>
          <w:marRight w:val="0"/>
          <w:marTop w:val="0"/>
          <w:marBottom w:val="0"/>
          <w:divBdr>
            <w:top w:val="none" w:sz="0" w:space="0" w:color="auto"/>
            <w:left w:val="none" w:sz="0" w:space="0" w:color="auto"/>
            <w:bottom w:val="none" w:sz="0" w:space="0" w:color="auto"/>
            <w:right w:val="none" w:sz="0" w:space="0" w:color="auto"/>
          </w:divBdr>
        </w:div>
        <w:div w:id="1618565993">
          <w:marLeft w:val="0"/>
          <w:marRight w:val="0"/>
          <w:marTop w:val="0"/>
          <w:marBottom w:val="0"/>
          <w:divBdr>
            <w:top w:val="none" w:sz="0" w:space="0" w:color="auto"/>
            <w:left w:val="none" w:sz="0" w:space="0" w:color="auto"/>
            <w:bottom w:val="none" w:sz="0" w:space="0" w:color="auto"/>
            <w:right w:val="none" w:sz="0" w:space="0" w:color="auto"/>
          </w:divBdr>
        </w:div>
        <w:div w:id="1763137314">
          <w:marLeft w:val="0"/>
          <w:marRight w:val="0"/>
          <w:marTop w:val="0"/>
          <w:marBottom w:val="0"/>
          <w:divBdr>
            <w:top w:val="none" w:sz="0" w:space="0" w:color="auto"/>
            <w:left w:val="none" w:sz="0" w:space="0" w:color="auto"/>
            <w:bottom w:val="none" w:sz="0" w:space="0" w:color="auto"/>
            <w:right w:val="none" w:sz="0" w:space="0" w:color="auto"/>
          </w:divBdr>
        </w:div>
      </w:divsChild>
    </w:div>
    <w:div w:id="1298803394">
      <w:bodyDiv w:val="1"/>
      <w:marLeft w:val="0"/>
      <w:marRight w:val="0"/>
      <w:marTop w:val="0"/>
      <w:marBottom w:val="0"/>
      <w:divBdr>
        <w:top w:val="none" w:sz="0" w:space="0" w:color="auto"/>
        <w:left w:val="none" w:sz="0" w:space="0" w:color="auto"/>
        <w:bottom w:val="none" w:sz="0" w:space="0" w:color="auto"/>
        <w:right w:val="none" w:sz="0" w:space="0" w:color="auto"/>
      </w:divBdr>
    </w:div>
    <w:div w:id="1445539162">
      <w:bodyDiv w:val="1"/>
      <w:marLeft w:val="0"/>
      <w:marRight w:val="0"/>
      <w:marTop w:val="0"/>
      <w:marBottom w:val="0"/>
      <w:divBdr>
        <w:top w:val="none" w:sz="0" w:space="0" w:color="auto"/>
        <w:left w:val="none" w:sz="0" w:space="0" w:color="auto"/>
        <w:bottom w:val="none" w:sz="0" w:space="0" w:color="auto"/>
        <w:right w:val="none" w:sz="0" w:space="0" w:color="auto"/>
      </w:divBdr>
      <w:divsChild>
        <w:div w:id="64449916">
          <w:marLeft w:val="0"/>
          <w:marRight w:val="0"/>
          <w:marTop w:val="0"/>
          <w:marBottom w:val="0"/>
          <w:divBdr>
            <w:top w:val="none" w:sz="0" w:space="0" w:color="auto"/>
            <w:left w:val="none" w:sz="0" w:space="0" w:color="auto"/>
            <w:bottom w:val="none" w:sz="0" w:space="0" w:color="auto"/>
            <w:right w:val="none" w:sz="0" w:space="0" w:color="auto"/>
          </w:divBdr>
          <w:divsChild>
            <w:div w:id="1897888016">
              <w:marLeft w:val="0"/>
              <w:marRight w:val="0"/>
              <w:marTop w:val="0"/>
              <w:marBottom w:val="0"/>
              <w:divBdr>
                <w:top w:val="none" w:sz="0" w:space="0" w:color="auto"/>
                <w:left w:val="none" w:sz="0" w:space="0" w:color="auto"/>
                <w:bottom w:val="none" w:sz="0" w:space="0" w:color="auto"/>
                <w:right w:val="none" w:sz="0" w:space="0" w:color="auto"/>
              </w:divBdr>
            </w:div>
          </w:divsChild>
        </w:div>
        <w:div w:id="68315010">
          <w:marLeft w:val="0"/>
          <w:marRight w:val="0"/>
          <w:marTop w:val="0"/>
          <w:marBottom w:val="0"/>
          <w:divBdr>
            <w:top w:val="none" w:sz="0" w:space="0" w:color="auto"/>
            <w:left w:val="none" w:sz="0" w:space="0" w:color="auto"/>
            <w:bottom w:val="none" w:sz="0" w:space="0" w:color="auto"/>
            <w:right w:val="none" w:sz="0" w:space="0" w:color="auto"/>
          </w:divBdr>
          <w:divsChild>
            <w:div w:id="1415668933">
              <w:marLeft w:val="0"/>
              <w:marRight w:val="0"/>
              <w:marTop w:val="0"/>
              <w:marBottom w:val="0"/>
              <w:divBdr>
                <w:top w:val="none" w:sz="0" w:space="0" w:color="auto"/>
                <w:left w:val="none" w:sz="0" w:space="0" w:color="auto"/>
                <w:bottom w:val="none" w:sz="0" w:space="0" w:color="auto"/>
                <w:right w:val="none" w:sz="0" w:space="0" w:color="auto"/>
              </w:divBdr>
            </w:div>
            <w:div w:id="1858736509">
              <w:marLeft w:val="0"/>
              <w:marRight w:val="0"/>
              <w:marTop w:val="0"/>
              <w:marBottom w:val="0"/>
              <w:divBdr>
                <w:top w:val="none" w:sz="0" w:space="0" w:color="auto"/>
                <w:left w:val="none" w:sz="0" w:space="0" w:color="auto"/>
                <w:bottom w:val="none" w:sz="0" w:space="0" w:color="auto"/>
                <w:right w:val="none" w:sz="0" w:space="0" w:color="auto"/>
              </w:divBdr>
            </w:div>
          </w:divsChild>
        </w:div>
        <w:div w:id="86273142">
          <w:marLeft w:val="0"/>
          <w:marRight w:val="0"/>
          <w:marTop w:val="0"/>
          <w:marBottom w:val="0"/>
          <w:divBdr>
            <w:top w:val="none" w:sz="0" w:space="0" w:color="auto"/>
            <w:left w:val="none" w:sz="0" w:space="0" w:color="auto"/>
            <w:bottom w:val="none" w:sz="0" w:space="0" w:color="auto"/>
            <w:right w:val="none" w:sz="0" w:space="0" w:color="auto"/>
          </w:divBdr>
          <w:divsChild>
            <w:div w:id="1193036592">
              <w:marLeft w:val="0"/>
              <w:marRight w:val="0"/>
              <w:marTop w:val="0"/>
              <w:marBottom w:val="0"/>
              <w:divBdr>
                <w:top w:val="none" w:sz="0" w:space="0" w:color="auto"/>
                <w:left w:val="none" w:sz="0" w:space="0" w:color="auto"/>
                <w:bottom w:val="none" w:sz="0" w:space="0" w:color="auto"/>
                <w:right w:val="none" w:sz="0" w:space="0" w:color="auto"/>
              </w:divBdr>
            </w:div>
          </w:divsChild>
        </w:div>
        <w:div w:id="210768244">
          <w:marLeft w:val="0"/>
          <w:marRight w:val="0"/>
          <w:marTop w:val="0"/>
          <w:marBottom w:val="0"/>
          <w:divBdr>
            <w:top w:val="none" w:sz="0" w:space="0" w:color="auto"/>
            <w:left w:val="none" w:sz="0" w:space="0" w:color="auto"/>
            <w:bottom w:val="none" w:sz="0" w:space="0" w:color="auto"/>
            <w:right w:val="none" w:sz="0" w:space="0" w:color="auto"/>
          </w:divBdr>
          <w:divsChild>
            <w:div w:id="917130432">
              <w:marLeft w:val="0"/>
              <w:marRight w:val="0"/>
              <w:marTop w:val="0"/>
              <w:marBottom w:val="0"/>
              <w:divBdr>
                <w:top w:val="none" w:sz="0" w:space="0" w:color="auto"/>
                <w:left w:val="none" w:sz="0" w:space="0" w:color="auto"/>
                <w:bottom w:val="none" w:sz="0" w:space="0" w:color="auto"/>
                <w:right w:val="none" w:sz="0" w:space="0" w:color="auto"/>
              </w:divBdr>
            </w:div>
          </w:divsChild>
        </w:div>
        <w:div w:id="228468273">
          <w:marLeft w:val="0"/>
          <w:marRight w:val="0"/>
          <w:marTop w:val="0"/>
          <w:marBottom w:val="0"/>
          <w:divBdr>
            <w:top w:val="none" w:sz="0" w:space="0" w:color="auto"/>
            <w:left w:val="none" w:sz="0" w:space="0" w:color="auto"/>
            <w:bottom w:val="none" w:sz="0" w:space="0" w:color="auto"/>
            <w:right w:val="none" w:sz="0" w:space="0" w:color="auto"/>
          </w:divBdr>
          <w:divsChild>
            <w:div w:id="166333611">
              <w:marLeft w:val="0"/>
              <w:marRight w:val="0"/>
              <w:marTop w:val="0"/>
              <w:marBottom w:val="0"/>
              <w:divBdr>
                <w:top w:val="none" w:sz="0" w:space="0" w:color="auto"/>
                <w:left w:val="none" w:sz="0" w:space="0" w:color="auto"/>
                <w:bottom w:val="none" w:sz="0" w:space="0" w:color="auto"/>
                <w:right w:val="none" w:sz="0" w:space="0" w:color="auto"/>
              </w:divBdr>
            </w:div>
          </w:divsChild>
        </w:div>
        <w:div w:id="254439669">
          <w:marLeft w:val="0"/>
          <w:marRight w:val="0"/>
          <w:marTop w:val="0"/>
          <w:marBottom w:val="0"/>
          <w:divBdr>
            <w:top w:val="none" w:sz="0" w:space="0" w:color="auto"/>
            <w:left w:val="none" w:sz="0" w:space="0" w:color="auto"/>
            <w:bottom w:val="none" w:sz="0" w:space="0" w:color="auto"/>
            <w:right w:val="none" w:sz="0" w:space="0" w:color="auto"/>
          </w:divBdr>
          <w:divsChild>
            <w:div w:id="1071852697">
              <w:marLeft w:val="0"/>
              <w:marRight w:val="0"/>
              <w:marTop w:val="0"/>
              <w:marBottom w:val="0"/>
              <w:divBdr>
                <w:top w:val="none" w:sz="0" w:space="0" w:color="auto"/>
                <w:left w:val="none" w:sz="0" w:space="0" w:color="auto"/>
                <w:bottom w:val="none" w:sz="0" w:space="0" w:color="auto"/>
                <w:right w:val="none" w:sz="0" w:space="0" w:color="auto"/>
              </w:divBdr>
            </w:div>
          </w:divsChild>
        </w:div>
        <w:div w:id="365060304">
          <w:marLeft w:val="0"/>
          <w:marRight w:val="0"/>
          <w:marTop w:val="0"/>
          <w:marBottom w:val="0"/>
          <w:divBdr>
            <w:top w:val="none" w:sz="0" w:space="0" w:color="auto"/>
            <w:left w:val="none" w:sz="0" w:space="0" w:color="auto"/>
            <w:bottom w:val="none" w:sz="0" w:space="0" w:color="auto"/>
            <w:right w:val="none" w:sz="0" w:space="0" w:color="auto"/>
          </w:divBdr>
          <w:divsChild>
            <w:div w:id="513345747">
              <w:marLeft w:val="0"/>
              <w:marRight w:val="0"/>
              <w:marTop w:val="0"/>
              <w:marBottom w:val="0"/>
              <w:divBdr>
                <w:top w:val="none" w:sz="0" w:space="0" w:color="auto"/>
                <w:left w:val="none" w:sz="0" w:space="0" w:color="auto"/>
                <w:bottom w:val="none" w:sz="0" w:space="0" w:color="auto"/>
                <w:right w:val="none" w:sz="0" w:space="0" w:color="auto"/>
              </w:divBdr>
            </w:div>
          </w:divsChild>
        </w:div>
        <w:div w:id="460879211">
          <w:marLeft w:val="0"/>
          <w:marRight w:val="0"/>
          <w:marTop w:val="0"/>
          <w:marBottom w:val="0"/>
          <w:divBdr>
            <w:top w:val="none" w:sz="0" w:space="0" w:color="auto"/>
            <w:left w:val="none" w:sz="0" w:space="0" w:color="auto"/>
            <w:bottom w:val="none" w:sz="0" w:space="0" w:color="auto"/>
            <w:right w:val="none" w:sz="0" w:space="0" w:color="auto"/>
          </w:divBdr>
          <w:divsChild>
            <w:div w:id="2006663667">
              <w:marLeft w:val="0"/>
              <w:marRight w:val="0"/>
              <w:marTop w:val="0"/>
              <w:marBottom w:val="0"/>
              <w:divBdr>
                <w:top w:val="none" w:sz="0" w:space="0" w:color="auto"/>
                <w:left w:val="none" w:sz="0" w:space="0" w:color="auto"/>
                <w:bottom w:val="none" w:sz="0" w:space="0" w:color="auto"/>
                <w:right w:val="none" w:sz="0" w:space="0" w:color="auto"/>
              </w:divBdr>
            </w:div>
          </w:divsChild>
        </w:div>
        <w:div w:id="618413346">
          <w:marLeft w:val="0"/>
          <w:marRight w:val="0"/>
          <w:marTop w:val="0"/>
          <w:marBottom w:val="0"/>
          <w:divBdr>
            <w:top w:val="none" w:sz="0" w:space="0" w:color="auto"/>
            <w:left w:val="none" w:sz="0" w:space="0" w:color="auto"/>
            <w:bottom w:val="none" w:sz="0" w:space="0" w:color="auto"/>
            <w:right w:val="none" w:sz="0" w:space="0" w:color="auto"/>
          </w:divBdr>
          <w:divsChild>
            <w:div w:id="1524858016">
              <w:marLeft w:val="0"/>
              <w:marRight w:val="0"/>
              <w:marTop w:val="0"/>
              <w:marBottom w:val="0"/>
              <w:divBdr>
                <w:top w:val="none" w:sz="0" w:space="0" w:color="auto"/>
                <w:left w:val="none" w:sz="0" w:space="0" w:color="auto"/>
                <w:bottom w:val="none" w:sz="0" w:space="0" w:color="auto"/>
                <w:right w:val="none" w:sz="0" w:space="0" w:color="auto"/>
              </w:divBdr>
            </w:div>
          </w:divsChild>
        </w:div>
        <w:div w:id="706755306">
          <w:marLeft w:val="0"/>
          <w:marRight w:val="0"/>
          <w:marTop w:val="0"/>
          <w:marBottom w:val="0"/>
          <w:divBdr>
            <w:top w:val="none" w:sz="0" w:space="0" w:color="auto"/>
            <w:left w:val="none" w:sz="0" w:space="0" w:color="auto"/>
            <w:bottom w:val="none" w:sz="0" w:space="0" w:color="auto"/>
            <w:right w:val="none" w:sz="0" w:space="0" w:color="auto"/>
          </w:divBdr>
          <w:divsChild>
            <w:div w:id="733969131">
              <w:marLeft w:val="0"/>
              <w:marRight w:val="0"/>
              <w:marTop w:val="0"/>
              <w:marBottom w:val="0"/>
              <w:divBdr>
                <w:top w:val="none" w:sz="0" w:space="0" w:color="auto"/>
                <w:left w:val="none" w:sz="0" w:space="0" w:color="auto"/>
                <w:bottom w:val="none" w:sz="0" w:space="0" w:color="auto"/>
                <w:right w:val="none" w:sz="0" w:space="0" w:color="auto"/>
              </w:divBdr>
            </w:div>
          </w:divsChild>
        </w:div>
        <w:div w:id="825903671">
          <w:marLeft w:val="0"/>
          <w:marRight w:val="0"/>
          <w:marTop w:val="0"/>
          <w:marBottom w:val="0"/>
          <w:divBdr>
            <w:top w:val="none" w:sz="0" w:space="0" w:color="auto"/>
            <w:left w:val="none" w:sz="0" w:space="0" w:color="auto"/>
            <w:bottom w:val="none" w:sz="0" w:space="0" w:color="auto"/>
            <w:right w:val="none" w:sz="0" w:space="0" w:color="auto"/>
          </w:divBdr>
          <w:divsChild>
            <w:div w:id="2019192537">
              <w:marLeft w:val="0"/>
              <w:marRight w:val="0"/>
              <w:marTop w:val="0"/>
              <w:marBottom w:val="0"/>
              <w:divBdr>
                <w:top w:val="none" w:sz="0" w:space="0" w:color="auto"/>
                <w:left w:val="none" w:sz="0" w:space="0" w:color="auto"/>
                <w:bottom w:val="none" w:sz="0" w:space="0" w:color="auto"/>
                <w:right w:val="none" w:sz="0" w:space="0" w:color="auto"/>
              </w:divBdr>
            </w:div>
          </w:divsChild>
        </w:div>
        <w:div w:id="906258004">
          <w:marLeft w:val="0"/>
          <w:marRight w:val="0"/>
          <w:marTop w:val="0"/>
          <w:marBottom w:val="0"/>
          <w:divBdr>
            <w:top w:val="none" w:sz="0" w:space="0" w:color="auto"/>
            <w:left w:val="none" w:sz="0" w:space="0" w:color="auto"/>
            <w:bottom w:val="none" w:sz="0" w:space="0" w:color="auto"/>
            <w:right w:val="none" w:sz="0" w:space="0" w:color="auto"/>
          </w:divBdr>
          <w:divsChild>
            <w:div w:id="156658020">
              <w:marLeft w:val="0"/>
              <w:marRight w:val="0"/>
              <w:marTop w:val="0"/>
              <w:marBottom w:val="0"/>
              <w:divBdr>
                <w:top w:val="none" w:sz="0" w:space="0" w:color="auto"/>
                <w:left w:val="none" w:sz="0" w:space="0" w:color="auto"/>
                <w:bottom w:val="none" w:sz="0" w:space="0" w:color="auto"/>
                <w:right w:val="none" w:sz="0" w:space="0" w:color="auto"/>
              </w:divBdr>
            </w:div>
          </w:divsChild>
        </w:div>
        <w:div w:id="995495587">
          <w:marLeft w:val="0"/>
          <w:marRight w:val="0"/>
          <w:marTop w:val="0"/>
          <w:marBottom w:val="0"/>
          <w:divBdr>
            <w:top w:val="none" w:sz="0" w:space="0" w:color="auto"/>
            <w:left w:val="none" w:sz="0" w:space="0" w:color="auto"/>
            <w:bottom w:val="none" w:sz="0" w:space="0" w:color="auto"/>
            <w:right w:val="none" w:sz="0" w:space="0" w:color="auto"/>
          </w:divBdr>
          <w:divsChild>
            <w:div w:id="1955399101">
              <w:marLeft w:val="0"/>
              <w:marRight w:val="0"/>
              <w:marTop w:val="0"/>
              <w:marBottom w:val="0"/>
              <w:divBdr>
                <w:top w:val="none" w:sz="0" w:space="0" w:color="auto"/>
                <w:left w:val="none" w:sz="0" w:space="0" w:color="auto"/>
                <w:bottom w:val="none" w:sz="0" w:space="0" w:color="auto"/>
                <w:right w:val="none" w:sz="0" w:space="0" w:color="auto"/>
              </w:divBdr>
            </w:div>
          </w:divsChild>
        </w:div>
        <w:div w:id="1051467621">
          <w:marLeft w:val="0"/>
          <w:marRight w:val="0"/>
          <w:marTop w:val="0"/>
          <w:marBottom w:val="0"/>
          <w:divBdr>
            <w:top w:val="none" w:sz="0" w:space="0" w:color="auto"/>
            <w:left w:val="none" w:sz="0" w:space="0" w:color="auto"/>
            <w:bottom w:val="none" w:sz="0" w:space="0" w:color="auto"/>
            <w:right w:val="none" w:sz="0" w:space="0" w:color="auto"/>
          </w:divBdr>
          <w:divsChild>
            <w:div w:id="949900959">
              <w:marLeft w:val="0"/>
              <w:marRight w:val="0"/>
              <w:marTop w:val="0"/>
              <w:marBottom w:val="0"/>
              <w:divBdr>
                <w:top w:val="none" w:sz="0" w:space="0" w:color="auto"/>
                <w:left w:val="none" w:sz="0" w:space="0" w:color="auto"/>
                <w:bottom w:val="none" w:sz="0" w:space="0" w:color="auto"/>
                <w:right w:val="none" w:sz="0" w:space="0" w:color="auto"/>
              </w:divBdr>
            </w:div>
          </w:divsChild>
        </w:div>
        <w:div w:id="1151412103">
          <w:marLeft w:val="0"/>
          <w:marRight w:val="0"/>
          <w:marTop w:val="0"/>
          <w:marBottom w:val="0"/>
          <w:divBdr>
            <w:top w:val="none" w:sz="0" w:space="0" w:color="auto"/>
            <w:left w:val="none" w:sz="0" w:space="0" w:color="auto"/>
            <w:bottom w:val="none" w:sz="0" w:space="0" w:color="auto"/>
            <w:right w:val="none" w:sz="0" w:space="0" w:color="auto"/>
          </w:divBdr>
          <w:divsChild>
            <w:div w:id="1471245421">
              <w:marLeft w:val="0"/>
              <w:marRight w:val="0"/>
              <w:marTop w:val="0"/>
              <w:marBottom w:val="0"/>
              <w:divBdr>
                <w:top w:val="none" w:sz="0" w:space="0" w:color="auto"/>
                <w:left w:val="none" w:sz="0" w:space="0" w:color="auto"/>
                <w:bottom w:val="none" w:sz="0" w:space="0" w:color="auto"/>
                <w:right w:val="none" w:sz="0" w:space="0" w:color="auto"/>
              </w:divBdr>
            </w:div>
          </w:divsChild>
        </w:div>
        <w:div w:id="1306743103">
          <w:marLeft w:val="0"/>
          <w:marRight w:val="0"/>
          <w:marTop w:val="0"/>
          <w:marBottom w:val="0"/>
          <w:divBdr>
            <w:top w:val="none" w:sz="0" w:space="0" w:color="auto"/>
            <w:left w:val="none" w:sz="0" w:space="0" w:color="auto"/>
            <w:bottom w:val="none" w:sz="0" w:space="0" w:color="auto"/>
            <w:right w:val="none" w:sz="0" w:space="0" w:color="auto"/>
          </w:divBdr>
          <w:divsChild>
            <w:div w:id="339433170">
              <w:marLeft w:val="0"/>
              <w:marRight w:val="0"/>
              <w:marTop w:val="0"/>
              <w:marBottom w:val="0"/>
              <w:divBdr>
                <w:top w:val="none" w:sz="0" w:space="0" w:color="auto"/>
                <w:left w:val="none" w:sz="0" w:space="0" w:color="auto"/>
                <w:bottom w:val="none" w:sz="0" w:space="0" w:color="auto"/>
                <w:right w:val="none" w:sz="0" w:space="0" w:color="auto"/>
              </w:divBdr>
            </w:div>
          </w:divsChild>
        </w:div>
        <w:div w:id="1415667765">
          <w:marLeft w:val="0"/>
          <w:marRight w:val="0"/>
          <w:marTop w:val="0"/>
          <w:marBottom w:val="0"/>
          <w:divBdr>
            <w:top w:val="none" w:sz="0" w:space="0" w:color="auto"/>
            <w:left w:val="none" w:sz="0" w:space="0" w:color="auto"/>
            <w:bottom w:val="none" w:sz="0" w:space="0" w:color="auto"/>
            <w:right w:val="none" w:sz="0" w:space="0" w:color="auto"/>
          </w:divBdr>
          <w:divsChild>
            <w:div w:id="119031798">
              <w:marLeft w:val="0"/>
              <w:marRight w:val="0"/>
              <w:marTop w:val="0"/>
              <w:marBottom w:val="0"/>
              <w:divBdr>
                <w:top w:val="none" w:sz="0" w:space="0" w:color="auto"/>
                <w:left w:val="none" w:sz="0" w:space="0" w:color="auto"/>
                <w:bottom w:val="none" w:sz="0" w:space="0" w:color="auto"/>
                <w:right w:val="none" w:sz="0" w:space="0" w:color="auto"/>
              </w:divBdr>
            </w:div>
          </w:divsChild>
        </w:div>
        <w:div w:id="1481381728">
          <w:marLeft w:val="0"/>
          <w:marRight w:val="0"/>
          <w:marTop w:val="0"/>
          <w:marBottom w:val="0"/>
          <w:divBdr>
            <w:top w:val="none" w:sz="0" w:space="0" w:color="auto"/>
            <w:left w:val="none" w:sz="0" w:space="0" w:color="auto"/>
            <w:bottom w:val="none" w:sz="0" w:space="0" w:color="auto"/>
            <w:right w:val="none" w:sz="0" w:space="0" w:color="auto"/>
          </w:divBdr>
          <w:divsChild>
            <w:div w:id="1423723144">
              <w:marLeft w:val="0"/>
              <w:marRight w:val="0"/>
              <w:marTop w:val="0"/>
              <w:marBottom w:val="0"/>
              <w:divBdr>
                <w:top w:val="none" w:sz="0" w:space="0" w:color="auto"/>
                <w:left w:val="none" w:sz="0" w:space="0" w:color="auto"/>
                <w:bottom w:val="none" w:sz="0" w:space="0" w:color="auto"/>
                <w:right w:val="none" w:sz="0" w:space="0" w:color="auto"/>
              </w:divBdr>
            </w:div>
          </w:divsChild>
        </w:div>
        <w:div w:id="1603494130">
          <w:marLeft w:val="0"/>
          <w:marRight w:val="0"/>
          <w:marTop w:val="0"/>
          <w:marBottom w:val="0"/>
          <w:divBdr>
            <w:top w:val="none" w:sz="0" w:space="0" w:color="auto"/>
            <w:left w:val="none" w:sz="0" w:space="0" w:color="auto"/>
            <w:bottom w:val="none" w:sz="0" w:space="0" w:color="auto"/>
            <w:right w:val="none" w:sz="0" w:space="0" w:color="auto"/>
          </w:divBdr>
          <w:divsChild>
            <w:div w:id="2095928775">
              <w:marLeft w:val="0"/>
              <w:marRight w:val="0"/>
              <w:marTop w:val="0"/>
              <w:marBottom w:val="0"/>
              <w:divBdr>
                <w:top w:val="none" w:sz="0" w:space="0" w:color="auto"/>
                <w:left w:val="none" w:sz="0" w:space="0" w:color="auto"/>
                <w:bottom w:val="none" w:sz="0" w:space="0" w:color="auto"/>
                <w:right w:val="none" w:sz="0" w:space="0" w:color="auto"/>
              </w:divBdr>
            </w:div>
          </w:divsChild>
        </w:div>
        <w:div w:id="1649506219">
          <w:marLeft w:val="0"/>
          <w:marRight w:val="0"/>
          <w:marTop w:val="0"/>
          <w:marBottom w:val="0"/>
          <w:divBdr>
            <w:top w:val="none" w:sz="0" w:space="0" w:color="auto"/>
            <w:left w:val="none" w:sz="0" w:space="0" w:color="auto"/>
            <w:bottom w:val="none" w:sz="0" w:space="0" w:color="auto"/>
            <w:right w:val="none" w:sz="0" w:space="0" w:color="auto"/>
          </w:divBdr>
          <w:divsChild>
            <w:div w:id="389500953">
              <w:marLeft w:val="0"/>
              <w:marRight w:val="0"/>
              <w:marTop w:val="0"/>
              <w:marBottom w:val="0"/>
              <w:divBdr>
                <w:top w:val="none" w:sz="0" w:space="0" w:color="auto"/>
                <w:left w:val="none" w:sz="0" w:space="0" w:color="auto"/>
                <w:bottom w:val="none" w:sz="0" w:space="0" w:color="auto"/>
                <w:right w:val="none" w:sz="0" w:space="0" w:color="auto"/>
              </w:divBdr>
            </w:div>
          </w:divsChild>
        </w:div>
        <w:div w:id="1684361298">
          <w:marLeft w:val="0"/>
          <w:marRight w:val="0"/>
          <w:marTop w:val="0"/>
          <w:marBottom w:val="0"/>
          <w:divBdr>
            <w:top w:val="none" w:sz="0" w:space="0" w:color="auto"/>
            <w:left w:val="none" w:sz="0" w:space="0" w:color="auto"/>
            <w:bottom w:val="none" w:sz="0" w:space="0" w:color="auto"/>
            <w:right w:val="none" w:sz="0" w:space="0" w:color="auto"/>
          </w:divBdr>
          <w:divsChild>
            <w:div w:id="320278188">
              <w:marLeft w:val="0"/>
              <w:marRight w:val="0"/>
              <w:marTop w:val="0"/>
              <w:marBottom w:val="0"/>
              <w:divBdr>
                <w:top w:val="none" w:sz="0" w:space="0" w:color="auto"/>
                <w:left w:val="none" w:sz="0" w:space="0" w:color="auto"/>
                <w:bottom w:val="none" w:sz="0" w:space="0" w:color="auto"/>
                <w:right w:val="none" w:sz="0" w:space="0" w:color="auto"/>
              </w:divBdr>
            </w:div>
          </w:divsChild>
        </w:div>
        <w:div w:id="1732575727">
          <w:marLeft w:val="0"/>
          <w:marRight w:val="0"/>
          <w:marTop w:val="0"/>
          <w:marBottom w:val="0"/>
          <w:divBdr>
            <w:top w:val="none" w:sz="0" w:space="0" w:color="auto"/>
            <w:left w:val="none" w:sz="0" w:space="0" w:color="auto"/>
            <w:bottom w:val="none" w:sz="0" w:space="0" w:color="auto"/>
            <w:right w:val="none" w:sz="0" w:space="0" w:color="auto"/>
          </w:divBdr>
          <w:divsChild>
            <w:div w:id="1903128046">
              <w:marLeft w:val="0"/>
              <w:marRight w:val="0"/>
              <w:marTop w:val="0"/>
              <w:marBottom w:val="0"/>
              <w:divBdr>
                <w:top w:val="none" w:sz="0" w:space="0" w:color="auto"/>
                <w:left w:val="none" w:sz="0" w:space="0" w:color="auto"/>
                <w:bottom w:val="none" w:sz="0" w:space="0" w:color="auto"/>
                <w:right w:val="none" w:sz="0" w:space="0" w:color="auto"/>
              </w:divBdr>
            </w:div>
          </w:divsChild>
        </w:div>
        <w:div w:id="1801800558">
          <w:marLeft w:val="0"/>
          <w:marRight w:val="0"/>
          <w:marTop w:val="0"/>
          <w:marBottom w:val="0"/>
          <w:divBdr>
            <w:top w:val="none" w:sz="0" w:space="0" w:color="auto"/>
            <w:left w:val="none" w:sz="0" w:space="0" w:color="auto"/>
            <w:bottom w:val="none" w:sz="0" w:space="0" w:color="auto"/>
            <w:right w:val="none" w:sz="0" w:space="0" w:color="auto"/>
          </w:divBdr>
          <w:divsChild>
            <w:div w:id="122776580">
              <w:marLeft w:val="0"/>
              <w:marRight w:val="0"/>
              <w:marTop w:val="0"/>
              <w:marBottom w:val="0"/>
              <w:divBdr>
                <w:top w:val="none" w:sz="0" w:space="0" w:color="auto"/>
                <w:left w:val="none" w:sz="0" w:space="0" w:color="auto"/>
                <w:bottom w:val="none" w:sz="0" w:space="0" w:color="auto"/>
                <w:right w:val="none" w:sz="0" w:space="0" w:color="auto"/>
              </w:divBdr>
            </w:div>
          </w:divsChild>
        </w:div>
        <w:div w:id="1817187428">
          <w:marLeft w:val="0"/>
          <w:marRight w:val="0"/>
          <w:marTop w:val="0"/>
          <w:marBottom w:val="0"/>
          <w:divBdr>
            <w:top w:val="none" w:sz="0" w:space="0" w:color="auto"/>
            <w:left w:val="none" w:sz="0" w:space="0" w:color="auto"/>
            <w:bottom w:val="none" w:sz="0" w:space="0" w:color="auto"/>
            <w:right w:val="none" w:sz="0" w:space="0" w:color="auto"/>
          </w:divBdr>
          <w:divsChild>
            <w:div w:id="1222400116">
              <w:marLeft w:val="0"/>
              <w:marRight w:val="0"/>
              <w:marTop w:val="0"/>
              <w:marBottom w:val="0"/>
              <w:divBdr>
                <w:top w:val="none" w:sz="0" w:space="0" w:color="auto"/>
                <w:left w:val="none" w:sz="0" w:space="0" w:color="auto"/>
                <w:bottom w:val="none" w:sz="0" w:space="0" w:color="auto"/>
                <w:right w:val="none" w:sz="0" w:space="0" w:color="auto"/>
              </w:divBdr>
            </w:div>
          </w:divsChild>
        </w:div>
        <w:div w:id="1817993748">
          <w:marLeft w:val="0"/>
          <w:marRight w:val="0"/>
          <w:marTop w:val="0"/>
          <w:marBottom w:val="0"/>
          <w:divBdr>
            <w:top w:val="none" w:sz="0" w:space="0" w:color="auto"/>
            <w:left w:val="none" w:sz="0" w:space="0" w:color="auto"/>
            <w:bottom w:val="none" w:sz="0" w:space="0" w:color="auto"/>
            <w:right w:val="none" w:sz="0" w:space="0" w:color="auto"/>
          </w:divBdr>
          <w:divsChild>
            <w:div w:id="104078477">
              <w:marLeft w:val="0"/>
              <w:marRight w:val="0"/>
              <w:marTop w:val="0"/>
              <w:marBottom w:val="0"/>
              <w:divBdr>
                <w:top w:val="none" w:sz="0" w:space="0" w:color="auto"/>
                <w:left w:val="none" w:sz="0" w:space="0" w:color="auto"/>
                <w:bottom w:val="none" w:sz="0" w:space="0" w:color="auto"/>
                <w:right w:val="none" w:sz="0" w:space="0" w:color="auto"/>
              </w:divBdr>
            </w:div>
          </w:divsChild>
        </w:div>
        <w:div w:id="1856726482">
          <w:marLeft w:val="0"/>
          <w:marRight w:val="0"/>
          <w:marTop w:val="0"/>
          <w:marBottom w:val="0"/>
          <w:divBdr>
            <w:top w:val="none" w:sz="0" w:space="0" w:color="auto"/>
            <w:left w:val="none" w:sz="0" w:space="0" w:color="auto"/>
            <w:bottom w:val="none" w:sz="0" w:space="0" w:color="auto"/>
            <w:right w:val="none" w:sz="0" w:space="0" w:color="auto"/>
          </w:divBdr>
          <w:divsChild>
            <w:div w:id="180122174">
              <w:marLeft w:val="0"/>
              <w:marRight w:val="0"/>
              <w:marTop w:val="0"/>
              <w:marBottom w:val="0"/>
              <w:divBdr>
                <w:top w:val="none" w:sz="0" w:space="0" w:color="auto"/>
                <w:left w:val="none" w:sz="0" w:space="0" w:color="auto"/>
                <w:bottom w:val="none" w:sz="0" w:space="0" w:color="auto"/>
                <w:right w:val="none" w:sz="0" w:space="0" w:color="auto"/>
              </w:divBdr>
            </w:div>
          </w:divsChild>
        </w:div>
        <w:div w:id="1903562809">
          <w:marLeft w:val="0"/>
          <w:marRight w:val="0"/>
          <w:marTop w:val="0"/>
          <w:marBottom w:val="0"/>
          <w:divBdr>
            <w:top w:val="none" w:sz="0" w:space="0" w:color="auto"/>
            <w:left w:val="none" w:sz="0" w:space="0" w:color="auto"/>
            <w:bottom w:val="none" w:sz="0" w:space="0" w:color="auto"/>
            <w:right w:val="none" w:sz="0" w:space="0" w:color="auto"/>
          </w:divBdr>
          <w:divsChild>
            <w:div w:id="780953633">
              <w:marLeft w:val="0"/>
              <w:marRight w:val="0"/>
              <w:marTop w:val="0"/>
              <w:marBottom w:val="0"/>
              <w:divBdr>
                <w:top w:val="none" w:sz="0" w:space="0" w:color="auto"/>
                <w:left w:val="none" w:sz="0" w:space="0" w:color="auto"/>
                <w:bottom w:val="none" w:sz="0" w:space="0" w:color="auto"/>
                <w:right w:val="none" w:sz="0" w:space="0" w:color="auto"/>
              </w:divBdr>
            </w:div>
          </w:divsChild>
        </w:div>
        <w:div w:id="1913855381">
          <w:marLeft w:val="0"/>
          <w:marRight w:val="0"/>
          <w:marTop w:val="0"/>
          <w:marBottom w:val="0"/>
          <w:divBdr>
            <w:top w:val="none" w:sz="0" w:space="0" w:color="auto"/>
            <w:left w:val="none" w:sz="0" w:space="0" w:color="auto"/>
            <w:bottom w:val="none" w:sz="0" w:space="0" w:color="auto"/>
            <w:right w:val="none" w:sz="0" w:space="0" w:color="auto"/>
          </w:divBdr>
          <w:divsChild>
            <w:div w:id="1272936266">
              <w:marLeft w:val="0"/>
              <w:marRight w:val="0"/>
              <w:marTop w:val="0"/>
              <w:marBottom w:val="0"/>
              <w:divBdr>
                <w:top w:val="none" w:sz="0" w:space="0" w:color="auto"/>
                <w:left w:val="none" w:sz="0" w:space="0" w:color="auto"/>
                <w:bottom w:val="none" w:sz="0" w:space="0" w:color="auto"/>
                <w:right w:val="none" w:sz="0" w:space="0" w:color="auto"/>
              </w:divBdr>
            </w:div>
          </w:divsChild>
        </w:div>
        <w:div w:id="1940286519">
          <w:marLeft w:val="0"/>
          <w:marRight w:val="0"/>
          <w:marTop w:val="0"/>
          <w:marBottom w:val="0"/>
          <w:divBdr>
            <w:top w:val="none" w:sz="0" w:space="0" w:color="auto"/>
            <w:left w:val="none" w:sz="0" w:space="0" w:color="auto"/>
            <w:bottom w:val="none" w:sz="0" w:space="0" w:color="auto"/>
            <w:right w:val="none" w:sz="0" w:space="0" w:color="auto"/>
          </w:divBdr>
          <w:divsChild>
            <w:div w:id="776948287">
              <w:marLeft w:val="0"/>
              <w:marRight w:val="0"/>
              <w:marTop w:val="0"/>
              <w:marBottom w:val="0"/>
              <w:divBdr>
                <w:top w:val="none" w:sz="0" w:space="0" w:color="auto"/>
                <w:left w:val="none" w:sz="0" w:space="0" w:color="auto"/>
                <w:bottom w:val="none" w:sz="0" w:space="0" w:color="auto"/>
                <w:right w:val="none" w:sz="0" w:space="0" w:color="auto"/>
              </w:divBdr>
            </w:div>
          </w:divsChild>
        </w:div>
        <w:div w:id="1956984081">
          <w:marLeft w:val="0"/>
          <w:marRight w:val="0"/>
          <w:marTop w:val="0"/>
          <w:marBottom w:val="0"/>
          <w:divBdr>
            <w:top w:val="none" w:sz="0" w:space="0" w:color="auto"/>
            <w:left w:val="none" w:sz="0" w:space="0" w:color="auto"/>
            <w:bottom w:val="none" w:sz="0" w:space="0" w:color="auto"/>
            <w:right w:val="none" w:sz="0" w:space="0" w:color="auto"/>
          </w:divBdr>
          <w:divsChild>
            <w:div w:id="1355840770">
              <w:marLeft w:val="0"/>
              <w:marRight w:val="0"/>
              <w:marTop w:val="0"/>
              <w:marBottom w:val="0"/>
              <w:divBdr>
                <w:top w:val="none" w:sz="0" w:space="0" w:color="auto"/>
                <w:left w:val="none" w:sz="0" w:space="0" w:color="auto"/>
                <w:bottom w:val="none" w:sz="0" w:space="0" w:color="auto"/>
                <w:right w:val="none" w:sz="0" w:space="0" w:color="auto"/>
              </w:divBdr>
            </w:div>
          </w:divsChild>
        </w:div>
        <w:div w:id="1980306487">
          <w:marLeft w:val="0"/>
          <w:marRight w:val="0"/>
          <w:marTop w:val="0"/>
          <w:marBottom w:val="0"/>
          <w:divBdr>
            <w:top w:val="none" w:sz="0" w:space="0" w:color="auto"/>
            <w:left w:val="none" w:sz="0" w:space="0" w:color="auto"/>
            <w:bottom w:val="none" w:sz="0" w:space="0" w:color="auto"/>
            <w:right w:val="none" w:sz="0" w:space="0" w:color="auto"/>
          </w:divBdr>
          <w:divsChild>
            <w:div w:id="1704667522">
              <w:marLeft w:val="0"/>
              <w:marRight w:val="0"/>
              <w:marTop w:val="0"/>
              <w:marBottom w:val="0"/>
              <w:divBdr>
                <w:top w:val="none" w:sz="0" w:space="0" w:color="auto"/>
                <w:left w:val="none" w:sz="0" w:space="0" w:color="auto"/>
                <w:bottom w:val="none" w:sz="0" w:space="0" w:color="auto"/>
                <w:right w:val="none" w:sz="0" w:space="0" w:color="auto"/>
              </w:divBdr>
            </w:div>
          </w:divsChild>
        </w:div>
        <w:div w:id="1993867740">
          <w:marLeft w:val="0"/>
          <w:marRight w:val="0"/>
          <w:marTop w:val="0"/>
          <w:marBottom w:val="0"/>
          <w:divBdr>
            <w:top w:val="none" w:sz="0" w:space="0" w:color="auto"/>
            <w:left w:val="none" w:sz="0" w:space="0" w:color="auto"/>
            <w:bottom w:val="none" w:sz="0" w:space="0" w:color="auto"/>
            <w:right w:val="none" w:sz="0" w:space="0" w:color="auto"/>
          </w:divBdr>
          <w:divsChild>
            <w:div w:id="1752774683">
              <w:marLeft w:val="0"/>
              <w:marRight w:val="0"/>
              <w:marTop w:val="0"/>
              <w:marBottom w:val="0"/>
              <w:divBdr>
                <w:top w:val="none" w:sz="0" w:space="0" w:color="auto"/>
                <w:left w:val="none" w:sz="0" w:space="0" w:color="auto"/>
                <w:bottom w:val="none" w:sz="0" w:space="0" w:color="auto"/>
                <w:right w:val="none" w:sz="0" w:space="0" w:color="auto"/>
              </w:divBdr>
            </w:div>
          </w:divsChild>
        </w:div>
        <w:div w:id="2024168238">
          <w:marLeft w:val="0"/>
          <w:marRight w:val="0"/>
          <w:marTop w:val="0"/>
          <w:marBottom w:val="0"/>
          <w:divBdr>
            <w:top w:val="none" w:sz="0" w:space="0" w:color="auto"/>
            <w:left w:val="none" w:sz="0" w:space="0" w:color="auto"/>
            <w:bottom w:val="none" w:sz="0" w:space="0" w:color="auto"/>
            <w:right w:val="none" w:sz="0" w:space="0" w:color="auto"/>
          </w:divBdr>
          <w:divsChild>
            <w:div w:id="729770555">
              <w:marLeft w:val="0"/>
              <w:marRight w:val="0"/>
              <w:marTop w:val="0"/>
              <w:marBottom w:val="0"/>
              <w:divBdr>
                <w:top w:val="none" w:sz="0" w:space="0" w:color="auto"/>
                <w:left w:val="none" w:sz="0" w:space="0" w:color="auto"/>
                <w:bottom w:val="none" w:sz="0" w:space="0" w:color="auto"/>
                <w:right w:val="none" w:sz="0" w:space="0" w:color="auto"/>
              </w:divBdr>
            </w:div>
          </w:divsChild>
        </w:div>
        <w:div w:id="2094233312">
          <w:marLeft w:val="0"/>
          <w:marRight w:val="0"/>
          <w:marTop w:val="0"/>
          <w:marBottom w:val="0"/>
          <w:divBdr>
            <w:top w:val="none" w:sz="0" w:space="0" w:color="auto"/>
            <w:left w:val="none" w:sz="0" w:space="0" w:color="auto"/>
            <w:bottom w:val="none" w:sz="0" w:space="0" w:color="auto"/>
            <w:right w:val="none" w:sz="0" w:space="0" w:color="auto"/>
          </w:divBdr>
          <w:divsChild>
            <w:div w:id="843084211">
              <w:marLeft w:val="0"/>
              <w:marRight w:val="0"/>
              <w:marTop w:val="0"/>
              <w:marBottom w:val="0"/>
              <w:divBdr>
                <w:top w:val="none" w:sz="0" w:space="0" w:color="auto"/>
                <w:left w:val="none" w:sz="0" w:space="0" w:color="auto"/>
                <w:bottom w:val="none" w:sz="0" w:space="0" w:color="auto"/>
                <w:right w:val="none" w:sz="0" w:space="0" w:color="auto"/>
              </w:divBdr>
            </w:div>
          </w:divsChild>
        </w:div>
        <w:div w:id="2133621815">
          <w:marLeft w:val="0"/>
          <w:marRight w:val="0"/>
          <w:marTop w:val="0"/>
          <w:marBottom w:val="0"/>
          <w:divBdr>
            <w:top w:val="none" w:sz="0" w:space="0" w:color="auto"/>
            <w:left w:val="none" w:sz="0" w:space="0" w:color="auto"/>
            <w:bottom w:val="none" w:sz="0" w:space="0" w:color="auto"/>
            <w:right w:val="none" w:sz="0" w:space="0" w:color="auto"/>
          </w:divBdr>
          <w:divsChild>
            <w:div w:id="161382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356804">
      <w:bodyDiv w:val="1"/>
      <w:marLeft w:val="0"/>
      <w:marRight w:val="0"/>
      <w:marTop w:val="0"/>
      <w:marBottom w:val="0"/>
      <w:divBdr>
        <w:top w:val="none" w:sz="0" w:space="0" w:color="auto"/>
        <w:left w:val="none" w:sz="0" w:space="0" w:color="auto"/>
        <w:bottom w:val="none" w:sz="0" w:space="0" w:color="auto"/>
        <w:right w:val="none" w:sz="0" w:space="0" w:color="auto"/>
      </w:divBdr>
      <w:divsChild>
        <w:div w:id="710030943">
          <w:marLeft w:val="0"/>
          <w:marRight w:val="0"/>
          <w:marTop w:val="0"/>
          <w:marBottom w:val="0"/>
          <w:divBdr>
            <w:top w:val="none" w:sz="0" w:space="0" w:color="auto"/>
            <w:left w:val="none" w:sz="0" w:space="0" w:color="auto"/>
            <w:bottom w:val="none" w:sz="0" w:space="0" w:color="auto"/>
            <w:right w:val="none" w:sz="0" w:space="0" w:color="auto"/>
          </w:divBdr>
        </w:div>
        <w:div w:id="2040621563">
          <w:marLeft w:val="0"/>
          <w:marRight w:val="0"/>
          <w:marTop w:val="0"/>
          <w:marBottom w:val="0"/>
          <w:divBdr>
            <w:top w:val="none" w:sz="0" w:space="0" w:color="auto"/>
            <w:left w:val="none" w:sz="0" w:space="0" w:color="auto"/>
            <w:bottom w:val="none" w:sz="0" w:space="0" w:color="auto"/>
            <w:right w:val="none" w:sz="0" w:space="0" w:color="auto"/>
          </w:divBdr>
        </w:div>
      </w:divsChild>
    </w:div>
    <w:div w:id="1622958300">
      <w:bodyDiv w:val="1"/>
      <w:marLeft w:val="0"/>
      <w:marRight w:val="0"/>
      <w:marTop w:val="0"/>
      <w:marBottom w:val="0"/>
      <w:divBdr>
        <w:top w:val="none" w:sz="0" w:space="0" w:color="auto"/>
        <w:left w:val="none" w:sz="0" w:space="0" w:color="auto"/>
        <w:bottom w:val="none" w:sz="0" w:space="0" w:color="auto"/>
        <w:right w:val="none" w:sz="0" w:space="0" w:color="auto"/>
      </w:divBdr>
    </w:div>
    <w:div w:id="1672216649">
      <w:bodyDiv w:val="1"/>
      <w:marLeft w:val="0"/>
      <w:marRight w:val="0"/>
      <w:marTop w:val="0"/>
      <w:marBottom w:val="0"/>
      <w:divBdr>
        <w:top w:val="none" w:sz="0" w:space="0" w:color="auto"/>
        <w:left w:val="none" w:sz="0" w:space="0" w:color="auto"/>
        <w:bottom w:val="none" w:sz="0" w:space="0" w:color="auto"/>
        <w:right w:val="none" w:sz="0" w:space="0" w:color="auto"/>
      </w:divBdr>
    </w:div>
    <w:div w:id="1702970456">
      <w:bodyDiv w:val="1"/>
      <w:marLeft w:val="0"/>
      <w:marRight w:val="0"/>
      <w:marTop w:val="0"/>
      <w:marBottom w:val="0"/>
      <w:divBdr>
        <w:top w:val="none" w:sz="0" w:space="0" w:color="auto"/>
        <w:left w:val="none" w:sz="0" w:space="0" w:color="auto"/>
        <w:bottom w:val="none" w:sz="0" w:space="0" w:color="auto"/>
        <w:right w:val="none" w:sz="0" w:space="0" w:color="auto"/>
      </w:divBdr>
    </w:div>
    <w:div w:id="1730955722">
      <w:bodyDiv w:val="1"/>
      <w:marLeft w:val="0"/>
      <w:marRight w:val="0"/>
      <w:marTop w:val="0"/>
      <w:marBottom w:val="0"/>
      <w:divBdr>
        <w:top w:val="none" w:sz="0" w:space="0" w:color="auto"/>
        <w:left w:val="none" w:sz="0" w:space="0" w:color="auto"/>
        <w:bottom w:val="none" w:sz="0" w:space="0" w:color="auto"/>
        <w:right w:val="none" w:sz="0" w:space="0" w:color="auto"/>
      </w:divBdr>
    </w:div>
    <w:div w:id="1763842256">
      <w:bodyDiv w:val="1"/>
      <w:marLeft w:val="0"/>
      <w:marRight w:val="0"/>
      <w:marTop w:val="0"/>
      <w:marBottom w:val="0"/>
      <w:divBdr>
        <w:top w:val="none" w:sz="0" w:space="0" w:color="auto"/>
        <w:left w:val="none" w:sz="0" w:space="0" w:color="auto"/>
        <w:bottom w:val="none" w:sz="0" w:space="0" w:color="auto"/>
        <w:right w:val="none" w:sz="0" w:space="0" w:color="auto"/>
      </w:divBdr>
    </w:div>
    <w:div w:id="1870332828">
      <w:bodyDiv w:val="1"/>
      <w:marLeft w:val="0"/>
      <w:marRight w:val="0"/>
      <w:marTop w:val="0"/>
      <w:marBottom w:val="0"/>
      <w:divBdr>
        <w:top w:val="none" w:sz="0" w:space="0" w:color="auto"/>
        <w:left w:val="none" w:sz="0" w:space="0" w:color="auto"/>
        <w:bottom w:val="none" w:sz="0" w:space="0" w:color="auto"/>
        <w:right w:val="none" w:sz="0" w:space="0" w:color="auto"/>
      </w:divBdr>
    </w:div>
    <w:div w:id="1896698524">
      <w:bodyDiv w:val="1"/>
      <w:marLeft w:val="0"/>
      <w:marRight w:val="0"/>
      <w:marTop w:val="0"/>
      <w:marBottom w:val="0"/>
      <w:divBdr>
        <w:top w:val="none" w:sz="0" w:space="0" w:color="auto"/>
        <w:left w:val="none" w:sz="0" w:space="0" w:color="auto"/>
        <w:bottom w:val="none" w:sz="0" w:space="0" w:color="auto"/>
        <w:right w:val="none" w:sz="0" w:space="0" w:color="auto"/>
      </w:divBdr>
    </w:div>
    <w:div w:id="1947351058">
      <w:bodyDiv w:val="1"/>
      <w:marLeft w:val="0"/>
      <w:marRight w:val="0"/>
      <w:marTop w:val="0"/>
      <w:marBottom w:val="0"/>
      <w:divBdr>
        <w:top w:val="none" w:sz="0" w:space="0" w:color="auto"/>
        <w:left w:val="none" w:sz="0" w:space="0" w:color="auto"/>
        <w:bottom w:val="none" w:sz="0" w:space="0" w:color="auto"/>
        <w:right w:val="none" w:sz="0" w:space="0" w:color="auto"/>
      </w:divBdr>
    </w:div>
    <w:div w:id="1949310274">
      <w:bodyDiv w:val="1"/>
      <w:marLeft w:val="0"/>
      <w:marRight w:val="0"/>
      <w:marTop w:val="0"/>
      <w:marBottom w:val="0"/>
      <w:divBdr>
        <w:top w:val="none" w:sz="0" w:space="0" w:color="auto"/>
        <w:left w:val="none" w:sz="0" w:space="0" w:color="auto"/>
        <w:bottom w:val="none" w:sz="0" w:space="0" w:color="auto"/>
        <w:right w:val="none" w:sz="0" w:space="0" w:color="auto"/>
      </w:divBdr>
    </w:div>
    <w:div w:id="1993364350">
      <w:bodyDiv w:val="1"/>
      <w:marLeft w:val="0"/>
      <w:marRight w:val="0"/>
      <w:marTop w:val="0"/>
      <w:marBottom w:val="0"/>
      <w:divBdr>
        <w:top w:val="none" w:sz="0" w:space="0" w:color="auto"/>
        <w:left w:val="none" w:sz="0" w:space="0" w:color="auto"/>
        <w:bottom w:val="none" w:sz="0" w:space="0" w:color="auto"/>
        <w:right w:val="none" w:sz="0" w:space="0" w:color="auto"/>
      </w:divBdr>
    </w:div>
    <w:div w:id="2114785063">
      <w:bodyDiv w:val="1"/>
      <w:marLeft w:val="0"/>
      <w:marRight w:val="0"/>
      <w:marTop w:val="0"/>
      <w:marBottom w:val="0"/>
      <w:divBdr>
        <w:top w:val="none" w:sz="0" w:space="0" w:color="auto"/>
        <w:left w:val="none" w:sz="0" w:space="0" w:color="auto"/>
        <w:bottom w:val="none" w:sz="0" w:space="0" w:color="auto"/>
        <w:right w:val="none" w:sz="0" w:space="0" w:color="auto"/>
      </w:divBdr>
      <w:divsChild>
        <w:div w:id="1720395705">
          <w:marLeft w:val="0"/>
          <w:marRight w:val="0"/>
          <w:marTop w:val="0"/>
          <w:marBottom w:val="0"/>
          <w:divBdr>
            <w:top w:val="none" w:sz="0" w:space="0" w:color="auto"/>
            <w:left w:val="none" w:sz="0" w:space="0" w:color="auto"/>
            <w:bottom w:val="none" w:sz="0" w:space="0" w:color="auto"/>
            <w:right w:val="none" w:sz="0" w:space="0" w:color="auto"/>
          </w:divBdr>
        </w:div>
        <w:div w:id="176229324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header" Target="header8.xml" Id="rId26" /><Relationship Type="http://schemas.openxmlformats.org/officeDocument/2006/relationships/hyperlink" Target="https://www.nerc.com/pa/Stand/Reliability%20Standards/EOP-012-3.pdf" TargetMode="External" Id="rId21" /><Relationship Type="http://schemas.openxmlformats.org/officeDocument/2006/relationships/header" Target="header16.xml" Id="rId42" /><Relationship Type="http://schemas.openxmlformats.org/officeDocument/2006/relationships/header" Target="header18.xml" Id="rId47" /><Relationship Type="http://schemas.openxmlformats.org/officeDocument/2006/relationships/header" Target="header28.xml" Id="rId63" /><Relationship Type="http://schemas.openxmlformats.org/officeDocument/2006/relationships/footer" Target="footer26.xml" Id="rId68" /><Relationship Type="http://schemas.openxmlformats.org/officeDocument/2006/relationships/styles" Target="styles.xml" Id="rId2" /><Relationship Type="http://schemas.openxmlformats.org/officeDocument/2006/relationships/footer" Target="footer5.xml" Id="rId16" /><Relationship Type="http://schemas.openxmlformats.org/officeDocument/2006/relationships/footer" Target="footer10.xml" Id="rId29" /><Relationship Type="http://schemas.openxmlformats.org/officeDocument/2006/relationships/header" Target="header3.xml" Id="rId11" /><Relationship Type="http://schemas.openxmlformats.org/officeDocument/2006/relationships/header" Target="header7.xml" Id="rId24" /><Relationship Type="http://schemas.openxmlformats.org/officeDocument/2006/relationships/header" Target="header11.xml" Id="rId32" /><Relationship Type="http://schemas.openxmlformats.org/officeDocument/2006/relationships/footer" Target="footer14.xml" Id="rId37" /><Relationship Type="http://schemas.openxmlformats.org/officeDocument/2006/relationships/header" Target="header15.xml" Id="rId40" /><Relationship Type="http://schemas.openxmlformats.org/officeDocument/2006/relationships/header" Target="header17.xml" Id="rId45" /><Relationship Type="http://schemas.openxmlformats.org/officeDocument/2006/relationships/header" Target="header22.xml" Id="rId53" /><Relationship Type="http://schemas.openxmlformats.org/officeDocument/2006/relationships/header" Target="header25.xml" Id="rId58" /><Relationship Type="http://schemas.openxmlformats.org/officeDocument/2006/relationships/header" Target="header30.xml" Id="rId66" /><Relationship Type="http://schemas.openxmlformats.org/officeDocument/2006/relationships/footnotes" Target="footnotes.xml" Id="rId5" /><Relationship Type="http://schemas.openxmlformats.org/officeDocument/2006/relationships/header" Target="header27.xml" Id="rId61" /><Relationship Type="http://schemas.openxmlformats.org/officeDocument/2006/relationships/header" Target="header6.xml" Id="rId19" /><Relationship Type="http://schemas.openxmlformats.org/officeDocument/2006/relationships/header" Target="header5.xml" Id="rId14" /><Relationship Type="http://schemas.openxmlformats.org/officeDocument/2006/relationships/hyperlink" Target="https://gadnr.org" TargetMode="External" Id="rId22" /><Relationship Type="http://schemas.openxmlformats.org/officeDocument/2006/relationships/footer" Target="footer9.xml" Id="rId27" /><Relationship Type="http://schemas.openxmlformats.org/officeDocument/2006/relationships/header" Target="header10.xml" Id="rId30" /><Relationship Type="http://schemas.openxmlformats.org/officeDocument/2006/relationships/footer" Target="footer13.xml" Id="rId35" /><Relationship Type="http://schemas.openxmlformats.org/officeDocument/2006/relationships/footer" Target="footer17.xml" Id="rId43" /><Relationship Type="http://schemas.openxmlformats.org/officeDocument/2006/relationships/footer" Target="footer19.xml" Id="rId48" /><Relationship Type="http://schemas.openxmlformats.org/officeDocument/2006/relationships/footer" Target="footer22.xml" Id="rId56" /><Relationship Type="http://schemas.openxmlformats.org/officeDocument/2006/relationships/header" Target="header29.xml" Id="rId64" /><Relationship Type="http://schemas.openxmlformats.org/officeDocument/2006/relationships/fontTable" Target="fontTable.xml" Id="rId69" /><Relationship Type="http://schemas.openxmlformats.org/officeDocument/2006/relationships/header" Target="header2.xml" Id="rId8" /><Relationship Type="http://schemas.openxmlformats.org/officeDocument/2006/relationships/footer" Target="footer20.xml" Id="rId51" /><Relationship Type="http://schemas.openxmlformats.org/officeDocument/2006/relationships/settings" Target="settings.xml" Id="rId3" /><Relationship Type="http://schemas.openxmlformats.org/officeDocument/2006/relationships/footer" Target="footer3.xml" Id="rId12" /><Relationship Type="http://schemas.openxmlformats.org/officeDocument/2006/relationships/footer" Target="footer6.xml" Id="rId17" /><Relationship Type="http://schemas.openxmlformats.org/officeDocument/2006/relationships/footer" Target="footer8.xml" Id="rId25" /><Relationship Type="http://schemas.openxmlformats.org/officeDocument/2006/relationships/footer" Target="footer12.xml" Id="rId33" /><Relationship Type="http://schemas.openxmlformats.org/officeDocument/2006/relationships/header" Target="header14.xml" Id="rId38" /><Relationship Type="http://schemas.openxmlformats.org/officeDocument/2006/relationships/footer" Target="footer18.xml" Id="rId46" /><Relationship Type="http://schemas.openxmlformats.org/officeDocument/2006/relationships/footer" Target="footer23.xml" Id="rId59" /><Relationship Type="http://schemas.openxmlformats.org/officeDocument/2006/relationships/header" Target="header31.xml" Id="rId67" /><Relationship Type="http://schemas.openxmlformats.org/officeDocument/2006/relationships/footer" Target="footer7.xml" Id="rId20" /><Relationship Type="http://schemas.openxmlformats.org/officeDocument/2006/relationships/footer" Target="footer16.xml" Id="rId41" /><Relationship Type="http://schemas.openxmlformats.org/officeDocument/2006/relationships/footer" Target="footer21.xml" Id="rId54" /><Relationship Type="http://schemas.openxmlformats.org/officeDocument/2006/relationships/footer" Target="footer24.xml" Id="rId62" /><Relationship Type="http://schemas.openxmlformats.org/officeDocument/2006/relationships/theme" Target="theme/theme1.xml" Id="rId7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er" Target="footer4.xml" Id="rId15" /><Relationship Type="http://schemas.openxmlformats.org/officeDocument/2006/relationships/hyperlink" Target="https://gadnr.org" TargetMode="External" Id="rId23" /><Relationship Type="http://schemas.openxmlformats.org/officeDocument/2006/relationships/header" Target="header9.xml" Id="rId28" /><Relationship Type="http://schemas.openxmlformats.org/officeDocument/2006/relationships/header" Target="header13.xml" Id="rId36" /><Relationship Type="http://schemas.openxmlformats.org/officeDocument/2006/relationships/header" Target="header19.xml" Id="rId49" /><Relationship Type="http://schemas.openxmlformats.org/officeDocument/2006/relationships/header" Target="header24.xml" Id="rId57" /><Relationship Type="http://schemas.openxmlformats.org/officeDocument/2006/relationships/footer" Target="footer2.xml" Id="rId10" /><Relationship Type="http://schemas.openxmlformats.org/officeDocument/2006/relationships/footer" Target="footer11.xml" Id="rId31" /><Relationship Type="http://schemas.openxmlformats.org/officeDocument/2006/relationships/hyperlink" Target="mailto:G2GPCERG@southernco.com" TargetMode="External" Id="rId44" /><Relationship Type="http://schemas.openxmlformats.org/officeDocument/2006/relationships/header" Target="header21.xml" Id="rId52" /><Relationship Type="http://schemas.openxmlformats.org/officeDocument/2006/relationships/header" Target="header26.xml" Id="rId60" /><Relationship Type="http://schemas.openxmlformats.org/officeDocument/2006/relationships/footer" Target="footer25.xml" Id="rId65"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header" Target="header4.xml" Id="rId13" /><Relationship Type="http://schemas.openxmlformats.org/officeDocument/2006/relationships/hyperlink" Target="https://www.oasis.oati.com/SOCO" TargetMode="External" Id="rId18" /><Relationship Type="http://schemas.openxmlformats.org/officeDocument/2006/relationships/footer" Target="footer15.xml" Id="rId39" /><Relationship Type="http://schemas.openxmlformats.org/officeDocument/2006/relationships/header" Target="header12.xml" Id="rId34" /><Relationship Type="http://schemas.openxmlformats.org/officeDocument/2006/relationships/header" Target="header20.xml" Id="rId50" /><Relationship Type="http://schemas.openxmlformats.org/officeDocument/2006/relationships/header" Target="header23.xml" Id="rId55" /><Relationship Type="http://schemas.openxmlformats.org/officeDocument/2006/relationships/header" Target="header1.xml" Id="rId7"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HLinks>
    <vt:vector baseType="variant" size="942">
      <vt:variant>
        <vt:i4>4325428</vt:i4>
      </vt:variant>
      <vt:variant>
        <vt:i4>933</vt:i4>
      </vt:variant>
      <vt:variant>
        <vt:i4>0</vt:i4>
      </vt:variant>
      <vt:variant>
        <vt:i4>5</vt:i4>
      </vt:variant>
      <vt:variant>
        <vt:lpwstr>mailto:G2GPCERG@southernco.com</vt:lpwstr>
      </vt:variant>
      <vt:variant>
        <vt:lpwstr/>
      </vt:variant>
      <vt:variant>
        <vt:i4>7143481</vt:i4>
      </vt:variant>
      <vt:variant>
        <vt:i4>930</vt:i4>
      </vt:variant>
      <vt:variant>
        <vt:i4>0</vt:i4>
      </vt:variant>
      <vt:variant>
        <vt:i4>5</vt:i4>
      </vt:variant>
      <vt:variant>
        <vt:lpwstr>https://gadnr.org/</vt:lpwstr>
      </vt:variant>
      <vt:variant>
        <vt:lpwstr/>
      </vt:variant>
      <vt:variant>
        <vt:i4>7143481</vt:i4>
      </vt:variant>
      <vt:variant>
        <vt:i4>921</vt:i4>
      </vt:variant>
      <vt:variant>
        <vt:i4>0</vt:i4>
      </vt:variant>
      <vt:variant>
        <vt:i4>5</vt:i4>
      </vt:variant>
      <vt:variant>
        <vt:lpwstr>https://gadnr.org/</vt:lpwstr>
      </vt:variant>
      <vt:variant>
        <vt:lpwstr/>
      </vt:variant>
      <vt:variant>
        <vt:i4>5767168</vt:i4>
      </vt:variant>
      <vt:variant>
        <vt:i4>918</vt:i4>
      </vt:variant>
      <vt:variant>
        <vt:i4>0</vt:i4>
      </vt:variant>
      <vt:variant>
        <vt:i4>5</vt:i4>
      </vt:variant>
      <vt:variant>
        <vt:lpwstr>https://www.nerc.com/pa/Stand/Reliability Standards/EOP-012-3.pdf</vt:lpwstr>
      </vt:variant>
      <vt:variant>
        <vt:lpwstr/>
      </vt:variant>
      <vt:variant>
        <vt:i4>7864373</vt:i4>
      </vt:variant>
      <vt:variant>
        <vt:i4>915</vt:i4>
      </vt:variant>
      <vt:variant>
        <vt:i4>0</vt:i4>
      </vt:variant>
      <vt:variant>
        <vt:i4>5</vt:i4>
      </vt:variant>
      <vt:variant>
        <vt:lpwstr>https://www.oasis.oati.com/SOCO</vt:lpwstr>
      </vt:variant>
      <vt:variant>
        <vt:lpwstr/>
      </vt:variant>
      <vt:variant>
        <vt:i4>1900594</vt:i4>
      </vt:variant>
      <vt:variant>
        <vt:i4>908</vt:i4>
      </vt:variant>
      <vt:variant>
        <vt:i4>0</vt:i4>
      </vt:variant>
      <vt:variant>
        <vt:i4>5</vt:i4>
      </vt:variant>
      <vt:variant>
        <vt:lpwstr/>
      </vt:variant>
      <vt:variant>
        <vt:lpwstr>_Toc227838483</vt:lpwstr>
      </vt:variant>
      <vt:variant>
        <vt:i4>1900594</vt:i4>
      </vt:variant>
      <vt:variant>
        <vt:i4>902</vt:i4>
      </vt:variant>
      <vt:variant>
        <vt:i4>0</vt:i4>
      </vt:variant>
      <vt:variant>
        <vt:i4>5</vt:i4>
      </vt:variant>
      <vt:variant>
        <vt:lpwstr/>
      </vt:variant>
      <vt:variant>
        <vt:lpwstr>_Toc227838482</vt:lpwstr>
      </vt:variant>
      <vt:variant>
        <vt:i4>1900594</vt:i4>
      </vt:variant>
      <vt:variant>
        <vt:i4>896</vt:i4>
      </vt:variant>
      <vt:variant>
        <vt:i4>0</vt:i4>
      </vt:variant>
      <vt:variant>
        <vt:i4>5</vt:i4>
      </vt:variant>
      <vt:variant>
        <vt:lpwstr/>
      </vt:variant>
      <vt:variant>
        <vt:lpwstr>_Toc227838481</vt:lpwstr>
      </vt:variant>
      <vt:variant>
        <vt:i4>1900594</vt:i4>
      </vt:variant>
      <vt:variant>
        <vt:i4>890</vt:i4>
      </vt:variant>
      <vt:variant>
        <vt:i4>0</vt:i4>
      </vt:variant>
      <vt:variant>
        <vt:i4>5</vt:i4>
      </vt:variant>
      <vt:variant>
        <vt:lpwstr/>
      </vt:variant>
      <vt:variant>
        <vt:lpwstr>_Toc227838480</vt:lpwstr>
      </vt:variant>
      <vt:variant>
        <vt:i4>1179698</vt:i4>
      </vt:variant>
      <vt:variant>
        <vt:i4>884</vt:i4>
      </vt:variant>
      <vt:variant>
        <vt:i4>0</vt:i4>
      </vt:variant>
      <vt:variant>
        <vt:i4>5</vt:i4>
      </vt:variant>
      <vt:variant>
        <vt:lpwstr/>
      </vt:variant>
      <vt:variant>
        <vt:lpwstr>_Toc227838479</vt:lpwstr>
      </vt:variant>
      <vt:variant>
        <vt:i4>1179698</vt:i4>
      </vt:variant>
      <vt:variant>
        <vt:i4>878</vt:i4>
      </vt:variant>
      <vt:variant>
        <vt:i4>0</vt:i4>
      </vt:variant>
      <vt:variant>
        <vt:i4>5</vt:i4>
      </vt:variant>
      <vt:variant>
        <vt:lpwstr/>
      </vt:variant>
      <vt:variant>
        <vt:lpwstr>_Toc227838478</vt:lpwstr>
      </vt:variant>
      <vt:variant>
        <vt:i4>1179698</vt:i4>
      </vt:variant>
      <vt:variant>
        <vt:i4>872</vt:i4>
      </vt:variant>
      <vt:variant>
        <vt:i4>0</vt:i4>
      </vt:variant>
      <vt:variant>
        <vt:i4>5</vt:i4>
      </vt:variant>
      <vt:variant>
        <vt:lpwstr/>
      </vt:variant>
      <vt:variant>
        <vt:lpwstr>_Toc227838477</vt:lpwstr>
      </vt:variant>
      <vt:variant>
        <vt:i4>1179698</vt:i4>
      </vt:variant>
      <vt:variant>
        <vt:i4>866</vt:i4>
      </vt:variant>
      <vt:variant>
        <vt:i4>0</vt:i4>
      </vt:variant>
      <vt:variant>
        <vt:i4>5</vt:i4>
      </vt:variant>
      <vt:variant>
        <vt:lpwstr/>
      </vt:variant>
      <vt:variant>
        <vt:lpwstr>_Toc227838476</vt:lpwstr>
      </vt:variant>
      <vt:variant>
        <vt:i4>1179698</vt:i4>
      </vt:variant>
      <vt:variant>
        <vt:i4>860</vt:i4>
      </vt:variant>
      <vt:variant>
        <vt:i4>0</vt:i4>
      </vt:variant>
      <vt:variant>
        <vt:i4>5</vt:i4>
      </vt:variant>
      <vt:variant>
        <vt:lpwstr/>
      </vt:variant>
      <vt:variant>
        <vt:lpwstr>_Toc227838475</vt:lpwstr>
      </vt:variant>
      <vt:variant>
        <vt:i4>1179698</vt:i4>
      </vt:variant>
      <vt:variant>
        <vt:i4>854</vt:i4>
      </vt:variant>
      <vt:variant>
        <vt:i4>0</vt:i4>
      </vt:variant>
      <vt:variant>
        <vt:i4>5</vt:i4>
      </vt:variant>
      <vt:variant>
        <vt:lpwstr/>
      </vt:variant>
      <vt:variant>
        <vt:lpwstr>_Toc227838474</vt:lpwstr>
      </vt:variant>
      <vt:variant>
        <vt:i4>1179698</vt:i4>
      </vt:variant>
      <vt:variant>
        <vt:i4>848</vt:i4>
      </vt:variant>
      <vt:variant>
        <vt:i4>0</vt:i4>
      </vt:variant>
      <vt:variant>
        <vt:i4>5</vt:i4>
      </vt:variant>
      <vt:variant>
        <vt:lpwstr/>
      </vt:variant>
      <vt:variant>
        <vt:lpwstr>_Toc227838473</vt:lpwstr>
      </vt:variant>
      <vt:variant>
        <vt:i4>1179698</vt:i4>
      </vt:variant>
      <vt:variant>
        <vt:i4>842</vt:i4>
      </vt:variant>
      <vt:variant>
        <vt:i4>0</vt:i4>
      </vt:variant>
      <vt:variant>
        <vt:i4>5</vt:i4>
      </vt:variant>
      <vt:variant>
        <vt:lpwstr/>
      </vt:variant>
      <vt:variant>
        <vt:lpwstr>_Toc227838472</vt:lpwstr>
      </vt:variant>
      <vt:variant>
        <vt:i4>1179698</vt:i4>
      </vt:variant>
      <vt:variant>
        <vt:i4>836</vt:i4>
      </vt:variant>
      <vt:variant>
        <vt:i4>0</vt:i4>
      </vt:variant>
      <vt:variant>
        <vt:i4>5</vt:i4>
      </vt:variant>
      <vt:variant>
        <vt:lpwstr/>
      </vt:variant>
      <vt:variant>
        <vt:lpwstr>_Toc227838471</vt:lpwstr>
      </vt:variant>
      <vt:variant>
        <vt:i4>1179698</vt:i4>
      </vt:variant>
      <vt:variant>
        <vt:i4>830</vt:i4>
      </vt:variant>
      <vt:variant>
        <vt:i4>0</vt:i4>
      </vt:variant>
      <vt:variant>
        <vt:i4>5</vt:i4>
      </vt:variant>
      <vt:variant>
        <vt:lpwstr/>
      </vt:variant>
      <vt:variant>
        <vt:lpwstr>_Toc227838470</vt:lpwstr>
      </vt:variant>
      <vt:variant>
        <vt:i4>1245234</vt:i4>
      </vt:variant>
      <vt:variant>
        <vt:i4>824</vt:i4>
      </vt:variant>
      <vt:variant>
        <vt:i4>0</vt:i4>
      </vt:variant>
      <vt:variant>
        <vt:i4>5</vt:i4>
      </vt:variant>
      <vt:variant>
        <vt:lpwstr/>
      </vt:variant>
      <vt:variant>
        <vt:lpwstr>_Toc227838469</vt:lpwstr>
      </vt:variant>
      <vt:variant>
        <vt:i4>1245234</vt:i4>
      </vt:variant>
      <vt:variant>
        <vt:i4>818</vt:i4>
      </vt:variant>
      <vt:variant>
        <vt:i4>0</vt:i4>
      </vt:variant>
      <vt:variant>
        <vt:i4>5</vt:i4>
      </vt:variant>
      <vt:variant>
        <vt:lpwstr/>
      </vt:variant>
      <vt:variant>
        <vt:lpwstr>_Toc227838468</vt:lpwstr>
      </vt:variant>
      <vt:variant>
        <vt:i4>1245234</vt:i4>
      </vt:variant>
      <vt:variant>
        <vt:i4>812</vt:i4>
      </vt:variant>
      <vt:variant>
        <vt:i4>0</vt:i4>
      </vt:variant>
      <vt:variant>
        <vt:i4>5</vt:i4>
      </vt:variant>
      <vt:variant>
        <vt:lpwstr/>
      </vt:variant>
      <vt:variant>
        <vt:lpwstr>_Toc227838467</vt:lpwstr>
      </vt:variant>
      <vt:variant>
        <vt:i4>1245234</vt:i4>
      </vt:variant>
      <vt:variant>
        <vt:i4>806</vt:i4>
      </vt:variant>
      <vt:variant>
        <vt:i4>0</vt:i4>
      </vt:variant>
      <vt:variant>
        <vt:i4>5</vt:i4>
      </vt:variant>
      <vt:variant>
        <vt:lpwstr/>
      </vt:variant>
      <vt:variant>
        <vt:lpwstr>_Toc227838466</vt:lpwstr>
      </vt:variant>
      <vt:variant>
        <vt:i4>1245234</vt:i4>
      </vt:variant>
      <vt:variant>
        <vt:i4>800</vt:i4>
      </vt:variant>
      <vt:variant>
        <vt:i4>0</vt:i4>
      </vt:variant>
      <vt:variant>
        <vt:i4>5</vt:i4>
      </vt:variant>
      <vt:variant>
        <vt:lpwstr/>
      </vt:variant>
      <vt:variant>
        <vt:lpwstr>_Toc227838465</vt:lpwstr>
      </vt:variant>
      <vt:variant>
        <vt:i4>1245234</vt:i4>
      </vt:variant>
      <vt:variant>
        <vt:i4>794</vt:i4>
      </vt:variant>
      <vt:variant>
        <vt:i4>0</vt:i4>
      </vt:variant>
      <vt:variant>
        <vt:i4>5</vt:i4>
      </vt:variant>
      <vt:variant>
        <vt:lpwstr/>
      </vt:variant>
      <vt:variant>
        <vt:lpwstr>_Toc227838464</vt:lpwstr>
      </vt:variant>
      <vt:variant>
        <vt:i4>1245234</vt:i4>
      </vt:variant>
      <vt:variant>
        <vt:i4>788</vt:i4>
      </vt:variant>
      <vt:variant>
        <vt:i4>0</vt:i4>
      </vt:variant>
      <vt:variant>
        <vt:i4>5</vt:i4>
      </vt:variant>
      <vt:variant>
        <vt:lpwstr/>
      </vt:variant>
      <vt:variant>
        <vt:lpwstr>_Toc227838463</vt:lpwstr>
      </vt:variant>
      <vt:variant>
        <vt:i4>1245234</vt:i4>
      </vt:variant>
      <vt:variant>
        <vt:i4>782</vt:i4>
      </vt:variant>
      <vt:variant>
        <vt:i4>0</vt:i4>
      </vt:variant>
      <vt:variant>
        <vt:i4>5</vt:i4>
      </vt:variant>
      <vt:variant>
        <vt:lpwstr/>
      </vt:variant>
      <vt:variant>
        <vt:lpwstr>_Toc227838462</vt:lpwstr>
      </vt:variant>
      <vt:variant>
        <vt:i4>1245234</vt:i4>
      </vt:variant>
      <vt:variant>
        <vt:i4>776</vt:i4>
      </vt:variant>
      <vt:variant>
        <vt:i4>0</vt:i4>
      </vt:variant>
      <vt:variant>
        <vt:i4>5</vt:i4>
      </vt:variant>
      <vt:variant>
        <vt:lpwstr/>
      </vt:variant>
      <vt:variant>
        <vt:lpwstr>_Toc227838461</vt:lpwstr>
      </vt:variant>
      <vt:variant>
        <vt:i4>1245234</vt:i4>
      </vt:variant>
      <vt:variant>
        <vt:i4>770</vt:i4>
      </vt:variant>
      <vt:variant>
        <vt:i4>0</vt:i4>
      </vt:variant>
      <vt:variant>
        <vt:i4>5</vt:i4>
      </vt:variant>
      <vt:variant>
        <vt:lpwstr/>
      </vt:variant>
      <vt:variant>
        <vt:lpwstr>_Toc227838460</vt:lpwstr>
      </vt:variant>
      <vt:variant>
        <vt:i4>1048626</vt:i4>
      </vt:variant>
      <vt:variant>
        <vt:i4>764</vt:i4>
      </vt:variant>
      <vt:variant>
        <vt:i4>0</vt:i4>
      </vt:variant>
      <vt:variant>
        <vt:i4>5</vt:i4>
      </vt:variant>
      <vt:variant>
        <vt:lpwstr/>
      </vt:variant>
      <vt:variant>
        <vt:lpwstr>_Toc227838459</vt:lpwstr>
      </vt:variant>
      <vt:variant>
        <vt:i4>1048626</vt:i4>
      </vt:variant>
      <vt:variant>
        <vt:i4>758</vt:i4>
      </vt:variant>
      <vt:variant>
        <vt:i4>0</vt:i4>
      </vt:variant>
      <vt:variant>
        <vt:i4>5</vt:i4>
      </vt:variant>
      <vt:variant>
        <vt:lpwstr/>
      </vt:variant>
      <vt:variant>
        <vt:lpwstr>_Toc227838458</vt:lpwstr>
      </vt:variant>
      <vt:variant>
        <vt:i4>1048626</vt:i4>
      </vt:variant>
      <vt:variant>
        <vt:i4>752</vt:i4>
      </vt:variant>
      <vt:variant>
        <vt:i4>0</vt:i4>
      </vt:variant>
      <vt:variant>
        <vt:i4>5</vt:i4>
      </vt:variant>
      <vt:variant>
        <vt:lpwstr/>
      </vt:variant>
      <vt:variant>
        <vt:lpwstr>_Toc227838457</vt:lpwstr>
      </vt:variant>
      <vt:variant>
        <vt:i4>1048626</vt:i4>
      </vt:variant>
      <vt:variant>
        <vt:i4>746</vt:i4>
      </vt:variant>
      <vt:variant>
        <vt:i4>0</vt:i4>
      </vt:variant>
      <vt:variant>
        <vt:i4>5</vt:i4>
      </vt:variant>
      <vt:variant>
        <vt:lpwstr/>
      </vt:variant>
      <vt:variant>
        <vt:lpwstr>_Toc227838456</vt:lpwstr>
      </vt:variant>
      <vt:variant>
        <vt:i4>1048626</vt:i4>
      </vt:variant>
      <vt:variant>
        <vt:i4>740</vt:i4>
      </vt:variant>
      <vt:variant>
        <vt:i4>0</vt:i4>
      </vt:variant>
      <vt:variant>
        <vt:i4>5</vt:i4>
      </vt:variant>
      <vt:variant>
        <vt:lpwstr/>
      </vt:variant>
      <vt:variant>
        <vt:lpwstr>_Toc227838455</vt:lpwstr>
      </vt:variant>
      <vt:variant>
        <vt:i4>1048626</vt:i4>
      </vt:variant>
      <vt:variant>
        <vt:i4>734</vt:i4>
      </vt:variant>
      <vt:variant>
        <vt:i4>0</vt:i4>
      </vt:variant>
      <vt:variant>
        <vt:i4>5</vt:i4>
      </vt:variant>
      <vt:variant>
        <vt:lpwstr/>
      </vt:variant>
      <vt:variant>
        <vt:lpwstr>_Toc227838454</vt:lpwstr>
      </vt:variant>
      <vt:variant>
        <vt:i4>1048626</vt:i4>
      </vt:variant>
      <vt:variant>
        <vt:i4>728</vt:i4>
      </vt:variant>
      <vt:variant>
        <vt:i4>0</vt:i4>
      </vt:variant>
      <vt:variant>
        <vt:i4>5</vt:i4>
      </vt:variant>
      <vt:variant>
        <vt:lpwstr/>
      </vt:variant>
      <vt:variant>
        <vt:lpwstr>_Toc227838453</vt:lpwstr>
      </vt:variant>
      <vt:variant>
        <vt:i4>1048626</vt:i4>
      </vt:variant>
      <vt:variant>
        <vt:i4>722</vt:i4>
      </vt:variant>
      <vt:variant>
        <vt:i4>0</vt:i4>
      </vt:variant>
      <vt:variant>
        <vt:i4>5</vt:i4>
      </vt:variant>
      <vt:variant>
        <vt:lpwstr/>
      </vt:variant>
      <vt:variant>
        <vt:lpwstr>_Toc227838452</vt:lpwstr>
      </vt:variant>
      <vt:variant>
        <vt:i4>1048626</vt:i4>
      </vt:variant>
      <vt:variant>
        <vt:i4>716</vt:i4>
      </vt:variant>
      <vt:variant>
        <vt:i4>0</vt:i4>
      </vt:variant>
      <vt:variant>
        <vt:i4>5</vt:i4>
      </vt:variant>
      <vt:variant>
        <vt:lpwstr/>
      </vt:variant>
      <vt:variant>
        <vt:lpwstr>_Toc227838451</vt:lpwstr>
      </vt:variant>
      <vt:variant>
        <vt:i4>1048626</vt:i4>
      </vt:variant>
      <vt:variant>
        <vt:i4>710</vt:i4>
      </vt:variant>
      <vt:variant>
        <vt:i4>0</vt:i4>
      </vt:variant>
      <vt:variant>
        <vt:i4>5</vt:i4>
      </vt:variant>
      <vt:variant>
        <vt:lpwstr/>
      </vt:variant>
      <vt:variant>
        <vt:lpwstr>_Toc227838450</vt:lpwstr>
      </vt:variant>
      <vt:variant>
        <vt:i4>1114162</vt:i4>
      </vt:variant>
      <vt:variant>
        <vt:i4>704</vt:i4>
      </vt:variant>
      <vt:variant>
        <vt:i4>0</vt:i4>
      </vt:variant>
      <vt:variant>
        <vt:i4>5</vt:i4>
      </vt:variant>
      <vt:variant>
        <vt:lpwstr/>
      </vt:variant>
      <vt:variant>
        <vt:lpwstr>_Toc227838449</vt:lpwstr>
      </vt:variant>
      <vt:variant>
        <vt:i4>1114162</vt:i4>
      </vt:variant>
      <vt:variant>
        <vt:i4>698</vt:i4>
      </vt:variant>
      <vt:variant>
        <vt:i4>0</vt:i4>
      </vt:variant>
      <vt:variant>
        <vt:i4>5</vt:i4>
      </vt:variant>
      <vt:variant>
        <vt:lpwstr/>
      </vt:variant>
      <vt:variant>
        <vt:lpwstr>_Toc227838448</vt:lpwstr>
      </vt:variant>
      <vt:variant>
        <vt:i4>1114162</vt:i4>
      </vt:variant>
      <vt:variant>
        <vt:i4>692</vt:i4>
      </vt:variant>
      <vt:variant>
        <vt:i4>0</vt:i4>
      </vt:variant>
      <vt:variant>
        <vt:i4>5</vt:i4>
      </vt:variant>
      <vt:variant>
        <vt:lpwstr/>
      </vt:variant>
      <vt:variant>
        <vt:lpwstr>_Toc227838447</vt:lpwstr>
      </vt:variant>
      <vt:variant>
        <vt:i4>1114162</vt:i4>
      </vt:variant>
      <vt:variant>
        <vt:i4>686</vt:i4>
      </vt:variant>
      <vt:variant>
        <vt:i4>0</vt:i4>
      </vt:variant>
      <vt:variant>
        <vt:i4>5</vt:i4>
      </vt:variant>
      <vt:variant>
        <vt:lpwstr/>
      </vt:variant>
      <vt:variant>
        <vt:lpwstr>_Toc227838446</vt:lpwstr>
      </vt:variant>
      <vt:variant>
        <vt:i4>1114162</vt:i4>
      </vt:variant>
      <vt:variant>
        <vt:i4>680</vt:i4>
      </vt:variant>
      <vt:variant>
        <vt:i4>0</vt:i4>
      </vt:variant>
      <vt:variant>
        <vt:i4>5</vt:i4>
      </vt:variant>
      <vt:variant>
        <vt:lpwstr/>
      </vt:variant>
      <vt:variant>
        <vt:lpwstr>_Toc227838445</vt:lpwstr>
      </vt:variant>
      <vt:variant>
        <vt:i4>1114162</vt:i4>
      </vt:variant>
      <vt:variant>
        <vt:i4>674</vt:i4>
      </vt:variant>
      <vt:variant>
        <vt:i4>0</vt:i4>
      </vt:variant>
      <vt:variant>
        <vt:i4>5</vt:i4>
      </vt:variant>
      <vt:variant>
        <vt:lpwstr/>
      </vt:variant>
      <vt:variant>
        <vt:lpwstr>_Toc227838444</vt:lpwstr>
      </vt:variant>
      <vt:variant>
        <vt:i4>1114162</vt:i4>
      </vt:variant>
      <vt:variant>
        <vt:i4>668</vt:i4>
      </vt:variant>
      <vt:variant>
        <vt:i4>0</vt:i4>
      </vt:variant>
      <vt:variant>
        <vt:i4>5</vt:i4>
      </vt:variant>
      <vt:variant>
        <vt:lpwstr/>
      </vt:variant>
      <vt:variant>
        <vt:lpwstr>_Toc227838443</vt:lpwstr>
      </vt:variant>
      <vt:variant>
        <vt:i4>1114162</vt:i4>
      </vt:variant>
      <vt:variant>
        <vt:i4>662</vt:i4>
      </vt:variant>
      <vt:variant>
        <vt:i4>0</vt:i4>
      </vt:variant>
      <vt:variant>
        <vt:i4>5</vt:i4>
      </vt:variant>
      <vt:variant>
        <vt:lpwstr/>
      </vt:variant>
      <vt:variant>
        <vt:lpwstr>_Toc227838442</vt:lpwstr>
      </vt:variant>
      <vt:variant>
        <vt:i4>1114162</vt:i4>
      </vt:variant>
      <vt:variant>
        <vt:i4>656</vt:i4>
      </vt:variant>
      <vt:variant>
        <vt:i4>0</vt:i4>
      </vt:variant>
      <vt:variant>
        <vt:i4>5</vt:i4>
      </vt:variant>
      <vt:variant>
        <vt:lpwstr/>
      </vt:variant>
      <vt:variant>
        <vt:lpwstr>_Toc227838441</vt:lpwstr>
      </vt:variant>
      <vt:variant>
        <vt:i4>1114162</vt:i4>
      </vt:variant>
      <vt:variant>
        <vt:i4>650</vt:i4>
      </vt:variant>
      <vt:variant>
        <vt:i4>0</vt:i4>
      </vt:variant>
      <vt:variant>
        <vt:i4>5</vt:i4>
      </vt:variant>
      <vt:variant>
        <vt:lpwstr/>
      </vt:variant>
      <vt:variant>
        <vt:lpwstr>_Toc227838440</vt:lpwstr>
      </vt:variant>
      <vt:variant>
        <vt:i4>1441842</vt:i4>
      </vt:variant>
      <vt:variant>
        <vt:i4>644</vt:i4>
      </vt:variant>
      <vt:variant>
        <vt:i4>0</vt:i4>
      </vt:variant>
      <vt:variant>
        <vt:i4>5</vt:i4>
      </vt:variant>
      <vt:variant>
        <vt:lpwstr/>
      </vt:variant>
      <vt:variant>
        <vt:lpwstr>_Toc227838439</vt:lpwstr>
      </vt:variant>
      <vt:variant>
        <vt:i4>1441842</vt:i4>
      </vt:variant>
      <vt:variant>
        <vt:i4>638</vt:i4>
      </vt:variant>
      <vt:variant>
        <vt:i4>0</vt:i4>
      </vt:variant>
      <vt:variant>
        <vt:i4>5</vt:i4>
      </vt:variant>
      <vt:variant>
        <vt:lpwstr/>
      </vt:variant>
      <vt:variant>
        <vt:lpwstr>_Toc227838438</vt:lpwstr>
      </vt:variant>
      <vt:variant>
        <vt:i4>1441842</vt:i4>
      </vt:variant>
      <vt:variant>
        <vt:i4>632</vt:i4>
      </vt:variant>
      <vt:variant>
        <vt:i4>0</vt:i4>
      </vt:variant>
      <vt:variant>
        <vt:i4>5</vt:i4>
      </vt:variant>
      <vt:variant>
        <vt:lpwstr/>
      </vt:variant>
      <vt:variant>
        <vt:lpwstr>_Toc227838437</vt:lpwstr>
      </vt:variant>
      <vt:variant>
        <vt:i4>1441842</vt:i4>
      </vt:variant>
      <vt:variant>
        <vt:i4>626</vt:i4>
      </vt:variant>
      <vt:variant>
        <vt:i4>0</vt:i4>
      </vt:variant>
      <vt:variant>
        <vt:i4>5</vt:i4>
      </vt:variant>
      <vt:variant>
        <vt:lpwstr/>
      </vt:variant>
      <vt:variant>
        <vt:lpwstr>_Toc227838436</vt:lpwstr>
      </vt:variant>
      <vt:variant>
        <vt:i4>1441842</vt:i4>
      </vt:variant>
      <vt:variant>
        <vt:i4>620</vt:i4>
      </vt:variant>
      <vt:variant>
        <vt:i4>0</vt:i4>
      </vt:variant>
      <vt:variant>
        <vt:i4>5</vt:i4>
      </vt:variant>
      <vt:variant>
        <vt:lpwstr/>
      </vt:variant>
      <vt:variant>
        <vt:lpwstr>_Toc227838435</vt:lpwstr>
      </vt:variant>
      <vt:variant>
        <vt:i4>1441842</vt:i4>
      </vt:variant>
      <vt:variant>
        <vt:i4>614</vt:i4>
      </vt:variant>
      <vt:variant>
        <vt:i4>0</vt:i4>
      </vt:variant>
      <vt:variant>
        <vt:i4>5</vt:i4>
      </vt:variant>
      <vt:variant>
        <vt:lpwstr/>
      </vt:variant>
      <vt:variant>
        <vt:lpwstr>_Toc227838434</vt:lpwstr>
      </vt:variant>
      <vt:variant>
        <vt:i4>1441842</vt:i4>
      </vt:variant>
      <vt:variant>
        <vt:i4>608</vt:i4>
      </vt:variant>
      <vt:variant>
        <vt:i4>0</vt:i4>
      </vt:variant>
      <vt:variant>
        <vt:i4>5</vt:i4>
      </vt:variant>
      <vt:variant>
        <vt:lpwstr/>
      </vt:variant>
      <vt:variant>
        <vt:lpwstr>_Toc227838433</vt:lpwstr>
      </vt:variant>
      <vt:variant>
        <vt:i4>1441842</vt:i4>
      </vt:variant>
      <vt:variant>
        <vt:i4>602</vt:i4>
      </vt:variant>
      <vt:variant>
        <vt:i4>0</vt:i4>
      </vt:variant>
      <vt:variant>
        <vt:i4>5</vt:i4>
      </vt:variant>
      <vt:variant>
        <vt:lpwstr/>
      </vt:variant>
      <vt:variant>
        <vt:lpwstr>_Toc227838432</vt:lpwstr>
      </vt:variant>
      <vt:variant>
        <vt:i4>1441842</vt:i4>
      </vt:variant>
      <vt:variant>
        <vt:i4>596</vt:i4>
      </vt:variant>
      <vt:variant>
        <vt:i4>0</vt:i4>
      </vt:variant>
      <vt:variant>
        <vt:i4>5</vt:i4>
      </vt:variant>
      <vt:variant>
        <vt:lpwstr/>
      </vt:variant>
      <vt:variant>
        <vt:lpwstr>_Toc227838431</vt:lpwstr>
      </vt:variant>
      <vt:variant>
        <vt:i4>1441842</vt:i4>
      </vt:variant>
      <vt:variant>
        <vt:i4>590</vt:i4>
      </vt:variant>
      <vt:variant>
        <vt:i4>0</vt:i4>
      </vt:variant>
      <vt:variant>
        <vt:i4>5</vt:i4>
      </vt:variant>
      <vt:variant>
        <vt:lpwstr/>
      </vt:variant>
      <vt:variant>
        <vt:lpwstr>_Toc227838430</vt:lpwstr>
      </vt:variant>
      <vt:variant>
        <vt:i4>1507378</vt:i4>
      </vt:variant>
      <vt:variant>
        <vt:i4>584</vt:i4>
      </vt:variant>
      <vt:variant>
        <vt:i4>0</vt:i4>
      </vt:variant>
      <vt:variant>
        <vt:i4>5</vt:i4>
      </vt:variant>
      <vt:variant>
        <vt:lpwstr/>
      </vt:variant>
      <vt:variant>
        <vt:lpwstr>_Toc227838429</vt:lpwstr>
      </vt:variant>
      <vt:variant>
        <vt:i4>1507378</vt:i4>
      </vt:variant>
      <vt:variant>
        <vt:i4>578</vt:i4>
      </vt:variant>
      <vt:variant>
        <vt:i4>0</vt:i4>
      </vt:variant>
      <vt:variant>
        <vt:i4>5</vt:i4>
      </vt:variant>
      <vt:variant>
        <vt:lpwstr/>
      </vt:variant>
      <vt:variant>
        <vt:lpwstr>_Toc227838428</vt:lpwstr>
      </vt:variant>
      <vt:variant>
        <vt:i4>1507378</vt:i4>
      </vt:variant>
      <vt:variant>
        <vt:i4>572</vt:i4>
      </vt:variant>
      <vt:variant>
        <vt:i4>0</vt:i4>
      </vt:variant>
      <vt:variant>
        <vt:i4>5</vt:i4>
      </vt:variant>
      <vt:variant>
        <vt:lpwstr/>
      </vt:variant>
      <vt:variant>
        <vt:lpwstr>_Toc227838427</vt:lpwstr>
      </vt:variant>
      <vt:variant>
        <vt:i4>1507378</vt:i4>
      </vt:variant>
      <vt:variant>
        <vt:i4>566</vt:i4>
      </vt:variant>
      <vt:variant>
        <vt:i4>0</vt:i4>
      </vt:variant>
      <vt:variant>
        <vt:i4>5</vt:i4>
      </vt:variant>
      <vt:variant>
        <vt:lpwstr/>
      </vt:variant>
      <vt:variant>
        <vt:lpwstr>_Toc227838426</vt:lpwstr>
      </vt:variant>
      <vt:variant>
        <vt:i4>1507378</vt:i4>
      </vt:variant>
      <vt:variant>
        <vt:i4>560</vt:i4>
      </vt:variant>
      <vt:variant>
        <vt:i4>0</vt:i4>
      </vt:variant>
      <vt:variant>
        <vt:i4>5</vt:i4>
      </vt:variant>
      <vt:variant>
        <vt:lpwstr/>
      </vt:variant>
      <vt:variant>
        <vt:lpwstr>_Toc227838425</vt:lpwstr>
      </vt:variant>
      <vt:variant>
        <vt:i4>1507378</vt:i4>
      </vt:variant>
      <vt:variant>
        <vt:i4>554</vt:i4>
      </vt:variant>
      <vt:variant>
        <vt:i4>0</vt:i4>
      </vt:variant>
      <vt:variant>
        <vt:i4>5</vt:i4>
      </vt:variant>
      <vt:variant>
        <vt:lpwstr/>
      </vt:variant>
      <vt:variant>
        <vt:lpwstr>_Toc227838424</vt:lpwstr>
      </vt:variant>
      <vt:variant>
        <vt:i4>1507378</vt:i4>
      </vt:variant>
      <vt:variant>
        <vt:i4>548</vt:i4>
      </vt:variant>
      <vt:variant>
        <vt:i4>0</vt:i4>
      </vt:variant>
      <vt:variant>
        <vt:i4>5</vt:i4>
      </vt:variant>
      <vt:variant>
        <vt:lpwstr/>
      </vt:variant>
      <vt:variant>
        <vt:lpwstr>_Toc227838423</vt:lpwstr>
      </vt:variant>
      <vt:variant>
        <vt:i4>1507378</vt:i4>
      </vt:variant>
      <vt:variant>
        <vt:i4>542</vt:i4>
      </vt:variant>
      <vt:variant>
        <vt:i4>0</vt:i4>
      </vt:variant>
      <vt:variant>
        <vt:i4>5</vt:i4>
      </vt:variant>
      <vt:variant>
        <vt:lpwstr/>
      </vt:variant>
      <vt:variant>
        <vt:lpwstr>_Toc227838422</vt:lpwstr>
      </vt:variant>
      <vt:variant>
        <vt:i4>1507378</vt:i4>
      </vt:variant>
      <vt:variant>
        <vt:i4>536</vt:i4>
      </vt:variant>
      <vt:variant>
        <vt:i4>0</vt:i4>
      </vt:variant>
      <vt:variant>
        <vt:i4>5</vt:i4>
      </vt:variant>
      <vt:variant>
        <vt:lpwstr/>
      </vt:variant>
      <vt:variant>
        <vt:lpwstr>_Toc227838421</vt:lpwstr>
      </vt:variant>
      <vt:variant>
        <vt:i4>1507378</vt:i4>
      </vt:variant>
      <vt:variant>
        <vt:i4>530</vt:i4>
      </vt:variant>
      <vt:variant>
        <vt:i4>0</vt:i4>
      </vt:variant>
      <vt:variant>
        <vt:i4>5</vt:i4>
      </vt:variant>
      <vt:variant>
        <vt:lpwstr/>
      </vt:variant>
      <vt:variant>
        <vt:lpwstr>_Toc227838420</vt:lpwstr>
      </vt:variant>
      <vt:variant>
        <vt:i4>1310770</vt:i4>
      </vt:variant>
      <vt:variant>
        <vt:i4>524</vt:i4>
      </vt:variant>
      <vt:variant>
        <vt:i4>0</vt:i4>
      </vt:variant>
      <vt:variant>
        <vt:i4>5</vt:i4>
      </vt:variant>
      <vt:variant>
        <vt:lpwstr/>
      </vt:variant>
      <vt:variant>
        <vt:lpwstr>_Toc227838419</vt:lpwstr>
      </vt:variant>
      <vt:variant>
        <vt:i4>1310770</vt:i4>
      </vt:variant>
      <vt:variant>
        <vt:i4>518</vt:i4>
      </vt:variant>
      <vt:variant>
        <vt:i4>0</vt:i4>
      </vt:variant>
      <vt:variant>
        <vt:i4>5</vt:i4>
      </vt:variant>
      <vt:variant>
        <vt:lpwstr/>
      </vt:variant>
      <vt:variant>
        <vt:lpwstr>_Toc227838418</vt:lpwstr>
      </vt:variant>
      <vt:variant>
        <vt:i4>1310770</vt:i4>
      </vt:variant>
      <vt:variant>
        <vt:i4>512</vt:i4>
      </vt:variant>
      <vt:variant>
        <vt:i4>0</vt:i4>
      </vt:variant>
      <vt:variant>
        <vt:i4>5</vt:i4>
      </vt:variant>
      <vt:variant>
        <vt:lpwstr/>
      </vt:variant>
      <vt:variant>
        <vt:lpwstr>_Toc227838417</vt:lpwstr>
      </vt:variant>
      <vt:variant>
        <vt:i4>1310770</vt:i4>
      </vt:variant>
      <vt:variant>
        <vt:i4>506</vt:i4>
      </vt:variant>
      <vt:variant>
        <vt:i4>0</vt:i4>
      </vt:variant>
      <vt:variant>
        <vt:i4>5</vt:i4>
      </vt:variant>
      <vt:variant>
        <vt:lpwstr/>
      </vt:variant>
      <vt:variant>
        <vt:lpwstr>_Toc227838416</vt:lpwstr>
      </vt:variant>
      <vt:variant>
        <vt:i4>1310770</vt:i4>
      </vt:variant>
      <vt:variant>
        <vt:i4>500</vt:i4>
      </vt:variant>
      <vt:variant>
        <vt:i4>0</vt:i4>
      </vt:variant>
      <vt:variant>
        <vt:i4>5</vt:i4>
      </vt:variant>
      <vt:variant>
        <vt:lpwstr/>
      </vt:variant>
      <vt:variant>
        <vt:lpwstr>_Toc227838415</vt:lpwstr>
      </vt:variant>
      <vt:variant>
        <vt:i4>1310770</vt:i4>
      </vt:variant>
      <vt:variant>
        <vt:i4>494</vt:i4>
      </vt:variant>
      <vt:variant>
        <vt:i4>0</vt:i4>
      </vt:variant>
      <vt:variant>
        <vt:i4>5</vt:i4>
      </vt:variant>
      <vt:variant>
        <vt:lpwstr/>
      </vt:variant>
      <vt:variant>
        <vt:lpwstr>_Toc227838414</vt:lpwstr>
      </vt:variant>
      <vt:variant>
        <vt:i4>1310770</vt:i4>
      </vt:variant>
      <vt:variant>
        <vt:i4>488</vt:i4>
      </vt:variant>
      <vt:variant>
        <vt:i4>0</vt:i4>
      </vt:variant>
      <vt:variant>
        <vt:i4>5</vt:i4>
      </vt:variant>
      <vt:variant>
        <vt:lpwstr/>
      </vt:variant>
      <vt:variant>
        <vt:lpwstr>_Toc227838413</vt:lpwstr>
      </vt:variant>
      <vt:variant>
        <vt:i4>1310770</vt:i4>
      </vt:variant>
      <vt:variant>
        <vt:i4>482</vt:i4>
      </vt:variant>
      <vt:variant>
        <vt:i4>0</vt:i4>
      </vt:variant>
      <vt:variant>
        <vt:i4>5</vt:i4>
      </vt:variant>
      <vt:variant>
        <vt:lpwstr/>
      </vt:variant>
      <vt:variant>
        <vt:lpwstr>_Toc227838412</vt:lpwstr>
      </vt:variant>
      <vt:variant>
        <vt:i4>1310770</vt:i4>
      </vt:variant>
      <vt:variant>
        <vt:i4>476</vt:i4>
      </vt:variant>
      <vt:variant>
        <vt:i4>0</vt:i4>
      </vt:variant>
      <vt:variant>
        <vt:i4>5</vt:i4>
      </vt:variant>
      <vt:variant>
        <vt:lpwstr/>
      </vt:variant>
      <vt:variant>
        <vt:lpwstr>_Toc227838411</vt:lpwstr>
      </vt:variant>
      <vt:variant>
        <vt:i4>1310770</vt:i4>
      </vt:variant>
      <vt:variant>
        <vt:i4>470</vt:i4>
      </vt:variant>
      <vt:variant>
        <vt:i4>0</vt:i4>
      </vt:variant>
      <vt:variant>
        <vt:i4>5</vt:i4>
      </vt:variant>
      <vt:variant>
        <vt:lpwstr/>
      </vt:variant>
      <vt:variant>
        <vt:lpwstr>_Toc227838410</vt:lpwstr>
      </vt:variant>
      <vt:variant>
        <vt:i4>1376306</vt:i4>
      </vt:variant>
      <vt:variant>
        <vt:i4>464</vt:i4>
      </vt:variant>
      <vt:variant>
        <vt:i4>0</vt:i4>
      </vt:variant>
      <vt:variant>
        <vt:i4>5</vt:i4>
      </vt:variant>
      <vt:variant>
        <vt:lpwstr/>
      </vt:variant>
      <vt:variant>
        <vt:lpwstr>_Toc227838409</vt:lpwstr>
      </vt:variant>
      <vt:variant>
        <vt:i4>1376306</vt:i4>
      </vt:variant>
      <vt:variant>
        <vt:i4>458</vt:i4>
      </vt:variant>
      <vt:variant>
        <vt:i4>0</vt:i4>
      </vt:variant>
      <vt:variant>
        <vt:i4>5</vt:i4>
      </vt:variant>
      <vt:variant>
        <vt:lpwstr/>
      </vt:variant>
      <vt:variant>
        <vt:lpwstr>_Toc227838408</vt:lpwstr>
      </vt:variant>
      <vt:variant>
        <vt:i4>1376306</vt:i4>
      </vt:variant>
      <vt:variant>
        <vt:i4>452</vt:i4>
      </vt:variant>
      <vt:variant>
        <vt:i4>0</vt:i4>
      </vt:variant>
      <vt:variant>
        <vt:i4>5</vt:i4>
      </vt:variant>
      <vt:variant>
        <vt:lpwstr/>
      </vt:variant>
      <vt:variant>
        <vt:lpwstr>_Toc227838407</vt:lpwstr>
      </vt:variant>
      <vt:variant>
        <vt:i4>1376306</vt:i4>
      </vt:variant>
      <vt:variant>
        <vt:i4>446</vt:i4>
      </vt:variant>
      <vt:variant>
        <vt:i4>0</vt:i4>
      </vt:variant>
      <vt:variant>
        <vt:i4>5</vt:i4>
      </vt:variant>
      <vt:variant>
        <vt:lpwstr/>
      </vt:variant>
      <vt:variant>
        <vt:lpwstr>_Toc227838406</vt:lpwstr>
      </vt:variant>
      <vt:variant>
        <vt:i4>1376306</vt:i4>
      </vt:variant>
      <vt:variant>
        <vt:i4>440</vt:i4>
      </vt:variant>
      <vt:variant>
        <vt:i4>0</vt:i4>
      </vt:variant>
      <vt:variant>
        <vt:i4>5</vt:i4>
      </vt:variant>
      <vt:variant>
        <vt:lpwstr/>
      </vt:variant>
      <vt:variant>
        <vt:lpwstr>_Toc227838405</vt:lpwstr>
      </vt:variant>
      <vt:variant>
        <vt:i4>1376306</vt:i4>
      </vt:variant>
      <vt:variant>
        <vt:i4>434</vt:i4>
      </vt:variant>
      <vt:variant>
        <vt:i4>0</vt:i4>
      </vt:variant>
      <vt:variant>
        <vt:i4>5</vt:i4>
      </vt:variant>
      <vt:variant>
        <vt:lpwstr/>
      </vt:variant>
      <vt:variant>
        <vt:lpwstr>_Toc227838404</vt:lpwstr>
      </vt:variant>
      <vt:variant>
        <vt:i4>1376306</vt:i4>
      </vt:variant>
      <vt:variant>
        <vt:i4>428</vt:i4>
      </vt:variant>
      <vt:variant>
        <vt:i4>0</vt:i4>
      </vt:variant>
      <vt:variant>
        <vt:i4>5</vt:i4>
      </vt:variant>
      <vt:variant>
        <vt:lpwstr/>
      </vt:variant>
      <vt:variant>
        <vt:lpwstr>_Toc227838403</vt:lpwstr>
      </vt:variant>
      <vt:variant>
        <vt:i4>1376306</vt:i4>
      </vt:variant>
      <vt:variant>
        <vt:i4>422</vt:i4>
      </vt:variant>
      <vt:variant>
        <vt:i4>0</vt:i4>
      </vt:variant>
      <vt:variant>
        <vt:i4>5</vt:i4>
      </vt:variant>
      <vt:variant>
        <vt:lpwstr/>
      </vt:variant>
      <vt:variant>
        <vt:lpwstr>_Toc227838402</vt:lpwstr>
      </vt:variant>
      <vt:variant>
        <vt:i4>1376306</vt:i4>
      </vt:variant>
      <vt:variant>
        <vt:i4>416</vt:i4>
      </vt:variant>
      <vt:variant>
        <vt:i4>0</vt:i4>
      </vt:variant>
      <vt:variant>
        <vt:i4>5</vt:i4>
      </vt:variant>
      <vt:variant>
        <vt:lpwstr/>
      </vt:variant>
      <vt:variant>
        <vt:lpwstr>_Toc227838401</vt:lpwstr>
      </vt:variant>
      <vt:variant>
        <vt:i4>1376306</vt:i4>
      </vt:variant>
      <vt:variant>
        <vt:i4>410</vt:i4>
      </vt:variant>
      <vt:variant>
        <vt:i4>0</vt:i4>
      </vt:variant>
      <vt:variant>
        <vt:i4>5</vt:i4>
      </vt:variant>
      <vt:variant>
        <vt:lpwstr/>
      </vt:variant>
      <vt:variant>
        <vt:lpwstr>_Toc227838400</vt:lpwstr>
      </vt:variant>
      <vt:variant>
        <vt:i4>1835061</vt:i4>
      </vt:variant>
      <vt:variant>
        <vt:i4>404</vt:i4>
      </vt:variant>
      <vt:variant>
        <vt:i4>0</vt:i4>
      </vt:variant>
      <vt:variant>
        <vt:i4>5</vt:i4>
      </vt:variant>
      <vt:variant>
        <vt:lpwstr/>
      </vt:variant>
      <vt:variant>
        <vt:lpwstr>_Toc227838399</vt:lpwstr>
      </vt:variant>
      <vt:variant>
        <vt:i4>1835061</vt:i4>
      </vt:variant>
      <vt:variant>
        <vt:i4>398</vt:i4>
      </vt:variant>
      <vt:variant>
        <vt:i4>0</vt:i4>
      </vt:variant>
      <vt:variant>
        <vt:i4>5</vt:i4>
      </vt:variant>
      <vt:variant>
        <vt:lpwstr/>
      </vt:variant>
      <vt:variant>
        <vt:lpwstr>_Toc227838398</vt:lpwstr>
      </vt:variant>
      <vt:variant>
        <vt:i4>1835061</vt:i4>
      </vt:variant>
      <vt:variant>
        <vt:i4>392</vt:i4>
      </vt:variant>
      <vt:variant>
        <vt:i4>0</vt:i4>
      </vt:variant>
      <vt:variant>
        <vt:i4>5</vt:i4>
      </vt:variant>
      <vt:variant>
        <vt:lpwstr/>
      </vt:variant>
      <vt:variant>
        <vt:lpwstr>_Toc227838397</vt:lpwstr>
      </vt:variant>
      <vt:variant>
        <vt:i4>1835061</vt:i4>
      </vt:variant>
      <vt:variant>
        <vt:i4>386</vt:i4>
      </vt:variant>
      <vt:variant>
        <vt:i4>0</vt:i4>
      </vt:variant>
      <vt:variant>
        <vt:i4>5</vt:i4>
      </vt:variant>
      <vt:variant>
        <vt:lpwstr/>
      </vt:variant>
      <vt:variant>
        <vt:lpwstr>_Toc227838396</vt:lpwstr>
      </vt:variant>
      <vt:variant>
        <vt:i4>1835061</vt:i4>
      </vt:variant>
      <vt:variant>
        <vt:i4>380</vt:i4>
      </vt:variant>
      <vt:variant>
        <vt:i4>0</vt:i4>
      </vt:variant>
      <vt:variant>
        <vt:i4>5</vt:i4>
      </vt:variant>
      <vt:variant>
        <vt:lpwstr/>
      </vt:variant>
      <vt:variant>
        <vt:lpwstr>_Toc227838395</vt:lpwstr>
      </vt:variant>
      <vt:variant>
        <vt:i4>1835061</vt:i4>
      </vt:variant>
      <vt:variant>
        <vt:i4>374</vt:i4>
      </vt:variant>
      <vt:variant>
        <vt:i4>0</vt:i4>
      </vt:variant>
      <vt:variant>
        <vt:i4>5</vt:i4>
      </vt:variant>
      <vt:variant>
        <vt:lpwstr/>
      </vt:variant>
      <vt:variant>
        <vt:lpwstr>_Toc227838394</vt:lpwstr>
      </vt:variant>
      <vt:variant>
        <vt:i4>1835061</vt:i4>
      </vt:variant>
      <vt:variant>
        <vt:i4>368</vt:i4>
      </vt:variant>
      <vt:variant>
        <vt:i4>0</vt:i4>
      </vt:variant>
      <vt:variant>
        <vt:i4>5</vt:i4>
      </vt:variant>
      <vt:variant>
        <vt:lpwstr/>
      </vt:variant>
      <vt:variant>
        <vt:lpwstr>_Toc227838393</vt:lpwstr>
      </vt:variant>
      <vt:variant>
        <vt:i4>1835061</vt:i4>
      </vt:variant>
      <vt:variant>
        <vt:i4>362</vt:i4>
      </vt:variant>
      <vt:variant>
        <vt:i4>0</vt:i4>
      </vt:variant>
      <vt:variant>
        <vt:i4>5</vt:i4>
      </vt:variant>
      <vt:variant>
        <vt:lpwstr/>
      </vt:variant>
      <vt:variant>
        <vt:lpwstr>_Toc227838392</vt:lpwstr>
      </vt:variant>
      <vt:variant>
        <vt:i4>1835061</vt:i4>
      </vt:variant>
      <vt:variant>
        <vt:i4>356</vt:i4>
      </vt:variant>
      <vt:variant>
        <vt:i4>0</vt:i4>
      </vt:variant>
      <vt:variant>
        <vt:i4>5</vt:i4>
      </vt:variant>
      <vt:variant>
        <vt:lpwstr/>
      </vt:variant>
      <vt:variant>
        <vt:lpwstr>_Toc227838391</vt:lpwstr>
      </vt:variant>
      <vt:variant>
        <vt:i4>1835061</vt:i4>
      </vt:variant>
      <vt:variant>
        <vt:i4>350</vt:i4>
      </vt:variant>
      <vt:variant>
        <vt:i4>0</vt:i4>
      </vt:variant>
      <vt:variant>
        <vt:i4>5</vt:i4>
      </vt:variant>
      <vt:variant>
        <vt:lpwstr/>
      </vt:variant>
      <vt:variant>
        <vt:lpwstr>_Toc227838390</vt:lpwstr>
      </vt:variant>
      <vt:variant>
        <vt:i4>1900597</vt:i4>
      </vt:variant>
      <vt:variant>
        <vt:i4>344</vt:i4>
      </vt:variant>
      <vt:variant>
        <vt:i4>0</vt:i4>
      </vt:variant>
      <vt:variant>
        <vt:i4>5</vt:i4>
      </vt:variant>
      <vt:variant>
        <vt:lpwstr/>
      </vt:variant>
      <vt:variant>
        <vt:lpwstr>_Toc227838389</vt:lpwstr>
      </vt:variant>
      <vt:variant>
        <vt:i4>1900597</vt:i4>
      </vt:variant>
      <vt:variant>
        <vt:i4>338</vt:i4>
      </vt:variant>
      <vt:variant>
        <vt:i4>0</vt:i4>
      </vt:variant>
      <vt:variant>
        <vt:i4>5</vt:i4>
      </vt:variant>
      <vt:variant>
        <vt:lpwstr/>
      </vt:variant>
      <vt:variant>
        <vt:lpwstr>_Toc227838388</vt:lpwstr>
      </vt:variant>
      <vt:variant>
        <vt:i4>1900597</vt:i4>
      </vt:variant>
      <vt:variant>
        <vt:i4>332</vt:i4>
      </vt:variant>
      <vt:variant>
        <vt:i4>0</vt:i4>
      </vt:variant>
      <vt:variant>
        <vt:i4>5</vt:i4>
      </vt:variant>
      <vt:variant>
        <vt:lpwstr/>
      </vt:variant>
      <vt:variant>
        <vt:lpwstr>_Toc227838387</vt:lpwstr>
      </vt:variant>
      <vt:variant>
        <vt:i4>1900597</vt:i4>
      </vt:variant>
      <vt:variant>
        <vt:i4>326</vt:i4>
      </vt:variant>
      <vt:variant>
        <vt:i4>0</vt:i4>
      </vt:variant>
      <vt:variant>
        <vt:i4>5</vt:i4>
      </vt:variant>
      <vt:variant>
        <vt:lpwstr/>
      </vt:variant>
      <vt:variant>
        <vt:lpwstr>_Toc227838386</vt:lpwstr>
      </vt:variant>
      <vt:variant>
        <vt:i4>1900597</vt:i4>
      </vt:variant>
      <vt:variant>
        <vt:i4>320</vt:i4>
      </vt:variant>
      <vt:variant>
        <vt:i4>0</vt:i4>
      </vt:variant>
      <vt:variant>
        <vt:i4>5</vt:i4>
      </vt:variant>
      <vt:variant>
        <vt:lpwstr/>
      </vt:variant>
      <vt:variant>
        <vt:lpwstr>_Toc227838385</vt:lpwstr>
      </vt:variant>
      <vt:variant>
        <vt:i4>1900597</vt:i4>
      </vt:variant>
      <vt:variant>
        <vt:i4>314</vt:i4>
      </vt:variant>
      <vt:variant>
        <vt:i4>0</vt:i4>
      </vt:variant>
      <vt:variant>
        <vt:i4>5</vt:i4>
      </vt:variant>
      <vt:variant>
        <vt:lpwstr/>
      </vt:variant>
      <vt:variant>
        <vt:lpwstr>_Toc227838384</vt:lpwstr>
      </vt:variant>
      <vt:variant>
        <vt:i4>1900597</vt:i4>
      </vt:variant>
      <vt:variant>
        <vt:i4>308</vt:i4>
      </vt:variant>
      <vt:variant>
        <vt:i4>0</vt:i4>
      </vt:variant>
      <vt:variant>
        <vt:i4>5</vt:i4>
      </vt:variant>
      <vt:variant>
        <vt:lpwstr/>
      </vt:variant>
      <vt:variant>
        <vt:lpwstr>_Toc227838383</vt:lpwstr>
      </vt:variant>
      <vt:variant>
        <vt:i4>1900597</vt:i4>
      </vt:variant>
      <vt:variant>
        <vt:i4>302</vt:i4>
      </vt:variant>
      <vt:variant>
        <vt:i4>0</vt:i4>
      </vt:variant>
      <vt:variant>
        <vt:i4>5</vt:i4>
      </vt:variant>
      <vt:variant>
        <vt:lpwstr/>
      </vt:variant>
      <vt:variant>
        <vt:lpwstr>_Toc227838382</vt:lpwstr>
      </vt:variant>
      <vt:variant>
        <vt:i4>1900597</vt:i4>
      </vt:variant>
      <vt:variant>
        <vt:i4>296</vt:i4>
      </vt:variant>
      <vt:variant>
        <vt:i4>0</vt:i4>
      </vt:variant>
      <vt:variant>
        <vt:i4>5</vt:i4>
      </vt:variant>
      <vt:variant>
        <vt:lpwstr/>
      </vt:variant>
      <vt:variant>
        <vt:lpwstr>_Toc227838381</vt:lpwstr>
      </vt:variant>
      <vt:variant>
        <vt:i4>1900597</vt:i4>
      </vt:variant>
      <vt:variant>
        <vt:i4>290</vt:i4>
      </vt:variant>
      <vt:variant>
        <vt:i4>0</vt:i4>
      </vt:variant>
      <vt:variant>
        <vt:i4>5</vt:i4>
      </vt:variant>
      <vt:variant>
        <vt:lpwstr/>
      </vt:variant>
      <vt:variant>
        <vt:lpwstr>_Toc227838380</vt:lpwstr>
      </vt:variant>
      <vt:variant>
        <vt:i4>1179701</vt:i4>
      </vt:variant>
      <vt:variant>
        <vt:i4>284</vt:i4>
      </vt:variant>
      <vt:variant>
        <vt:i4>0</vt:i4>
      </vt:variant>
      <vt:variant>
        <vt:i4>5</vt:i4>
      </vt:variant>
      <vt:variant>
        <vt:lpwstr/>
      </vt:variant>
      <vt:variant>
        <vt:lpwstr>_Toc227838379</vt:lpwstr>
      </vt:variant>
      <vt:variant>
        <vt:i4>1179701</vt:i4>
      </vt:variant>
      <vt:variant>
        <vt:i4>278</vt:i4>
      </vt:variant>
      <vt:variant>
        <vt:i4>0</vt:i4>
      </vt:variant>
      <vt:variant>
        <vt:i4>5</vt:i4>
      </vt:variant>
      <vt:variant>
        <vt:lpwstr/>
      </vt:variant>
      <vt:variant>
        <vt:lpwstr>_Toc227838378</vt:lpwstr>
      </vt:variant>
      <vt:variant>
        <vt:i4>1179701</vt:i4>
      </vt:variant>
      <vt:variant>
        <vt:i4>272</vt:i4>
      </vt:variant>
      <vt:variant>
        <vt:i4>0</vt:i4>
      </vt:variant>
      <vt:variant>
        <vt:i4>5</vt:i4>
      </vt:variant>
      <vt:variant>
        <vt:lpwstr/>
      </vt:variant>
      <vt:variant>
        <vt:lpwstr>_Toc227838377</vt:lpwstr>
      </vt:variant>
      <vt:variant>
        <vt:i4>1179701</vt:i4>
      </vt:variant>
      <vt:variant>
        <vt:i4>266</vt:i4>
      </vt:variant>
      <vt:variant>
        <vt:i4>0</vt:i4>
      </vt:variant>
      <vt:variant>
        <vt:i4>5</vt:i4>
      </vt:variant>
      <vt:variant>
        <vt:lpwstr/>
      </vt:variant>
      <vt:variant>
        <vt:lpwstr>_Toc227838376</vt:lpwstr>
      </vt:variant>
      <vt:variant>
        <vt:i4>1179701</vt:i4>
      </vt:variant>
      <vt:variant>
        <vt:i4>260</vt:i4>
      </vt:variant>
      <vt:variant>
        <vt:i4>0</vt:i4>
      </vt:variant>
      <vt:variant>
        <vt:i4>5</vt:i4>
      </vt:variant>
      <vt:variant>
        <vt:lpwstr/>
      </vt:variant>
      <vt:variant>
        <vt:lpwstr>_Toc227838375</vt:lpwstr>
      </vt:variant>
      <vt:variant>
        <vt:i4>1179701</vt:i4>
      </vt:variant>
      <vt:variant>
        <vt:i4>254</vt:i4>
      </vt:variant>
      <vt:variant>
        <vt:i4>0</vt:i4>
      </vt:variant>
      <vt:variant>
        <vt:i4>5</vt:i4>
      </vt:variant>
      <vt:variant>
        <vt:lpwstr/>
      </vt:variant>
      <vt:variant>
        <vt:lpwstr>_Toc227838374</vt:lpwstr>
      </vt:variant>
      <vt:variant>
        <vt:i4>1179701</vt:i4>
      </vt:variant>
      <vt:variant>
        <vt:i4>248</vt:i4>
      </vt:variant>
      <vt:variant>
        <vt:i4>0</vt:i4>
      </vt:variant>
      <vt:variant>
        <vt:i4>5</vt:i4>
      </vt:variant>
      <vt:variant>
        <vt:lpwstr/>
      </vt:variant>
      <vt:variant>
        <vt:lpwstr>_Toc227838373</vt:lpwstr>
      </vt:variant>
      <vt:variant>
        <vt:i4>1179701</vt:i4>
      </vt:variant>
      <vt:variant>
        <vt:i4>242</vt:i4>
      </vt:variant>
      <vt:variant>
        <vt:i4>0</vt:i4>
      </vt:variant>
      <vt:variant>
        <vt:i4>5</vt:i4>
      </vt:variant>
      <vt:variant>
        <vt:lpwstr/>
      </vt:variant>
      <vt:variant>
        <vt:lpwstr>_Toc227838372</vt:lpwstr>
      </vt:variant>
      <vt:variant>
        <vt:i4>1179701</vt:i4>
      </vt:variant>
      <vt:variant>
        <vt:i4>236</vt:i4>
      </vt:variant>
      <vt:variant>
        <vt:i4>0</vt:i4>
      </vt:variant>
      <vt:variant>
        <vt:i4>5</vt:i4>
      </vt:variant>
      <vt:variant>
        <vt:lpwstr/>
      </vt:variant>
      <vt:variant>
        <vt:lpwstr>_Toc227838371</vt:lpwstr>
      </vt:variant>
      <vt:variant>
        <vt:i4>1179701</vt:i4>
      </vt:variant>
      <vt:variant>
        <vt:i4>230</vt:i4>
      </vt:variant>
      <vt:variant>
        <vt:i4>0</vt:i4>
      </vt:variant>
      <vt:variant>
        <vt:i4>5</vt:i4>
      </vt:variant>
      <vt:variant>
        <vt:lpwstr/>
      </vt:variant>
      <vt:variant>
        <vt:lpwstr>_Toc227838370</vt:lpwstr>
      </vt:variant>
      <vt:variant>
        <vt:i4>1245237</vt:i4>
      </vt:variant>
      <vt:variant>
        <vt:i4>224</vt:i4>
      </vt:variant>
      <vt:variant>
        <vt:i4>0</vt:i4>
      </vt:variant>
      <vt:variant>
        <vt:i4>5</vt:i4>
      </vt:variant>
      <vt:variant>
        <vt:lpwstr/>
      </vt:variant>
      <vt:variant>
        <vt:lpwstr>_Toc227838369</vt:lpwstr>
      </vt:variant>
      <vt:variant>
        <vt:i4>1245237</vt:i4>
      </vt:variant>
      <vt:variant>
        <vt:i4>218</vt:i4>
      </vt:variant>
      <vt:variant>
        <vt:i4>0</vt:i4>
      </vt:variant>
      <vt:variant>
        <vt:i4>5</vt:i4>
      </vt:variant>
      <vt:variant>
        <vt:lpwstr/>
      </vt:variant>
      <vt:variant>
        <vt:lpwstr>_Toc227838368</vt:lpwstr>
      </vt:variant>
      <vt:variant>
        <vt:i4>1245237</vt:i4>
      </vt:variant>
      <vt:variant>
        <vt:i4>212</vt:i4>
      </vt:variant>
      <vt:variant>
        <vt:i4>0</vt:i4>
      </vt:variant>
      <vt:variant>
        <vt:i4>5</vt:i4>
      </vt:variant>
      <vt:variant>
        <vt:lpwstr/>
      </vt:variant>
      <vt:variant>
        <vt:lpwstr>_Toc227838367</vt:lpwstr>
      </vt:variant>
      <vt:variant>
        <vt:i4>1245237</vt:i4>
      </vt:variant>
      <vt:variant>
        <vt:i4>206</vt:i4>
      </vt:variant>
      <vt:variant>
        <vt:i4>0</vt:i4>
      </vt:variant>
      <vt:variant>
        <vt:i4>5</vt:i4>
      </vt:variant>
      <vt:variant>
        <vt:lpwstr/>
      </vt:variant>
      <vt:variant>
        <vt:lpwstr>_Toc227838366</vt:lpwstr>
      </vt:variant>
      <vt:variant>
        <vt:i4>1245237</vt:i4>
      </vt:variant>
      <vt:variant>
        <vt:i4>200</vt:i4>
      </vt:variant>
      <vt:variant>
        <vt:i4>0</vt:i4>
      </vt:variant>
      <vt:variant>
        <vt:i4>5</vt:i4>
      </vt:variant>
      <vt:variant>
        <vt:lpwstr/>
      </vt:variant>
      <vt:variant>
        <vt:lpwstr>_Toc227838365</vt:lpwstr>
      </vt:variant>
      <vt:variant>
        <vt:i4>1245237</vt:i4>
      </vt:variant>
      <vt:variant>
        <vt:i4>194</vt:i4>
      </vt:variant>
      <vt:variant>
        <vt:i4>0</vt:i4>
      </vt:variant>
      <vt:variant>
        <vt:i4>5</vt:i4>
      </vt:variant>
      <vt:variant>
        <vt:lpwstr/>
      </vt:variant>
      <vt:variant>
        <vt:lpwstr>_Toc227838364</vt:lpwstr>
      </vt:variant>
      <vt:variant>
        <vt:i4>1245237</vt:i4>
      </vt:variant>
      <vt:variant>
        <vt:i4>188</vt:i4>
      </vt:variant>
      <vt:variant>
        <vt:i4>0</vt:i4>
      </vt:variant>
      <vt:variant>
        <vt:i4>5</vt:i4>
      </vt:variant>
      <vt:variant>
        <vt:lpwstr/>
      </vt:variant>
      <vt:variant>
        <vt:lpwstr>_Toc227838363</vt:lpwstr>
      </vt:variant>
      <vt:variant>
        <vt:i4>1245237</vt:i4>
      </vt:variant>
      <vt:variant>
        <vt:i4>182</vt:i4>
      </vt:variant>
      <vt:variant>
        <vt:i4>0</vt:i4>
      </vt:variant>
      <vt:variant>
        <vt:i4>5</vt:i4>
      </vt:variant>
      <vt:variant>
        <vt:lpwstr/>
      </vt:variant>
      <vt:variant>
        <vt:lpwstr>_Toc227838362</vt:lpwstr>
      </vt:variant>
      <vt:variant>
        <vt:i4>1245237</vt:i4>
      </vt:variant>
      <vt:variant>
        <vt:i4>176</vt:i4>
      </vt:variant>
      <vt:variant>
        <vt:i4>0</vt:i4>
      </vt:variant>
      <vt:variant>
        <vt:i4>5</vt:i4>
      </vt:variant>
      <vt:variant>
        <vt:lpwstr/>
      </vt:variant>
      <vt:variant>
        <vt:lpwstr>_Toc227838361</vt:lpwstr>
      </vt:variant>
      <vt:variant>
        <vt:i4>1245237</vt:i4>
      </vt:variant>
      <vt:variant>
        <vt:i4>170</vt:i4>
      </vt:variant>
      <vt:variant>
        <vt:i4>0</vt:i4>
      </vt:variant>
      <vt:variant>
        <vt:i4>5</vt:i4>
      </vt:variant>
      <vt:variant>
        <vt:lpwstr/>
      </vt:variant>
      <vt:variant>
        <vt:lpwstr>_Toc227838360</vt:lpwstr>
      </vt:variant>
      <vt:variant>
        <vt:i4>1048629</vt:i4>
      </vt:variant>
      <vt:variant>
        <vt:i4>164</vt:i4>
      </vt:variant>
      <vt:variant>
        <vt:i4>0</vt:i4>
      </vt:variant>
      <vt:variant>
        <vt:i4>5</vt:i4>
      </vt:variant>
      <vt:variant>
        <vt:lpwstr/>
      </vt:variant>
      <vt:variant>
        <vt:lpwstr>_Toc227838359</vt:lpwstr>
      </vt:variant>
      <vt:variant>
        <vt:i4>1048629</vt:i4>
      </vt:variant>
      <vt:variant>
        <vt:i4>158</vt:i4>
      </vt:variant>
      <vt:variant>
        <vt:i4>0</vt:i4>
      </vt:variant>
      <vt:variant>
        <vt:i4>5</vt:i4>
      </vt:variant>
      <vt:variant>
        <vt:lpwstr/>
      </vt:variant>
      <vt:variant>
        <vt:lpwstr>_Toc227838358</vt:lpwstr>
      </vt:variant>
      <vt:variant>
        <vt:i4>1048629</vt:i4>
      </vt:variant>
      <vt:variant>
        <vt:i4>152</vt:i4>
      </vt:variant>
      <vt:variant>
        <vt:i4>0</vt:i4>
      </vt:variant>
      <vt:variant>
        <vt:i4>5</vt:i4>
      </vt:variant>
      <vt:variant>
        <vt:lpwstr/>
      </vt:variant>
      <vt:variant>
        <vt:lpwstr>_Toc227838357</vt:lpwstr>
      </vt:variant>
      <vt:variant>
        <vt:i4>1048629</vt:i4>
      </vt:variant>
      <vt:variant>
        <vt:i4>146</vt:i4>
      </vt:variant>
      <vt:variant>
        <vt:i4>0</vt:i4>
      </vt:variant>
      <vt:variant>
        <vt:i4>5</vt:i4>
      </vt:variant>
      <vt:variant>
        <vt:lpwstr/>
      </vt:variant>
      <vt:variant>
        <vt:lpwstr>_Toc227838356</vt:lpwstr>
      </vt:variant>
      <vt:variant>
        <vt:i4>1048629</vt:i4>
      </vt:variant>
      <vt:variant>
        <vt:i4>140</vt:i4>
      </vt:variant>
      <vt:variant>
        <vt:i4>0</vt:i4>
      </vt:variant>
      <vt:variant>
        <vt:i4>5</vt:i4>
      </vt:variant>
      <vt:variant>
        <vt:lpwstr/>
      </vt:variant>
      <vt:variant>
        <vt:lpwstr>_Toc227838355</vt:lpwstr>
      </vt:variant>
      <vt:variant>
        <vt:i4>1048629</vt:i4>
      </vt:variant>
      <vt:variant>
        <vt:i4>134</vt:i4>
      </vt:variant>
      <vt:variant>
        <vt:i4>0</vt:i4>
      </vt:variant>
      <vt:variant>
        <vt:i4>5</vt:i4>
      </vt:variant>
      <vt:variant>
        <vt:lpwstr/>
      </vt:variant>
      <vt:variant>
        <vt:lpwstr>_Toc227838354</vt:lpwstr>
      </vt:variant>
      <vt:variant>
        <vt:i4>1048629</vt:i4>
      </vt:variant>
      <vt:variant>
        <vt:i4>128</vt:i4>
      </vt:variant>
      <vt:variant>
        <vt:i4>0</vt:i4>
      </vt:variant>
      <vt:variant>
        <vt:i4>5</vt:i4>
      </vt:variant>
      <vt:variant>
        <vt:lpwstr/>
      </vt:variant>
      <vt:variant>
        <vt:lpwstr>_Toc227838353</vt:lpwstr>
      </vt:variant>
      <vt:variant>
        <vt:i4>1048629</vt:i4>
      </vt:variant>
      <vt:variant>
        <vt:i4>122</vt:i4>
      </vt:variant>
      <vt:variant>
        <vt:i4>0</vt:i4>
      </vt:variant>
      <vt:variant>
        <vt:i4>5</vt:i4>
      </vt:variant>
      <vt:variant>
        <vt:lpwstr/>
      </vt:variant>
      <vt:variant>
        <vt:lpwstr>_Toc227838352</vt:lpwstr>
      </vt:variant>
      <vt:variant>
        <vt:i4>1048629</vt:i4>
      </vt:variant>
      <vt:variant>
        <vt:i4>116</vt:i4>
      </vt:variant>
      <vt:variant>
        <vt:i4>0</vt:i4>
      </vt:variant>
      <vt:variant>
        <vt:i4>5</vt:i4>
      </vt:variant>
      <vt:variant>
        <vt:lpwstr/>
      </vt:variant>
      <vt:variant>
        <vt:lpwstr>_Toc227838351</vt:lpwstr>
      </vt:variant>
      <vt:variant>
        <vt:i4>1048629</vt:i4>
      </vt:variant>
      <vt:variant>
        <vt:i4>110</vt:i4>
      </vt:variant>
      <vt:variant>
        <vt:i4>0</vt:i4>
      </vt:variant>
      <vt:variant>
        <vt:i4>5</vt:i4>
      </vt:variant>
      <vt:variant>
        <vt:lpwstr/>
      </vt:variant>
      <vt:variant>
        <vt:lpwstr>_Toc227838350</vt:lpwstr>
      </vt:variant>
      <vt:variant>
        <vt:i4>1114165</vt:i4>
      </vt:variant>
      <vt:variant>
        <vt:i4>104</vt:i4>
      </vt:variant>
      <vt:variant>
        <vt:i4>0</vt:i4>
      </vt:variant>
      <vt:variant>
        <vt:i4>5</vt:i4>
      </vt:variant>
      <vt:variant>
        <vt:lpwstr/>
      </vt:variant>
      <vt:variant>
        <vt:lpwstr>_Toc227838349</vt:lpwstr>
      </vt:variant>
      <vt:variant>
        <vt:i4>1114165</vt:i4>
      </vt:variant>
      <vt:variant>
        <vt:i4>98</vt:i4>
      </vt:variant>
      <vt:variant>
        <vt:i4>0</vt:i4>
      </vt:variant>
      <vt:variant>
        <vt:i4>5</vt:i4>
      </vt:variant>
      <vt:variant>
        <vt:lpwstr/>
      </vt:variant>
      <vt:variant>
        <vt:lpwstr>_Toc227838348</vt:lpwstr>
      </vt:variant>
      <vt:variant>
        <vt:i4>1114165</vt:i4>
      </vt:variant>
      <vt:variant>
        <vt:i4>92</vt:i4>
      </vt:variant>
      <vt:variant>
        <vt:i4>0</vt:i4>
      </vt:variant>
      <vt:variant>
        <vt:i4>5</vt:i4>
      </vt:variant>
      <vt:variant>
        <vt:lpwstr/>
      </vt:variant>
      <vt:variant>
        <vt:lpwstr>_Toc227838347</vt:lpwstr>
      </vt:variant>
      <vt:variant>
        <vt:i4>1114165</vt:i4>
      </vt:variant>
      <vt:variant>
        <vt:i4>86</vt:i4>
      </vt:variant>
      <vt:variant>
        <vt:i4>0</vt:i4>
      </vt:variant>
      <vt:variant>
        <vt:i4>5</vt:i4>
      </vt:variant>
      <vt:variant>
        <vt:lpwstr/>
      </vt:variant>
      <vt:variant>
        <vt:lpwstr>_Toc227838346</vt:lpwstr>
      </vt:variant>
      <vt:variant>
        <vt:i4>1114165</vt:i4>
      </vt:variant>
      <vt:variant>
        <vt:i4>80</vt:i4>
      </vt:variant>
      <vt:variant>
        <vt:i4>0</vt:i4>
      </vt:variant>
      <vt:variant>
        <vt:i4>5</vt:i4>
      </vt:variant>
      <vt:variant>
        <vt:lpwstr/>
      </vt:variant>
      <vt:variant>
        <vt:lpwstr>_Toc227838345</vt:lpwstr>
      </vt:variant>
      <vt:variant>
        <vt:i4>1114165</vt:i4>
      </vt:variant>
      <vt:variant>
        <vt:i4>74</vt:i4>
      </vt:variant>
      <vt:variant>
        <vt:i4>0</vt:i4>
      </vt:variant>
      <vt:variant>
        <vt:i4>5</vt:i4>
      </vt:variant>
      <vt:variant>
        <vt:lpwstr/>
      </vt:variant>
      <vt:variant>
        <vt:lpwstr>_Toc227838344</vt:lpwstr>
      </vt:variant>
      <vt:variant>
        <vt:i4>1114165</vt:i4>
      </vt:variant>
      <vt:variant>
        <vt:i4>68</vt:i4>
      </vt:variant>
      <vt:variant>
        <vt:i4>0</vt:i4>
      </vt:variant>
      <vt:variant>
        <vt:i4>5</vt:i4>
      </vt:variant>
      <vt:variant>
        <vt:lpwstr/>
      </vt:variant>
      <vt:variant>
        <vt:lpwstr>_Toc227838343</vt:lpwstr>
      </vt:variant>
      <vt:variant>
        <vt:i4>1114165</vt:i4>
      </vt:variant>
      <vt:variant>
        <vt:i4>62</vt:i4>
      </vt:variant>
      <vt:variant>
        <vt:i4>0</vt:i4>
      </vt:variant>
      <vt:variant>
        <vt:i4>5</vt:i4>
      </vt:variant>
      <vt:variant>
        <vt:lpwstr/>
      </vt:variant>
      <vt:variant>
        <vt:lpwstr>_Toc227838342</vt:lpwstr>
      </vt:variant>
      <vt:variant>
        <vt:i4>1114165</vt:i4>
      </vt:variant>
      <vt:variant>
        <vt:i4>56</vt:i4>
      </vt:variant>
      <vt:variant>
        <vt:i4>0</vt:i4>
      </vt:variant>
      <vt:variant>
        <vt:i4>5</vt:i4>
      </vt:variant>
      <vt:variant>
        <vt:lpwstr/>
      </vt:variant>
      <vt:variant>
        <vt:lpwstr>_Toc227838341</vt:lpwstr>
      </vt:variant>
      <vt:variant>
        <vt:i4>1114165</vt:i4>
      </vt:variant>
      <vt:variant>
        <vt:i4>50</vt:i4>
      </vt:variant>
      <vt:variant>
        <vt:i4>0</vt:i4>
      </vt:variant>
      <vt:variant>
        <vt:i4>5</vt:i4>
      </vt:variant>
      <vt:variant>
        <vt:lpwstr/>
      </vt:variant>
      <vt:variant>
        <vt:lpwstr>_Toc227838340</vt:lpwstr>
      </vt:variant>
      <vt:variant>
        <vt:i4>1441845</vt:i4>
      </vt:variant>
      <vt:variant>
        <vt:i4>44</vt:i4>
      </vt:variant>
      <vt:variant>
        <vt:i4>0</vt:i4>
      </vt:variant>
      <vt:variant>
        <vt:i4>5</vt:i4>
      </vt:variant>
      <vt:variant>
        <vt:lpwstr/>
      </vt:variant>
      <vt:variant>
        <vt:lpwstr>_Toc227838339</vt:lpwstr>
      </vt:variant>
      <vt:variant>
        <vt:i4>1441845</vt:i4>
      </vt:variant>
      <vt:variant>
        <vt:i4>38</vt:i4>
      </vt:variant>
      <vt:variant>
        <vt:i4>0</vt:i4>
      </vt:variant>
      <vt:variant>
        <vt:i4>5</vt:i4>
      </vt:variant>
      <vt:variant>
        <vt:lpwstr/>
      </vt:variant>
      <vt:variant>
        <vt:lpwstr>_Toc227838338</vt:lpwstr>
      </vt:variant>
      <vt:variant>
        <vt:i4>1441845</vt:i4>
      </vt:variant>
      <vt:variant>
        <vt:i4>32</vt:i4>
      </vt:variant>
      <vt:variant>
        <vt:i4>0</vt:i4>
      </vt:variant>
      <vt:variant>
        <vt:i4>5</vt:i4>
      </vt:variant>
      <vt:variant>
        <vt:lpwstr/>
      </vt:variant>
      <vt:variant>
        <vt:lpwstr>_Toc227838337</vt:lpwstr>
      </vt:variant>
      <vt:variant>
        <vt:i4>1441845</vt:i4>
      </vt:variant>
      <vt:variant>
        <vt:i4>26</vt:i4>
      </vt:variant>
      <vt:variant>
        <vt:i4>0</vt:i4>
      </vt:variant>
      <vt:variant>
        <vt:i4>5</vt:i4>
      </vt:variant>
      <vt:variant>
        <vt:lpwstr/>
      </vt:variant>
      <vt:variant>
        <vt:lpwstr>_Toc227838336</vt:lpwstr>
      </vt:variant>
      <vt:variant>
        <vt:i4>1441845</vt:i4>
      </vt:variant>
      <vt:variant>
        <vt:i4>20</vt:i4>
      </vt:variant>
      <vt:variant>
        <vt:i4>0</vt:i4>
      </vt:variant>
      <vt:variant>
        <vt:i4>5</vt:i4>
      </vt:variant>
      <vt:variant>
        <vt:lpwstr/>
      </vt:variant>
      <vt:variant>
        <vt:lpwstr>_Toc227838335</vt:lpwstr>
      </vt:variant>
      <vt:variant>
        <vt:i4>1441845</vt:i4>
      </vt:variant>
      <vt:variant>
        <vt:i4>14</vt:i4>
      </vt:variant>
      <vt:variant>
        <vt:i4>0</vt:i4>
      </vt:variant>
      <vt:variant>
        <vt:i4>5</vt:i4>
      </vt:variant>
      <vt:variant>
        <vt:lpwstr/>
      </vt:variant>
      <vt:variant>
        <vt:lpwstr>_Toc227838334</vt:lpwstr>
      </vt:variant>
      <vt:variant>
        <vt:i4>1441845</vt:i4>
      </vt:variant>
      <vt:variant>
        <vt:i4>8</vt:i4>
      </vt:variant>
      <vt:variant>
        <vt:i4>0</vt:i4>
      </vt:variant>
      <vt:variant>
        <vt:i4>5</vt:i4>
      </vt:variant>
      <vt:variant>
        <vt:lpwstr/>
      </vt:variant>
      <vt:variant>
        <vt:lpwstr>_Toc227838333</vt:lpwstr>
      </vt:variant>
      <vt:variant>
        <vt:i4>1441845</vt:i4>
      </vt:variant>
      <vt:variant>
        <vt:i4>2</vt:i4>
      </vt:variant>
      <vt:variant>
        <vt:i4>0</vt:i4>
      </vt:variant>
      <vt:variant>
        <vt:i4>5</vt:i4>
      </vt:variant>
      <vt:variant>
        <vt:lpwstr/>
      </vt:variant>
      <vt:variant>
        <vt:lpwstr>_Toc227838332</vt:lpwstr>
      </vt:variant>
    </vt:vector>
  </ap:HLinks>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1900-01-01T05:00:00.0000000Z</dcterms:created>
  <dcterms:modified xsi:type="dcterms:W3CDTF">1900-01-01T05:00:00.0000000Z</dcterms:modified>
</coreProperties>
</file>

<file path=docProps/custom.xml><?xml version="1.0" encoding="utf-8"?>
<op:Properties xmlns:vt="http://schemas.openxmlformats.org/officeDocument/2006/docPropsVTypes" xmlns:op="http://schemas.openxmlformats.org/officeDocument/2006/custom-properties">
  <op:property fmtid="{D5CDD505-2E9C-101B-9397-08002B2CF9AE}" pid="7" name="MSIP_Label_ed3826ce-7c18-471d-9596-93de5bae332e_Tag">
    <vt:lpwstr>10, 3, 0, 1</vt:lpwstr>
  </op:property>
  <op:property fmtid="{D5CDD505-2E9C-101B-9397-08002B2CF9AE}" pid="10" name="MSIP_Label_ed3826ce-7c18-471d-9596-93de5bae332e_Method">
    <vt:lpwstr>Standard</vt:lpwstr>
  </op:property>
  <op:property fmtid="{D5CDD505-2E9C-101B-9397-08002B2CF9AE}" pid="11" name="MSIP_Label_ed3826ce-7c18-471d-9596-93de5bae332e_SiteId">
    <vt:lpwstr>c0a02e2d-1186-410a-8895-0a4a252ebf17</vt:lpwstr>
  </op:property>
  <op:property fmtid="{D5CDD505-2E9C-101B-9397-08002B2CF9AE}" pid="14" name="MSIP_Label_ed3826ce-7c18-471d-9596-93de5bae332e_ActionId">
    <vt:lpwstr>2f8c9aad-e9ee-4aa9-9edf-e6d82391aeee</vt:lpwstr>
  </op:property>
  <op:property fmtid="{D5CDD505-2E9C-101B-9397-08002B2CF9AE}" pid="15" name="MSIP_Label_ed3826ce-7c18-471d-9596-93de5bae332e_Name">
    <vt:lpwstr>Internal</vt:lpwstr>
  </op:property>
  <op:property fmtid="{D5CDD505-2E9C-101B-9397-08002B2CF9AE}" pid="17" name="MSIP_Label_ed3826ce-7c18-471d-9596-93de5bae332e_ContentBits">
    <vt:lpwstr>0</vt:lpwstr>
  </op:property>
  <op:property fmtid="{D5CDD505-2E9C-101B-9397-08002B2CF9AE}" pid="19" name="MSIP_Label_ed3826ce-7c18-471d-9596-93de5bae332e_Enabled">
    <vt:lpwstr>true</vt:lpwstr>
  </op:property>
  <op:property fmtid="{D5CDD505-2E9C-101B-9397-08002B2CF9AE}" pid="21" name="MSIP_Label_ed3826ce-7c18-471d-9596-93de5bae332e_SetDate">
    <vt:lpwstr>2025-06-30T20:41:58Z</vt:lpwstr>
  </op:property>
</op:Properties>
</file>